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15B" w:rsidRDefault="005A38C6">
      <w:r w:rsidRPr="005A38C6">
        <w:rPr>
          <w:rFonts w:ascii="Arial" w:eastAsia="宋体" w:hAnsi="Arial" w:cs="Arial" w:hint="eastAsia"/>
          <w:b/>
          <w:bCs/>
          <w:color w:val="FF0000"/>
          <w:kern w:val="0"/>
          <w:sz w:val="20"/>
          <w:szCs w:val="20"/>
        </w:rPr>
        <w:t>[</w:t>
      </w:r>
      <w:r w:rsidR="00C93B9D" w:rsidRPr="005A38C6">
        <w:rPr>
          <w:rFonts w:ascii="Arial" w:eastAsia="宋体" w:hAnsi="Arial" w:cs="Arial"/>
          <w:b/>
          <w:bCs/>
          <w:color w:val="FF0000"/>
          <w:kern w:val="0"/>
          <w:sz w:val="20"/>
          <w:szCs w:val="20"/>
        </w:rPr>
        <w:t>阿莫西林克拉维酸钾</w:t>
      </w:r>
      <w:r w:rsidRPr="005A38C6">
        <w:rPr>
          <w:rFonts w:ascii="Arial" w:eastAsia="宋体" w:hAnsi="Arial" w:cs="Arial" w:hint="eastAsia"/>
          <w:b/>
          <w:bCs/>
          <w:color w:val="FF0000"/>
          <w:kern w:val="0"/>
          <w:sz w:val="20"/>
          <w:szCs w:val="20"/>
        </w:rPr>
        <w:t>]</w:t>
      </w:r>
      <w:r w:rsidR="00F61A3A">
        <w:rPr>
          <w:rFonts w:ascii="Arial" w:eastAsia="宋体" w:hAnsi="Arial" w:cs="Arial"/>
          <w:b/>
          <w:bCs/>
          <w:kern w:val="0"/>
          <w:sz w:val="20"/>
          <w:szCs w:val="20"/>
        </w:rPr>
        <w:t>&lt;br&gt;&lt;br&gt;</w:t>
      </w:r>
      <w:r w:rsidR="00C93B9D" w:rsidRPr="00C93B9D">
        <w:rPr>
          <w:rFonts w:ascii="Arial" w:eastAsia="宋体" w:hAnsi="Arial" w:cs="Arial"/>
          <w:kern w:val="0"/>
          <w:sz w:val="20"/>
          <w:szCs w:val="20"/>
        </w:rPr>
        <w:t>文章版本号：</w:t>
      </w:r>
      <w:r w:rsidR="00C93B9D" w:rsidRPr="00C93B9D">
        <w:rPr>
          <w:rFonts w:ascii="Arial" w:eastAsia="宋体" w:hAnsi="Arial" w:cs="Arial"/>
          <w:kern w:val="0"/>
          <w:sz w:val="20"/>
          <w:szCs w:val="20"/>
        </w:rPr>
        <w:t>3</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最后发布时间：</w:t>
      </w:r>
      <w:r w:rsidR="00C93B9D" w:rsidRPr="00C93B9D">
        <w:rPr>
          <w:rFonts w:ascii="Arial" w:eastAsia="宋体" w:hAnsi="Arial" w:cs="Arial"/>
          <w:kern w:val="0"/>
          <w:sz w:val="20"/>
          <w:szCs w:val="20"/>
        </w:rPr>
        <w:t>2014-5-15 9:14:11</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【药物名称】</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中文通用名称：阿莫西林克拉维酸钾</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英文通用名称：</w:t>
      </w:r>
      <w:r w:rsidR="00C93B9D" w:rsidRPr="00C93B9D">
        <w:rPr>
          <w:rFonts w:ascii="Arial" w:eastAsia="宋体" w:hAnsi="Arial" w:cs="Arial"/>
          <w:kern w:val="0"/>
          <w:sz w:val="20"/>
          <w:szCs w:val="20"/>
        </w:rPr>
        <w:t>Amoxicillin and Clavulanate Potassium</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其他名称：阿莫克拉、阿莫维酸钾、阿莫西林棒酸盐、阿莫西林三水酸</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克拉维酸钾、阿漠平、艾克儿、安克、安美汀、安奇、奥格门汀、奥先、棒林、比奇尔、必百欣、毕林、博美欣、超青、达衡、复方阿莫西林、复方羟氨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青霉素、海夫佳、健澳、</w:t>
      </w:r>
      <w:proofErr w:type="gramStart"/>
      <w:r w:rsidR="00C93B9D" w:rsidRPr="00C93B9D">
        <w:rPr>
          <w:rFonts w:ascii="Arial" w:eastAsia="宋体" w:hAnsi="Arial" w:cs="Arial"/>
          <w:kern w:val="0"/>
          <w:sz w:val="20"/>
          <w:szCs w:val="20"/>
        </w:rPr>
        <w:t>今利辰</w:t>
      </w:r>
      <w:proofErr w:type="gramEnd"/>
      <w:r w:rsidR="00C93B9D" w:rsidRPr="00C93B9D">
        <w:rPr>
          <w:rFonts w:ascii="Arial" w:eastAsia="宋体" w:hAnsi="Arial" w:cs="Arial"/>
          <w:kern w:val="0"/>
          <w:sz w:val="20"/>
          <w:szCs w:val="20"/>
        </w:rPr>
        <w:t>、金力舒、巨泰、君尔清、抗之霸、克瑞兰、铿锵、</w:t>
      </w:r>
      <w:proofErr w:type="gramStart"/>
      <w:r w:rsidR="00C93B9D" w:rsidRPr="00C93B9D">
        <w:rPr>
          <w:rFonts w:ascii="Arial" w:eastAsia="宋体" w:hAnsi="Arial" w:cs="Arial"/>
          <w:kern w:val="0"/>
          <w:sz w:val="20"/>
          <w:szCs w:val="20"/>
        </w:rPr>
        <w:t>铿镪</w:t>
      </w:r>
      <w:proofErr w:type="gramEnd"/>
      <w:r w:rsidR="00C93B9D" w:rsidRPr="00C93B9D">
        <w:rPr>
          <w:rFonts w:ascii="Arial" w:eastAsia="宋体" w:hAnsi="Arial" w:cs="Arial"/>
          <w:kern w:val="0"/>
          <w:sz w:val="20"/>
          <w:szCs w:val="20"/>
        </w:rPr>
        <w:t>、</w:t>
      </w:r>
      <w:proofErr w:type="gramStart"/>
      <w:r w:rsidR="00C93B9D" w:rsidRPr="00C93B9D">
        <w:rPr>
          <w:rFonts w:ascii="Arial" w:eastAsia="宋体" w:hAnsi="Arial" w:cs="Arial"/>
          <w:kern w:val="0"/>
          <w:sz w:val="20"/>
          <w:szCs w:val="20"/>
        </w:rPr>
        <w:t>力丁沙、灵胜再林</w:t>
      </w:r>
      <w:proofErr w:type="gramEnd"/>
      <w:r w:rsidR="00C93B9D" w:rsidRPr="00C93B9D">
        <w:rPr>
          <w:rFonts w:ascii="Arial" w:eastAsia="宋体" w:hAnsi="Arial" w:cs="Arial"/>
          <w:kern w:val="0"/>
          <w:sz w:val="20"/>
          <w:szCs w:val="20"/>
        </w:rPr>
        <w:t>、洛得、诺可、强化羟氨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青霉素、强力阿莫仙、羟氨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青霉素</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棒酸钾、羟氨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青霉素</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克拉维酸、羟氨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青霉素</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克拉维酸钾、瑞思、胜艾、盛西凯、舒仙琳、特迪</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阿莫西林克拉维酸钾</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、维安可欣、沃格孟汀、</w:t>
      </w:r>
      <w:proofErr w:type="gramStart"/>
      <w:r w:rsidR="00C93B9D" w:rsidRPr="00C93B9D">
        <w:rPr>
          <w:rFonts w:ascii="Arial" w:eastAsia="宋体" w:hAnsi="Arial" w:cs="Arial"/>
          <w:kern w:val="0"/>
          <w:sz w:val="20"/>
          <w:szCs w:val="20"/>
        </w:rPr>
        <w:t>怡</w:t>
      </w:r>
      <w:proofErr w:type="gramEnd"/>
      <w:r w:rsidR="00C93B9D" w:rsidRPr="00C93B9D">
        <w:rPr>
          <w:rFonts w:ascii="Arial" w:eastAsia="宋体" w:hAnsi="Arial" w:cs="Arial"/>
          <w:kern w:val="0"/>
          <w:sz w:val="20"/>
          <w:szCs w:val="20"/>
        </w:rPr>
        <w:t>力沙、尤林加、元欣、</w:t>
      </w:r>
      <w:r w:rsidR="00C93B9D" w:rsidRPr="00C93B9D">
        <w:rPr>
          <w:rFonts w:ascii="Arial" w:eastAsia="宋体" w:hAnsi="Arial" w:cs="Arial"/>
          <w:kern w:val="0"/>
          <w:sz w:val="20"/>
          <w:szCs w:val="20"/>
        </w:rPr>
        <w:t>Amoxicillin Trihrdrate/Clavulana</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Amoxicillin Trihydrate/Clavulanate Potassium</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Amoxicillin/Clavulanate</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Amoxicillin-Clavulanic acid</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Amoxicillin-Potassium Clavulanic Acid</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Anke</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Curam</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【组成成分】</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本药主要成分为阿莫西林、克拉维酸钾。</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【药理分类】</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抗感染药</w:t>
      </w:r>
      <w:r w:rsidR="00C93B9D" w:rsidRPr="00C93B9D">
        <w:rPr>
          <w:rFonts w:ascii="Arial" w:eastAsia="宋体" w:hAnsi="Arial" w:cs="Arial"/>
          <w:kern w:val="0"/>
          <w:sz w:val="20"/>
          <w:szCs w:val="20"/>
        </w:rPr>
        <w:t>&gt;&gt;</w:t>
      </w:r>
      <w:r w:rsidR="00C93B9D" w:rsidRPr="00C93B9D">
        <w:rPr>
          <w:rFonts w:ascii="Arial" w:eastAsia="宋体" w:hAnsi="Arial" w:cs="Arial"/>
          <w:kern w:val="0"/>
          <w:sz w:val="20"/>
          <w:szCs w:val="20"/>
        </w:rPr>
        <w:t>抗生素</w:t>
      </w:r>
      <w:r w:rsidR="00C93B9D" w:rsidRPr="00C93B9D">
        <w:rPr>
          <w:rFonts w:ascii="Arial" w:eastAsia="宋体" w:hAnsi="Arial" w:cs="Arial"/>
          <w:kern w:val="0"/>
          <w:sz w:val="20"/>
          <w:szCs w:val="20"/>
        </w:rPr>
        <w:t>&gt;&gt;</w:t>
      </w:r>
      <w:r w:rsidR="00C93B9D" w:rsidRPr="00C93B9D">
        <w:rPr>
          <w:rFonts w:ascii="Arial" w:eastAsia="宋体" w:hAnsi="Arial" w:cs="Arial"/>
          <w:kern w:val="0"/>
          <w:sz w:val="20"/>
          <w:szCs w:val="20"/>
        </w:rPr>
        <w:t>青霉素类</w:t>
      </w:r>
      <w:r w:rsidR="00C93B9D" w:rsidRPr="00C93B9D">
        <w:rPr>
          <w:rFonts w:ascii="Arial" w:eastAsia="宋体" w:hAnsi="Arial" w:cs="Arial"/>
          <w:kern w:val="0"/>
          <w:sz w:val="20"/>
          <w:szCs w:val="20"/>
        </w:rPr>
        <w:t>&gt;&gt;</w:t>
      </w:r>
      <w:r w:rsidR="00C93B9D" w:rsidRPr="00C93B9D">
        <w:rPr>
          <w:rFonts w:ascii="Arial" w:eastAsia="宋体" w:hAnsi="Arial" w:cs="Arial"/>
          <w:kern w:val="0"/>
          <w:sz w:val="20"/>
          <w:szCs w:val="20"/>
        </w:rPr>
        <w:t>半合成青霉素</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抗感染药</w:t>
      </w:r>
      <w:r w:rsidR="00C93B9D" w:rsidRPr="00C93B9D">
        <w:rPr>
          <w:rFonts w:ascii="Arial" w:eastAsia="宋体" w:hAnsi="Arial" w:cs="Arial"/>
          <w:kern w:val="0"/>
          <w:sz w:val="20"/>
          <w:szCs w:val="20"/>
        </w:rPr>
        <w:t>&gt;&gt;</w:t>
      </w:r>
      <w:r w:rsidR="00C93B9D" w:rsidRPr="00C93B9D">
        <w:rPr>
          <w:rFonts w:ascii="Arial" w:eastAsia="宋体" w:hAnsi="Arial" w:cs="Arial"/>
          <w:kern w:val="0"/>
          <w:sz w:val="20"/>
          <w:szCs w:val="20"/>
        </w:rPr>
        <w:t>抗生素</w:t>
      </w:r>
      <w:r w:rsidR="00C93B9D" w:rsidRPr="00C93B9D">
        <w:rPr>
          <w:rFonts w:ascii="Arial" w:eastAsia="宋体" w:hAnsi="Arial" w:cs="Arial"/>
          <w:kern w:val="0"/>
          <w:sz w:val="20"/>
          <w:szCs w:val="20"/>
        </w:rPr>
        <w:t>&gt;&gt;β-</w:t>
      </w:r>
      <w:r w:rsidR="00C93B9D" w:rsidRPr="00C93B9D">
        <w:rPr>
          <w:rFonts w:ascii="Arial" w:eastAsia="宋体" w:hAnsi="Arial" w:cs="Arial"/>
          <w:kern w:val="0"/>
          <w:sz w:val="20"/>
          <w:szCs w:val="20"/>
        </w:rPr>
        <w:t>内酰胺酶抑制药</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【临床应用】</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CFDA</w:t>
      </w:r>
      <w:r w:rsidR="00C93B9D" w:rsidRPr="00C93B9D">
        <w:rPr>
          <w:rFonts w:ascii="Arial" w:eastAsia="宋体" w:hAnsi="Arial" w:cs="Arial"/>
          <w:b/>
          <w:bCs/>
          <w:kern w:val="0"/>
          <w:sz w:val="20"/>
          <w:szCs w:val="20"/>
        </w:rPr>
        <w:t>说明书适应症</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用于治疗敏感菌株引起的如下感染：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上呼吸道感染，如扁桃体炎、鼻窦炎、咽炎、中耳炎等。</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下呼吸道感染，如急性支气管炎、慢性支气管炎急性发作、肺炎、肺脓肿和支气管扩张合并感染等。</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泌尿系统感染，如膀胱炎、尿道炎、肾盂肾炎、前列腺炎、盆腔炎、淋病奈</w:t>
      </w:r>
      <w:proofErr w:type="gramStart"/>
      <w:r w:rsidR="00C93B9D" w:rsidRPr="00C93B9D">
        <w:rPr>
          <w:rFonts w:ascii="Arial" w:eastAsia="宋体" w:hAnsi="Arial" w:cs="Arial"/>
          <w:kern w:val="0"/>
          <w:sz w:val="20"/>
          <w:szCs w:val="20"/>
        </w:rPr>
        <w:t>瑟</w:t>
      </w:r>
      <w:proofErr w:type="gramEnd"/>
      <w:r w:rsidR="00C93B9D" w:rsidRPr="00C93B9D">
        <w:rPr>
          <w:rFonts w:ascii="Arial" w:eastAsia="宋体" w:hAnsi="Arial" w:cs="Arial"/>
          <w:kern w:val="0"/>
          <w:sz w:val="20"/>
          <w:szCs w:val="20"/>
        </w:rPr>
        <w:t>菌尿路感染、软下疳等。</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皮肤和软组织感染，如</w:t>
      </w:r>
      <w:proofErr w:type="gramStart"/>
      <w:r w:rsidR="00C93B9D" w:rsidRPr="00C93B9D">
        <w:rPr>
          <w:rFonts w:ascii="Arial" w:eastAsia="宋体" w:hAnsi="Arial" w:cs="Arial"/>
          <w:kern w:val="0"/>
          <w:sz w:val="20"/>
          <w:szCs w:val="20"/>
        </w:rPr>
        <w:t>疖</w:t>
      </w:r>
      <w:proofErr w:type="gramEnd"/>
      <w:r w:rsidR="00C93B9D" w:rsidRPr="00C93B9D">
        <w:rPr>
          <w:rFonts w:ascii="Arial" w:eastAsia="宋体" w:hAnsi="Arial" w:cs="Arial"/>
          <w:kern w:val="0"/>
          <w:sz w:val="20"/>
          <w:szCs w:val="20"/>
        </w:rPr>
        <w:t>、脓肿、蜂窝组织炎、外伤感染、腹内脓毒症等。</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其他感染，如骨髓炎、败血症、腹膜炎、术后感染等。</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【用法与用量】</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(1)14:1</w:t>
      </w:r>
      <w:r w:rsidR="00C93B9D" w:rsidRPr="00C93B9D">
        <w:rPr>
          <w:rFonts w:ascii="Arial" w:eastAsia="宋体" w:hAnsi="Arial" w:cs="Arial"/>
          <w:kern w:val="0"/>
          <w:sz w:val="20"/>
          <w:szCs w:val="20"/>
        </w:rPr>
        <w:t>制剂：一日</w:t>
      </w:r>
      <w:r w:rsidR="00C93B9D" w:rsidRPr="00C93B9D">
        <w:rPr>
          <w:rFonts w:ascii="Arial" w:eastAsia="宋体" w:hAnsi="Arial" w:cs="Arial"/>
          <w:kern w:val="0"/>
          <w:sz w:val="20"/>
          <w:szCs w:val="20"/>
        </w:rPr>
        <w:t>90mg/kg</w:t>
      </w:r>
      <w:r w:rsidR="00C93B9D" w:rsidRPr="00C93B9D">
        <w:rPr>
          <w:rFonts w:ascii="Arial" w:eastAsia="宋体" w:hAnsi="Arial" w:cs="Arial"/>
          <w:kern w:val="0"/>
          <w:sz w:val="20"/>
          <w:szCs w:val="20"/>
        </w:rPr>
        <w:t>，分</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次服用，连用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(2)7:1</w:t>
      </w:r>
      <w:r w:rsidR="00C93B9D" w:rsidRPr="00C93B9D">
        <w:rPr>
          <w:rFonts w:ascii="Arial" w:eastAsia="宋体" w:hAnsi="Arial" w:cs="Arial"/>
          <w:kern w:val="0"/>
          <w:sz w:val="20"/>
          <w:szCs w:val="20"/>
        </w:rPr>
        <w:t>制剂：一次</w:t>
      </w:r>
      <w:r w:rsidR="00C93B9D" w:rsidRPr="00C93B9D">
        <w:rPr>
          <w:rFonts w:ascii="Arial" w:eastAsia="宋体" w:hAnsi="Arial" w:cs="Arial"/>
          <w:kern w:val="0"/>
          <w:sz w:val="20"/>
          <w:szCs w:val="20"/>
        </w:rPr>
        <w:t>457-914mg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(3)4:1</w:t>
      </w:r>
      <w:r w:rsidR="00C93B9D" w:rsidRPr="00C93B9D">
        <w:rPr>
          <w:rFonts w:ascii="Arial" w:eastAsia="宋体" w:hAnsi="Arial" w:cs="Arial"/>
          <w:kern w:val="0"/>
          <w:sz w:val="20"/>
          <w:szCs w:val="20"/>
        </w:rPr>
        <w:t>制剂：一次</w:t>
      </w:r>
      <w:r w:rsidR="00C93B9D" w:rsidRPr="00C93B9D">
        <w:rPr>
          <w:rFonts w:ascii="Arial" w:eastAsia="宋体" w:hAnsi="Arial" w:cs="Arial"/>
          <w:kern w:val="0"/>
          <w:sz w:val="20"/>
          <w:szCs w:val="20"/>
        </w:rPr>
        <w:t>312.5mg</w:t>
      </w:r>
      <w:r w:rsidR="00C93B9D" w:rsidRPr="00C93B9D">
        <w:rPr>
          <w:rFonts w:ascii="Arial" w:eastAsia="宋体" w:hAnsi="Arial" w:cs="Arial"/>
          <w:kern w:val="0"/>
          <w:sz w:val="20"/>
          <w:szCs w:val="20"/>
        </w:rPr>
        <w:t>，一日</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次；严重感染时，剂量可加倍；未经重新检查，连续治疗不得超过</w:t>
      </w:r>
      <w:r w:rsidR="00C93B9D" w:rsidRPr="00C93B9D">
        <w:rPr>
          <w:rFonts w:ascii="Arial" w:eastAsia="宋体" w:hAnsi="Arial" w:cs="Arial"/>
          <w:kern w:val="0"/>
          <w:sz w:val="20"/>
          <w:szCs w:val="20"/>
        </w:rPr>
        <w:t>14</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(4)2:1</w:t>
      </w:r>
      <w:r w:rsidR="00C93B9D" w:rsidRPr="00C93B9D">
        <w:rPr>
          <w:rFonts w:ascii="Arial" w:eastAsia="宋体" w:hAnsi="Arial" w:cs="Arial"/>
          <w:kern w:val="0"/>
          <w:sz w:val="20"/>
          <w:szCs w:val="20"/>
        </w:rPr>
        <w:t>制剂：一次</w:t>
      </w:r>
      <w:r w:rsidR="00C93B9D" w:rsidRPr="00C93B9D">
        <w:rPr>
          <w:rFonts w:ascii="Arial" w:eastAsia="宋体" w:hAnsi="Arial" w:cs="Arial"/>
          <w:kern w:val="0"/>
          <w:sz w:val="20"/>
          <w:szCs w:val="20"/>
        </w:rPr>
        <w:t>375mg</w:t>
      </w:r>
      <w:r w:rsidR="00C93B9D" w:rsidRPr="00C93B9D">
        <w:rPr>
          <w:rFonts w:ascii="Arial" w:eastAsia="宋体" w:hAnsi="Arial" w:cs="Arial"/>
          <w:kern w:val="0"/>
          <w:sz w:val="20"/>
          <w:szCs w:val="20"/>
        </w:rPr>
        <w:t>，一日</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次；严重感染时，剂量可加倍；未经重新检查，连续治疗不得超过</w:t>
      </w:r>
      <w:r w:rsidR="00C93B9D" w:rsidRPr="00C93B9D">
        <w:rPr>
          <w:rFonts w:ascii="Arial" w:eastAsia="宋体" w:hAnsi="Arial" w:cs="Arial"/>
          <w:kern w:val="0"/>
          <w:sz w:val="20"/>
          <w:szCs w:val="20"/>
        </w:rPr>
        <w:t>14</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 xml:space="preserve">  5:1</w:t>
      </w:r>
      <w:r w:rsidR="00C93B9D" w:rsidRPr="00C93B9D">
        <w:rPr>
          <w:rFonts w:ascii="Arial" w:eastAsia="宋体" w:hAnsi="Arial" w:cs="Arial"/>
          <w:kern w:val="0"/>
          <w:sz w:val="20"/>
          <w:szCs w:val="20"/>
        </w:rPr>
        <w:t>注射剂，一次</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次；对严重感染者，剂量可增至一次</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6</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次。未经重新检查，连续治疗不得超过</w:t>
      </w:r>
      <w:r w:rsidR="00C93B9D" w:rsidRPr="00C93B9D">
        <w:rPr>
          <w:rFonts w:ascii="Arial" w:eastAsia="宋体" w:hAnsi="Arial" w:cs="Arial"/>
          <w:kern w:val="0"/>
          <w:sz w:val="20"/>
          <w:szCs w:val="20"/>
        </w:rPr>
        <w:t>14</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静脉滴注</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参见</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预防手术感染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通常于诱导麻醉时给予本药</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。对有高感染危险性手术</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如结肠手术</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的患者，一次</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，可在</w:t>
      </w:r>
      <w:r w:rsidR="00C93B9D" w:rsidRPr="00C93B9D">
        <w:rPr>
          <w:rFonts w:ascii="Arial" w:eastAsia="宋体" w:hAnsi="Arial" w:cs="Arial"/>
          <w:kern w:val="0"/>
          <w:sz w:val="20"/>
          <w:szCs w:val="20"/>
        </w:rPr>
        <w:t>24</w:t>
      </w:r>
      <w:r w:rsidR="00C93B9D" w:rsidRPr="00C93B9D">
        <w:rPr>
          <w:rFonts w:ascii="Arial" w:eastAsia="宋体" w:hAnsi="Arial" w:cs="Arial"/>
          <w:kern w:val="0"/>
          <w:sz w:val="20"/>
          <w:szCs w:val="20"/>
        </w:rPr>
        <w:t>小时内给予</w:t>
      </w:r>
      <w:r w:rsidR="00C93B9D" w:rsidRPr="00C93B9D">
        <w:rPr>
          <w:rFonts w:ascii="Arial" w:eastAsia="宋体" w:hAnsi="Arial" w:cs="Arial"/>
          <w:kern w:val="0"/>
          <w:sz w:val="20"/>
          <w:szCs w:val="20"/>
        </w:rPr>
        <w:t>3-4</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可于</w:t>
      </w:r>
      <w:r w:rsidR="00C93B9D" w:rsidRPr="00C93B9D">
        <w:rPr>
          <w:rFonts w:ascii="Arial" w:eastAsia="宋体" w:hAnsi="Arial" w:cs="Arial"/>
          <w:kern w:val="0"/>
          <w:sz w:val="20"/>
          <w:szCs w:val="20"/>
        </w:rPr>
        <w:t>0</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16</w:t>
      </w:r>
      <w:r w:rsidR="00C93B9D" w:rsidRPr="00C93B9D">
        <w:rPr>
          <w:rFonts w:ascii="Arial" w:eastAsia="宋体" w:hAnsi="Arial" w:cs="Arial"/>
          <w:kern w:val="0"/>
          <w:sz w:val="20"/>
          <w:szCs w:val="20"/>
        </w:rPr>
        <w:t>和</w:t>
      </w:r>
      <w:r w:rsidR="00C93B9D" w:rsidRPr="00C93B9D">
        <w:rPr>
          <w:rFonts w:ascii="Arial" w:eastAsia="宋体" w:hAnsi="Arial" w:cs="Arial"/>
          <w:kern w:val="0"/>
          <w:sz w:val="20"/>
          <w:szCs w:val="20"/>
        </w:rPr>
        <w:t>24</w:t>
      </w:r>
      <w:r w:rsidR="00C93B9D" w:rsidRPr="00C93B9D">
        <w:rPr>
          <w:rFonts w:ascii="Arial" w:eastAsia="宋体" w:hAnsi="Arial" w:cs="Arial"/>
          <w:kern w:val="0"/>
          <w:sz w:val="20"/>
          <w:szCs w:val="20"/>
        </w:rPr>
        <w:t>小时给药</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。如术中感染的危险性增加，可继续按此方案给药数日。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静脉滴注</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参见</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肾功能减退者应根据血浆肌酐清除率</w:t>
      </w:r>
      <w:r w:rsidR="00C93B9D" w:rsidRPr="00C93B9D">
        <w:rPr>
          <w:rFonts w:ascii="Arial" w:eastAsia="宋体" w:hAnsi="Arial" w:cs="Arial"/>
          <w:kern w:val="0"/>
          <w:sz w:val="20"/>
          <w:szCs w:val="20"/>
        </w:rPr>
        <w:t>(Ccr)</w:t>
      </w:r>
      <w:r w:rsidR="00C93B9D" w:rsidRPr="00C93B9D">
        <w:rPr>
          <w:rFonts w:ascii="Arial" w:eastAsia="宋体" w:hAnsi="Arial" w:cs="Arial"/>
          <w:kern w:val="0"/>
          <w:sz w:val="20"/>
          <w:szCs w:val="20"/>
        </w:rPr>
        <w:t>调整剂量或给药间隔。</w:t>
      </w:r>
      <w:r w:rsidR="00C93B9D" w:rsidRPr="00C93B9D">
        <w:rPr>
          <w:rFonts w:ascii="Arial" w:eastAsia="宋体" w:hAnsi="Arial" w:cs="Arial"/>
          <w:kern w:val="0"/>
          <w:sz w:val="20"/>
          <w:szCs w:val="20"/>
        </w:rPr>
        <w:t>(1)Ccr</w:t>
      </w:r>
      <w:r w:rsidR="00C93B9D" w:rsidRPr="00C93B9D">
        <w:rPr>
          <w:rFonts w:ascii="Arial" w:eastAsia="宋体" w:hAnsi="Arial" w:cs="Arial"/>
          <w:kern w:val="0"/>
          <w:sz w:val="20"/>
          <w:szCs w:val="20"/>
        </w:rPr>
        <w:t>大于</w:t>
      </w:r>
      <w:r w:rsidR="00C93B9D" w:rsidRPr="00C93B9D">
        <w:rPr>
          <w:rFonts w:ascii="Arial" w:eastAsia="宋体" w:hAnsi="Arial" w:cs="Arial"/>
          <w:kern w:val="0"/>
          <w:sz w:val="20"/>
          <w:szCs w:val="20"/>
        </w:rPr>
        <w:t>30ml/min</w:t>
      </w:r>
      <w:r w:rsidR="00C93B9D" w:rsidRPr="00C93B9D">
        <w:rPr>
          <w:rFonts w:ascii="Arial" w:eastAsia="宋体" w:hAnsi="Arial" w:cs="Arial"/>
          <w:kern w:val="0"/>
          <w:sz w:val="20"/>
          <w:szCs w:val="20"/>
        </w:rPr>
        <w:t>者，无需减量。</w:t>
      </w:r>
      <w:r w:rsidR="00C93B9D" w:rsidRPr="00C93B9D">
        <w:rPr>
          <w:rFonts w:ascii="Arial" w:eastAsia="宋体" w:hAnsi="Arial" w:cs="Arial"/>
          <w:kern w:val="0"/>
          <w:sz w:val="20"/>
          <w:szCs w:val="20"/>
        </w:rPr>
        <w:t>(2)Ccr</w:t>
      </w:r>
      <w:r w:rsidR="00C93B9D" w:rsidRPr="00C93B9D">
        <w:rPr>
          <w:rFonts w:ascii="Arial" w:eastAsia="宋体" w:hAnsi="Arial" w:cs="Arial"/>
          <w:kern w:val="0"/>
          <w:sz w:val="20"/>
          <w:szCs w:val="20"/>
        </w:rPr>
        <w:t>为</w:t>
      </w:r>
      <w:r w:rsidR="00C93B9D" w:rsidRPr="00C93B9D">
        <w:rPr>
          <w:rFonts w:ascii="Arial" w:eastAsia="宋体" w:hAnsi="Arial" w:cs="Arial"/>
          <w:kern w:val="0"/>
          <w:sz w:val="20"/>
          <w:szCs w:val="20"/>
        </w:rPr>
        <w:t>10-30ml/min</w:t>
      </w:r>
      <w:r w:rsidR="00C93B9D" w:rsidRPr="00C93B9D">
        <w:rPr>
          <w:rFonts w:ascii="Arial" w:eastAsia="宋体" w:hAnsi="Arial" w:cs="Arial"/>
          <w:kern w:val="0"/>
          <w:sz w:val="20"/>
          <w:szCs w:val="20"/>
        </w:rPr>
        <w:t>者，</w:t>
      </w:r>
      <w:r w:rsidR="00C93B9D" w:rsidRPr="00C93B9D">
        <w:rPr>
          <w:rFonts w:ascii="Arial" w:eastAsia="宋体" w:hAnsi="Arial" w:cs="Arial"/>
          <w:kern w:val="0"/>
          <w:sz w:val="20"/>
          <w:szCs w:val="20"/>
        </w:rPr>
        <w:t>2:1</w:t>
      </w:r>
      <w:r w:rsidR="00C93B9D" w:rsidRPr="00C93B9D">
        <w:rPr>
          <w:rFonts w:ascii="Arial" w:eastAsia="宋体" w:hAnsi="Arial" w:cs="Arial"/>
          <w:kern w:val="0"/>
          <w:sz w:val="20"/>
          <w:szCs w:val="20"/>
        </w:rPr>
        <w:t>口服制剂，一次</w:t>
      </w:r>
      <w:r w:rsidR="00C93B9D" w:rsidRPr="00C93B9D">
        <w:rPr>
          <w:rFonts w:ascii="Arial" w:eastAsia="宋体" w:hAnsi="Arial" w:cs="Arial"/>
          <w:kern w:val="0"/>
          <w:sz w:val="20"/>
          <w:szCs w:val="20"/>
        </w:rPr>
        <w:t>375mg</w:t>
      </w:r>
      <w:r w:rsidR="00C93B9D" w:rsidRPr="00C93B9D">
        <w:rPr>
          <w:rFonts w:ascii="Arial" w:eastAsia="宋体" w:hAnsi="Arial" w:cs="Arial"/>
          <w:kern w:val="0"/>
          <w:sz w:val="20"/>
          <w:szCs w:val="20"/>
        </w:rPr>
        <w:t>或</w:t>
      </w:r>
      <w:r w:rsidR="00C93B9D" w:rsidRPr="00C93B9D">
        <w:rPr>
          <w:rFonts w:ascii="Arial" w:eastAsia="宋体" w:hAnsi="Arial" w:cs="Arial"/>
          <w:kern w:val="0"/>
          <w:sz w:val="20"/>
          <w:szCs w:val="20"/>
        </w:rPr>
        <w:t>625mg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5:1</w:t>
      </w:r>
      <w:r w:rsidR="00C93B9D" w:rsidRPr="00C93B9D">
        <w:rPr>
          <w:rFonts w:ascii="Arial" w:eastAsia="宋体" w:hAnsi="Arial" w:cs="Arial"/>
          <w:kern w:val="0"/>
          <w:sz w:val="20"/>
          <w:szCs w:val="20"/>
        </w:rPr>
        <w:t>注射剂，初始剂量为</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，随后每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小时给予本药</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(3)Ccr</w:t>
      </w:r>
      <w:r w:rsidR="00C93B9D" w:rsidRPr="00C93B9D">
        <w:rPr>
          <w:rFonts w:ascii="Arial" w:eastAsia="宋体" w:hAnsi="Arial" w:cs="Arial"/>
          <w:kern w:val="0"/>
          <w:sz w:val="20"/>
          <w:szCs w:val="20"/>
        </w:rPr>
        <w:t>小于</w:t>
      </w:r>
      <w:r w:rsidR="00C93B9D" w:rsidRPr="00C93B9D">
        <w:rPr>
          <w:rFonts w:ascii="Arial" w:eastAsia="宋体" w:hAnsi="Arial" w:cs="Arial"/>
          <w:kern w:val="0"/>
          <w:sz w:val="20"/>
          <w:szCs w:val="20"/>
        </w:rPr>
        <w:t>10ml/min</w:t>
      </w:r>
      <w:r w:rsidR="00C93B9D" w:rsidRPr="00C93B9D">
        <w:rPr>
          <w:rFonts w:ascii="Arial" w:eastAsia="宋体" w:hAnsi="Arial" w:cs="Arial"/>
          <w:kern w:val="0"/>
          <w:sz w:val="20"/>
          <w:szCs w:val="20"/>
        </w:rPr>
        <w:t>者，</w:t>
      </w:r>
      <w:r w:rsidR="00C93B9D" w:rsidRPr="00C93B9D">
        <w:rPr>
          <w:rFonts w:ascii="Arial" w:eastAsia="宋体" w:hAnsi="Arial" w:cs="Arial"/>
          <w:kern w:val="0"/>
          <w:sz w:val="20"/>
          <w:szCs w:val="20"/>
        </w:rPr>
        <w:t>2:1</w:t>
      </w:r>
      <w:r w:rsidR="00C93B9D" w:rsidRPr="00C93B9D">
        <w:rPr>
          <w:rFonts w:ascii="Arial" w:eastAsia="宋体" w:hAnsi="Arial" w:cs="Arial"/>
          <w:kern w:val="0"/>
          <w:sz w:val="20"/>
          <w:szCs w:val="20"/>
        </w:rPr>
        <w:t>制剂，口服给药，一次</w:t>
      </w:r>
      <w:r w:rsidR="00C93B9D" w:rsidRPr="00C93B9D">
        <w:rPr>
          <w:rFonts w:ascii="Arial" w:eastAsia="宋体" w:hAnsi="Arial" w:cs="Arial"/>
          <w:kern w:val="0"/>
          <w:sz w:val="20"/>
          <w:szCs w:val="20"/>
        </w:rPr>
        <w:t>375mg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12-24</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5:1</w:t>
      </w:r>
      <w:r w:rsidR="00C93B9D" w:rsidRPr="00C93B9D">
        <w:rPr>
          <w:rFonts w:ascii="Arial" w:eastAsia="宋体" w:hAnsi="Arial" w:cs="Arial"/>
          <w:kern w:val="0"/>
          <w:sz w:val="20"/>
          <w:szCs w:val="20"/>
        </w:rPr>
        <w:t>注射剂，静脉给药，初始剂量为</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，随后每</w:t>
      </w:r>
      <w:r w:rsidR="00C93B9D" w:rsidRPr="00C93B9D">
        <w:rPr>
          <w:rFonts w:ascii="Arial" w:eastAsia="宋体" w:hAnsi="Arial" w:cs="Arial"/>
          <w:kern w:val="0"/>
          <w:sz w:val="20"/>
          <w:szCs w:val="20"/>
        </w:rPr>
        <w:t>24</w:t>
      </w:r>
      <w:r w:rsidR="00C93B9D" w:rsidRPr="00C93B9D">
        <w:rPr>
          <w:rFonts w:ascii="Arial" w:eastAsia="宋体" w:hAnsi="Arial" w:cs="Arial"/>
          <w:kern w:val="0"/>
          <w:sz w:val="20"/>
          <w:szCs w:val="20"/>
        </w:rPr>
        <w:t>小时给予本药</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，并采用透析法降低本药血药浓度，在透析过程中或透析后补充给予本药</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老年人剂量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老年患者应根据肾功能情况调整用药剂量或给药间隔。</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血液透析可影响本药中阿莫西林的血药浓度，需在血液透析过程中及结束时各加用</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次剂量。</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(1)7:1</w:t>
      </w:r>
      <w:r w:rsidR="00C93B9D" w:rsidRPr="00C93B9D">
        <w:rPr>
          <w:rFonts w:ascii="Arial" w:eastAsia="宋体" w:hAnsi="Arial" w:cs="Arial"/>
          <w:kern w:val="0"/>
          <w:sz w:val="20"/>
          <w:szCs w:val="20"/>
        </w:rPr>
        <w:t>制剂：小于</w:t>
      </w:r>
      <w:r w:rsidR="00C93B9D" w:rsidRPr="00C93B9D">
        <w:rPr>
          <w:rFonts w:ascii="Arial" w:eastAsia="宋体" w:hAnsi="Arial" w:cs="Arial"/>
          <w:kern w:val="0"/>
          <w:sz w:val="20"/>
          <w:szCs w:val="20"/>
        </w:rPr>
        <w:t>9</w:t>
      </w:r>
      <w:r w:rsidR="00C93B9D" w:rsidRPr="00C93B9D">
        <w:rPr>
          <w:rFonts w:ascii="Arial" w:eastAsia="宋体" w:hAnsi="Arial" w:cs="Arial"/>
          <w:kern w:val="0"/>
          <w:sz w:val="20"/>
          <w:szCs w:val="20"/>
        </w:rPr>
        <w:t>个月至</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114.25mg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2-7</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228.5mg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7-12</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342.75mg</w:t>
      </w:r>
      <w:r w:rsidR="00C93B9D" w:rsidRPr="00C93B9D">
        <w:rPr>
          <w:rFonts w:ascii="Arial" w:eastAsia="宋体" w:hAnsi="Arial" w:cs="Arial"/>
          <w:kern w:val="0"/>
          <w:sz w:val="20"/>
          <w:szCs w:val="20"/>
        </w:rPr>
        <w:t>，每小时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岁及以上，或体重大于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儿童，同成人用法</w:t>
      </w:r>
      <w:r w:rsidR="00C93B9D" w:rsidRPr="00C93B9D">
        <w:rPr>
          <w:rFonts w:ascii="Arial" w:eastAsia="宋体" w:hAnsi="Arial" w:cs="Arial"/>
          <w:kern w:val="0"/>
          <w:sz w:val="20"/>
          <w:szCs w:val="20"/>
        </w:rPr>
        <w:lastRenderedPageBreak/>
        <w:t>用量。</w:t>
      </w:r>
      <w:r w:rsidR="00C93B9D" w:rsidRPr="00C93B9D">
        <w:rPr>
          <w:rFonts w:ascii="Arial" w:eastAsia="宋体" w:hAnsi="Arial" w:cs="Arial"/>
          <w:kern w:val="0"/>
          <w:sz w:val="20"/>
          <w:szCs w:val="20"/>
        </w:rPr>
        <w:t>(2)4:1</w:t>
      </w:r>
      <w:r w:rsidR="00C93B9D" w:rsidRPr="00C93B9D">
        <w:rPr>
          <w:rFonts w:ascii="Arial" w:eastAsia="宋体" w:hAnsi="Arial" w:cs="Arial"/>
          <w:kern w:val="0"/>
          <w:sz w:val="20"/>
          <w:szCs w:val="20"/>
        </w:rPr>
        <w:t>制剂：</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个月至</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78.125mg</w:t>
      </w:r>
      <w:r w:rsidR="00C93B9D" w:rsidRPr="00C93B9D">
        <w:rPr>
          <w:rFonts w:ascii="Arial" w:eastAsia="宋体" w:hAnsi="Arial" w:cs="Arial"/>
          <w:kern w:val="0"/>
          <w:sz w:val="20"/>
          <w:szCs w:val="20"/>
        </w:rPr>
        <w:t>，一日</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1-7</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156.25mg</w:t>
      </w:r>
      <w:r w:rsidR="00C93B9D" w:rsidRPr="00C93B9D">
        <w:rPr>
          <w:rFonts w:ascii="Arial" w:eastAsia="宋体" w:hAnsi="Arial" w:cs="Arial"/>
          <w:kern w:val="0"/>
          <w:sz w:val="20"/>
          <w:szCs w:val="20"/>
        </w:rPr>
        <w:t>，一日</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7-12</w:t>
      </w:r>
      <w:r w:rsidR="00C93B9D" w:rsidRPr="00C93B9D">
        <w:rPr>
          <w:rFonts w:ascii="Arial" w:eastAsia="宋体" w:hAnsi="Arial" w:cs="Arial"/>
          <w:kern w:val="0"/>
          <w:sz w:val="20"/>
          <w:szCs w:val="20"/>
        </w:rPr>
        <w:t>岁儿童，一次</w:t>
      </w:r>
      <w:r w:rsidR="00C93B9D" w:rsidRPr="00C93B9D">
        <w:rPr>
          <w:rFonts w:ascii="Arial" w:eastAsia="宋体" w:hAnsi="Arial" w:cs="Arial"/>
          <w:kern w:val="0"/>
          <w:sz w:val="20"/>
          <w:szCs w:val="20"/>
        </w:rPr>
        <w:t>234.375mg</w:t>
      </w:r>
      <w:r w:rsidR="00C93B9D" w:rsidRPr="00C93B9D">
        <w:rPr>
          <w:rFonts w:ascii="Arial" w:eastAsia="宋体" w:hAnsi="Arial" w:cs="Arial"/>
          <w:kern w:val="0"/>
          <w:sz w:val="20"/>
          <w:szCs w:val="20"/>
        </w:rPr>
        <w:t>，一日</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岁及以上儿童，同成人用法用量。</w:t>
      </w:r>
      <w:r w:rsidR="00C93B9D" w:rsidRPr="00C93B9D">
        <w:rPr>
          <w:rFonts w:ascii="Arial" w:eastAsia="宋体" w:hAnsi="Arial" w:cs="Arial"/>
          <w:kern w:val="0"/>
          <w:sz w:val="20"/>
          <w:szCs w:val="20"/>
        </w:rPr>
        <w:t>(3)2:1</w:t>
      </w:r>
      <w:r w:rsidR="00C93B9D" w:rsidRPr="00C93B9D">
        <w:rPr>
          <w:rFonts w:ascii="Arial" w:eastAsia="宋体" w:hAnsi="Arial" w:cs="Arial"/>
          <w:kern w:val="0"/>
          <w:sz w:val="20"/>
          <w:szCs w:val="20"/>
        </w:rPr>
        <w:t>制剂：</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岁以下儿童，一日</w:t>
      </w:r>
      <w:r w:rsidR="00C93B9D" w:rsidRPr="00C93B9D">
        <w:rPr>
          <w:rFonts w:ascii="Arial" w:eastAsia="宋体" w:hAnsi="Arial" w:cs="Arial"/>
          <w:kern w:val="0"/>
          <w:sz w:val="20"/>
          <w:szCs w:val="20"/>
        </w:rPr>
        <w:t>20mg/kg</w:t>
      </w:r>
      <w:r w:rsidR="00C93B9D" w:rsidRPr="00C93B9D">
        <w:rPr>
          <w:rFonts w:ascii="Arial" w:eastAsia="宋体" w:hAnsi="Arial" w:cs="Arial"/>
          <w:kern w:val="0"/>
          <w:sz w:val="20"/>
          <w:szCs w:val="20"/>
        </w:rPr>
        <w:t>，分</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次服用，严重感染时，剂量可加倍，未经重新检查，连续治疗不得超过</w:t>
      </w:r>
      <w:r w:rsidR="00C93B9D" w:rsidRPr="00C93B9D">
        <w:rPr>
          <w:rFonts w:ascii="Arial" w:eastAsia="宋体" w:hAnsi="Arial" w:cs="Arial"/>
          <w:kern w:val="0"/>
          <w:sz w:val="20"/>
          <w:szCs w:val="20"/>
        </w:rPr>
        <w:t>14</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 xml:space="preserve">  5:1</w:t>
      </w:r>
      <w:r w:rsidR="00C93B9D" w:rsidRPr="00C93B9D">
        <w:rPr>
          <w:rFonts w:ascii="Arial" w:eastAsia="宋体" w:hAnsi="Arial" w:cs="Arial"/>
          <w:kern w:val="0"/>
          <w:sz w:val="20"/>
          <w:szCs w:val="20"/>
        </w:rPr>
        <w:t>注射剂：</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早产儿或足月新生儿，一次</w:t>
      </w:r>
      <w:r w:rsidR="00C93B9D" w:rsidRPr="00C93B9D">
        <w:rPr>
          <w:rFonts w:ascii="Arial" w:eastAsia="宋体" w:hAnsi="Arial" w:cs="Arial"/>
          <w:kern w:val="0"/>
          <w:sz w:val="20"/>
          <w:szCs w:val="20"/>
        </w:rPr>
        <w:t>30mg/kg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次，随后剂量增至一次</w:t>
      </w:r>
      <w:r w:rsidR="00C93B9D" w:rsidRPr="00C93B9D">
        <w:rPr>
          <w:rFonts w:ascii="Arial" w:eastAsia="宋体" w:hAnsi="Arial" w:cs="Arial"/>
          <w:kern w:val="0"/>
          <w:sz w:val="20"/>
          <w:szCs w:val="20"/>
        </w:rPr>
        <w:t>30mg/kg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(2)3</w:t>
      </w:r>
      <w:r w:rsidR="00C93B9D" w:rsidRPr="00C93B9D">
        <w:rPr>
          <w:rFonts w:ascii="Arial" w:eastAsia="宋体" w:hAnsi="Arial" w:cs="Arial"/>
          <w:kern w:val="0"/>
          <w:sz w:val="20"/>
          <w:szCs w:val="20"/>
        </w:rPr>
        <w:t>个月至</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岁儿童，常用剂量为一次</w:t>
      </w:r>
      <w:r w:rsidR="00C93B9D" w:rsidRPr="00C93B9D">
        <w:rPr>
          <w:rFonts w:ascii="Arial" w:eastAsia="宋体" w:hAnsi="Arial" w:cs="Arial"/>
          <w:kern w:val="0"/>
          <w:sz w:val="20"/>
          <w:szCs w:val="20"/>
        </w:rPr>
        <w:t>30mg/kg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次；对严重感染者，剂量可增至一次</w:t>
      </w:r>
      <w:r w:rsidR="00C93B9D" w:rsidRPr="00C93B9D">
        <w:rPr>
          <w:rFonts w:ascii="Arial" w:eastAsia="宋体" w:hAnsi="Arial" w:cs="Arial"/>
          <w:kern w:val="0"/>
          <w:sz w:val="20"/>
          <w:szCs w:val="20"/>
        </w:rPr>
        <w:t>30mg/kg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6</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(3)12</w:t>
      </w:r>
      <w:r w:rsidR="00C93B9D" w:rsidRPr="00C93B9D">
        <w:rPr>
          <w:rFonts w:ascii="Arial" w:eastAsia="宋体" w:hAnsi="Arial" w:cs="Arial"/>
          <w:kern w:val="0"/>
          <w:sz w:val="20"/>
          <w:szCs w:val="20"/>
        </w:rPr>
        <w:t>岁及以上儿童，同成人用法用量。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静脉滴注</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参见</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项。</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静脉滴注，同成人</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肾功能不全时剂量</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【国外用法用量参考】</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成人</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proofErr w:type="gramStart"/>
      <w:r w:rsidR="00C93B9D" w:rsidRPr="00C93B9D">
        <w:rPr>
          <w:rFonts w:ascii="Arial" w:eastAsia="宋体" w:hAnsi="Arial" w:cs="Arial"/>
          <w:kern w:val="0"/>
          <w:sz w:val="20"/>
          <w:szCs w:val="20"/>
        </w:rPr>
        <w:t> </w:t>
      </w:r>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、混悬剂：轻至中度感染，一次</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次；或一次</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次。重度感染，一次</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次；或一次</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w:t>
      </w:r>
      <w:proofErr w:type="gramStart"/>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缓释片：一次</w:t>
      </w:r>
      <w:r w:rsidR="00C93B9D" w:rsidRPr="00C93B9D">
        <w:rPr>
          <w:rFonts w:ascii="Arial" w:eastAsia="宋体" w:hAnsi="Arial" w:cs="Arial"/>
          <w:kern w:val="0"/>
          <w:sz w:val="20"/>
          <w:szCs w:val="20"/>
        </w:rPr>
        <w:t>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缓释片：一次</w:t>
      </w:r>
      <w:r w:rsidR="00C93B9D" w:rsidRPr="00C93B9D">
        <w:rPr>
          <w:rFonts w:ascii="Arial" w:eastAsia="宋体" w:hAnsi="Arial" w:cs="Arial"/>
          <w:kern w:val="0"/>
          <w:sz w:val="20"/>
          <w:szCs w:val="20"/>
        </w:rPr>
        <w:t>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7-10</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下呼吸道感染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proofErr w:type="gramStart"/>
      <w:r w:rsidR="00C93B9D" w:rsidRPr="00C93B9D">
        <w:rPr>
          <w:rFonts w:ascii="Arial" w:eastAsia="宋体" w:hAnsi="Arial" w:cs="Arial"/>
          <w:kern w:val="0"/>
          <w:sz w:val="20"/>
          <w:szCs w:val="20"/>
        </w:rPr>
        <w:t> </w:t>
      </w:r>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、混悬剂：一次</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次；或一次</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泌尿系统感染、皮肤和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或</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proofErr w:type="gramStart"/>
      <w:r w:rsidR="00C93B9D" w:rsidRPr="00C93B9D">
        <w:rPr>
          <w:rFonts w:ascii="Arial" w:eastAsia="宋体" w:hAnsi="Arial" w:cs="Arial"/>
          <w:kern w:val="0"/>
          <w:sz w:val="20"/>
          <w:szCs w:val="20"/>
        </w:rPr>
        <w:t> </w:t>
      </w:r>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Ccr</w:t>
      </w:r>
      <w:r w:rsidR="00C93B9D" w:rsidRPr="00C93B9D">
        <w:rPr>
          <w:rFonts w:ascii="Arial" w:eastAsia="宋体" w:hAnsi="Arial" w:cs="Arial"/>
          <w:kern w:val="0"/>
          <w:sz w:val="20"/>
          <w:szCs w:val="20"/>
        </w:rPr>
        <w:t>小于</w:t>
      </w:r>
      <w:r w:rsidR="00C93B9D" w:rsidRPr="00C93B9D">
        <w:rPr>
          <w:rFonts w:ascii="Arial" w:eastAsia="宋体" w:hAnsi="Arial" w:cs="Arial"/>
          <w:kern w:val="0"/>
          <w:sz w:val="20"/>
          <w:szCs w:val="20"/>
        </w:rPr>
        <w:t>10ml/min</w:t>
      </w:r>
      <w:r w:rsidR="00C93B9D" w:rsidRPr="00C93B9D">
        <w:rPr>
          <w:rFonts w:ascii="Arial" w:eastAsia="宋体" w:hAnsi="Arial" w:cs="Arial"/>
          <w:kern w:val="0"/>
          <w:sz w:val="20"/>
          <w:szCs w:val="20"/>
        </w:rPr>
        <w:t>者，推荐剂量为一次阿莫西林</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或</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克拉维酸</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24</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Ccr</w:t>
      </w:r>
      <w:r w:rsidR="00C93B9D" w:rsidRPr="00C93B9D">
        <w:rPr>
          <w:rFonts w:ascii="Arial" w:eastAsia="宋体" w:hAnsi="Arial" w:cs="Arial"/>
          <w:kern w:val="0"/>
          <w:sz w:val="20"/>
          <w:szCs w:val="20"/>
        </w:rPr>
        <w:t>为</w:t>
      </w:r>
      <w:r w:rsidR="00C93B9D" w:rsidRPr="00C93B9D">
        <w:rPr>
          <w:rFonts w:ascii="Arial" w:eastAsia="宋体" w:hAnsi="Arial" w:cs="Arial"/>
          <w:kern w:val="0"/>
          <w:sz w:val="20"/>
          <w:szCs w:val="20"/>
        </w:rPr>
        <w:t>10-30ml/min</w:t>
      </w:r>
      <w:r w:rsidR="00C93B9D" w:rsidRPr="00C93B9D">
        <w:rPr>
          <w:rFonts w:ascii="Arial" w:eastAsia="宋体" w:hAnsi="Arial" w:cs="Arial"/>
          <w:kern w:val="0"/>
          <w:sz w:val="20"/>
          <w:szCs w:val="20"/>
        </w:rPr>
        <w:t>者，推荐剂量为一次阿莫西林</w:t>
      </w:r>
      <w:r w:rsidR="00C93B9D" w:rsidRPr="00C93B9D">
        <w:rPr>
          <w:rFonts w:ascii="Arial" w:eastAsia="宋体" w:hAnsi="Arial" w:cs="Arial"/>
          <w:kern w:val="0"/>
          <w:sz w:val="20"/>
          <w:szCs w:val="20"/>
        </w:rPr>
        <w:t>250-500mg/</w:t>
      </w:r>
      <w:r w:rsidR="00C93B9D" w:rsidRPr="00C93B9D">
        <w:rPr>
          <w:rFonts w:ascii="Arial" w:eastAsia="宋体" w:hAnsi="Arial" w:cs="Arial"/>
          <w:kern w:val="0"/>
          <w:sz w:val="20"/>
          <w:szCs w:val="20"/>
        </w:rPr>
        <w:t>克拉维酸</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对于血液透析者，维持剂量为一次</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或</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克拉维酸</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24</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次，且血液透析过程中及结束时各补充</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次剂量。对于腹膜透析者，推荐剂量为一次</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常规剂量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重度感染或其他药物治疗失败时，一日</w:t>
      </w:r>
      <w:r w:rsidR="00C93B9D" w:rsidRPr="00C93B9D">
        <w:rPr>
          <w:rFonts w:ascii="Arial" w:eastAsia="宋体" w:hAnsi="Arial" w:cs="Arial"/>
          <w:kern w:val="0"/>
          <w:sz w:val="20"/>
          <w:szCs w:val="20"/>
        </w:rPr>
        <w:t>90mg/kg(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次给药，连用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(1)5ml:125mg</w:t>
      </w:r>
      <w:r w:rsidR="00C93B9D" w:rsidRPr="00C93B9D">
        <w:rPr>
          <w:rFonts w:ascii="Arial" w:eastAsia="宋体" w:hAnsi="Arial" w:cs="Arial"/>
          <w:kern w:val="0"/>
          <w:sz w:val="20"/>
          <w:szCs w:val="20"/>
        </w:rPr>
        <w:t>混悬剂：</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个月以下婴儿，一日</w:t>
      </w:r>
      <w:r w:rsidR="00C93B9D" w:rsidRPr="00C93B9D">
        <w:rPr>
          <w:rFonts w:ascii="Arial" w:eastAsia="宋体" w:hAnsi="Arial" w:cs="Arial"/>
          <w:kern w:val="0"/>
          <w:sz w:val="20"/>
          <w:szCs w:val="20"/>
        </w:rPr>
        <w:t>30mg/kg(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(2)5ml:125mg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5ml:250mg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儿童，根据感染严重程度用药，一日</w:t>
      </w:r>
      <w:r w:rsidR="00C93B9D" w:rsidRPr="00C93B9D">
        <w:rPr>
          <w:rFonts w:ascii="Arial" w:eastAsia="宋体" w:hAnsi="Arial" w:cs="Arial"/>
          <w:kern w:val="0"/>
          <w:sz w:val="20"/>
          <w:szCs w:val="20"/>
        </w:rPr>
        <w:t>20-40mg/kg(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(3)5ml:200mg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5ml:400mg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400mg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儿童，根据感染严重程度用药，一日</w:t>
      </w:r>
      <w:r w:rsidR="00C93B9D" w:rsidRPr="00C93B9D">
        <w:rPr>
          <w:rFonts w:ascii="Arial" w:eastAsia="宋体" w:hAnsi="Arial" w:cs="Arial"/>
          <w:kern w:val="0"/>
          <w:sz w:val="20"/>
          <w:szCs w:val="20"/>
        </w:rPr>
        <w:t>25-45mg/kg(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(4)5ml:600mg</w:t>
      </w:r>
      <w:r w:rsidR="00C93B9D" w:rsidRPr="00C93B9D">
        <w:rPr>
          <w:rFonts w:ascii="Arial" w:eastAsia="宋体" w:hAnsi="Arial" w:cs="Arial"/>
          <w:kern w:val="0"/>
          <w:sz w:val="20"/>
          <w:szCs w:val="20"/>
        </w:rPr>
        <w:t>混悬剂：大于或等于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个月儿童，持续性感染剂量为一日</w:t>
      </w:r>
      <w:r w:rsidR="00C93B9D" w:rsidRPr="00C93B9D">
        <w:rPr>
          <w:rFonts w:ascii="Arial" w:eastAsia="宋体" w:hAnsi="Arial" w:cs="Arial"/>
          <w:kern w:val="0"/>
          <w:sz w:val="20"/>
          <w:szCs w:val="20"/>
        </w:rPr>
        <w:t>90mg/kg(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C93B9D" w:rsidRPr="00C93B9D">
        <w:rPr>
          <w:rFonts w:ascii="Arial" w:eastAsia="宋体" w:hAnsi="Arial" w:cs="Arial"/>
          <w:kern w:val="0"/>
          <w:sz w:val="20"/>
          <w:szCs w:val="20"/>
        </w:rPr>
        <w:t>(5)</w:t>
      </w:r>
      <w:proofErr w:type="gramStart"/>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鼻窦炎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(1)5ml:125mg</w:t>
      </w:r>
      <w:r w:rsidR="00C93B9D" w:rsidRPr="00C93B9D">
        <w:rPr>
          <w:rFonts w:ascii="Arial" w:eastAsia="宋体" w:hAnsi="Arial" w:cs="Arial"/>
          <w:kern w:val="0"/>
          <w:sz w:val="20"/>
          <w:szCs w:val="20"/>
        </w:rPr>
        <w:t>混悬剂：</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个月以下婴儿，同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(2)5ml:125mg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5ml:250mg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儿童，根据感染严重程度用药，一日</w:t>
      </w:r>
      <w:r w:rsidR="00C93B9D" w:rsidRPr="00C93B9D">
        <w:rPr>
          <w:rFonts w:ascii="Arial" w:eastAsia="宋体" w:hAnsi="Arial" w:cs="Arial"/>
          <w:kern w:val="0"/>
          <w:sz w:val="20"/>
          <w:szCs w:val="20"/>
        </w:rPr>
        <w:t>20-40mg/kg(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(3)5ml:200mg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5ml:400mg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400mg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儿童，根据感染严重程度用药，一日</w:t>
      </w:r>
      <w:r w:rsidR="00C93B9D" w:rsidRPr="00C93B9D">
        <w:rPr>
          <w:rFonts w:ascii="Arial" w:eastAsia="宋体" w:hAnsi="Arial" w:cs="Arial"/>
          <w:kern w:val="0"/>
          <w:sz w:val="20"/>
          <w:szCs w:val="20"/>
        </w:rPr>
        <w:t>25-45mg/kg(</w:t>
      </w:r>
      <w:r w:rsidR="00C93B9D" w:rsidRPr="00C93B9D">
        <w:rPr>
          <w:rFonts w:ascii="Arial" w:eastAsia="宋体" w:hAnsi="Arial" w:cs="Arial"/>
          <w:kern w:val="0"/>
          <w:sz w:val="20"/>
          <w:szCs w:val="20"/>
        </w:rPr>
        <w:t>按阿莫西林计</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，分次给药，每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C93B9D" w:rsidRPr="00C93B9D">
        <w:rPr>
          <w:rFonts w:ascii="Arial" w:eastAsia="宋体" w:hAnsi="Arial" w:cs="Arial"/>
          <w:kern w:val="0"/>
          <w:sz w:val="20"/>
          <w:szCs w:val="20"/>
        </w:rPr>
        <w:t>(4)</w:t>
      </w:r>
      <w:proofErr w:type="gramStart"/>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儿童，同成人用法用量。</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缓释片：大于或等于</w:t>
      </w:r>
      <w:r w:rsidR="00C93B9D" w:rsidRPr="00C93B9D">
        <w:rPr>
          <w:rFonts w:ascii="Arial" w:eastAsia="宋体" w:hAnsi="Arial" w:cs="Arial"/>
          <w:kern w:val="0"/>
          <w:sz w:val="20"/>
          <w:szCs w:val="20"/>
        </w:rPr>
        <w:t>16</w:t>
      </w:r>
      <w:r w:rsidR="00C93B9D" w:rsidRPr="00C93B9D">
        <w:rPr>
          <w:rFonts w:ascii="Arial" w:eastAsia="宋体" w:hAnsi="Arial" w:cs="Arial"/>
          <w:kern w:val="0"/>
          <w:sz w:val="20"/>
          <w:szCs w:val="20"/>
        </w:rPr>
        <w:t>岁的儿童，一次</w:t>
      </w:r>
      <w:r w:rsidR="00C93B9D" w:rsidRPr="00C93B9D">
        <w:rPr>
          <w:rFonts w:ascii="Arial" w:eastAsia="宋体" w:hAnsi="Arial" w:cs="Arial"/>
          <w:kern w:val="0"/>
          <w:sz w:val="20"/>
          <w:szCs w:val="20"/>
        </w:rPr>
        <w:t>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社区获得性肺炎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缓释片：大于或等于</w:t>
      </w:r>
      <w:r w:rsidR="00C93B9D" w:rsidRPr="00C93B9D">
        <w:rPr>
          <w:rFonts w:ascii="Arial" w:eastAsia="宋体" w:hAnsi="Arial" w:cs="Arial"/>
          <w:kern w:val="0"/>
          <w:sz w:val="20"/>
          <w:szCs w:val="20"/>
        </w:rPr>
        <w:t>16</w:t>
      </w:r>
      <w:r w:rsidR="00C93B9D" w:rsidRPr="00C93B9D">
        <w:rPr>
          <w:rFonts w:ascii="Arial" w:eastAsia="宋体" w:hAnsi="Arial" w:cs="Arial"/>
          <w:kern w:val="0"/>
          <w:sz w:val="20"/>
          <w:szCs w:val="20"/>
        </w:rPr>
        <w:t>岁的儿童，一次</w:t>
      </w:r>
      <w:r w:rsidR="00C93B9D" w:rsidRPr="00C93B9D">
        <w:rPr>
          <w:rFonts w:ascii="Arial" w:eastAsia="宋体" w:hAnsi="Arial" w:cs="Arial"/>
          <w:kern w:val="0"/>
          <w:sz w:val="20"/>
          <w:szCs w:val="20"/>
        </w:rPr>
        <w:t>2g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次，连用</w:t>
      </w:r>
      <w:r w:rsidR="00C93B9D" w:rsidRPr="00C93B9D">
        <w:rPr>
          <w:rFonts w:ascii="Arial" w:eastAsia="宋体" w:hAnsi="Arial" w:cs="Arial"/>
          <w:kern w:val="0"/>
          <w:sz w:val="20"/>
          <w:szCs w:val="20"/>
        </w:rPr>
        <w:t>7-10</w:t>
      </w:r>
      <w:r w:rsidR="00C93B9D" w:rsidRPr="00C93B9D">
        <w:rPr>
          <w:rFonts w:ascii="Arial" w:eastAsia="宋体" w:hAnsi="Arial" w:cs="Arial"/>
          <w:kern w:val="0"/>
          <w:sz w:val="20"/>
          <w:szCs w:val="20"/>
        </w:rPr>
        <w:t>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下呼吸道感</w:t>
      </w:r>
      <w:r w:rsidR="00C93B9D" w:rsidRPr="00C93B9D">
        <w:rPr>
          <w:rFonts w:ascii="Arial" w:eastAsia="宋体" w:hAnsi="Arial" w:cs="Arial"/>
          <w:kern w:val="0"/>
          <w:sz w:val="20"/>
          <w:szCs w:val="20"/>
        </w:rPr>
        <w:lastRenderedPageBreak/>
        <w:t>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(1)5ml:125mg</w:t>
      </w:r>
      <w:r w:rsidR="00C93B9D" w:rsidRPr="00C93B9D">
        <w:rPr>
          <w:rFonts w:ascii="Arial" w:eastAsia="宋体" w:hAnsi="Arial" w:cs="Arial"/>
          <w:kern w:val="0"/>
          <w:sz w:val="20"/>
          <w:szCs w:val="20"/>
        </w:rPr>
        <w:t>混悬剂：</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个月以下婴儿，同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(2)5ml:125mg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5ml:250mg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5ml:400mg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400mg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鼻窦炎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(3)</w:t>
      </w:r>
      <w:proofErr w:type="gramStart"/>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儿童，一次</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次；或一次</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泌尿系统感染、皮肤和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或</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软组织感染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(1)5ml:125mg</w:t>
      </w:r>
      <w:r w:rsidR="00C93B9D" w:rsidRPr="00C93B9D">
        <w:rPr>
          <w:rFonts w:ascii="Arial" w:eastAsia="宋体" w:hAnsi="Arial" w:cs="Arial"/>
          <w:kern w:val="0"/>
          <w:sz w:val="20"/>
          <w:szCs w:val="20"/>
        </w:rPr>
        <w:t>混悬剂：</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个月以下婴儿，同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急性中耳炎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(2)5ml:125mg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5ml:250mg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5ml:400mg</w:t>
      </w:r>
      <w:r w:rsidR="00C93B9D" w:rsidRPr="00C93B9D">
        <w:rPr>
          <w:rFonts w:ascii="Arial" w:eastAsia="宋体" w:hAnsi="Arial" w:cs="Arial"/>
          <w:kern w:val="0"/>
          <w:sz w:val="20"/>
          <w:szCs w:val="20"/>
        </w:rPr>
        <w:t>混悬剂或</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400mg</w:t>
      </w:r>
      <w:r w:rsidR="00C93B9D" w:rsidRPr="00C93B9D">
        <w:rPr>
          <w:rFonts w:ascii="Arial" w:eastAsia="宋体" w:hAnsi="Arial" w:cs="Arial"/>
          <w:kern w:val="0"/>
          <w:sz w:val="20"/>
          <w:szCs w:val="20"/>
        </w:rPr>
        <w:t>咀嚼片：大于或等于</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个月且体重小于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鼻窦炎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用法用量。</w:t>
      </w:r>
      <w:r w:rsidR="00C93B9D" w:rsidRPr="00C93B9D">
        <w:rPr>
          <w:rFonts w:ascii="Arial" w:eastAsia="宋体" w:hAnsi="Arial" w:cs="Arial"/>
          <w:kern w:val="0"/>
          <w:sz w:val="20"/>
          <w:szCs w:val="20"/>
        </w:rPr>
        <w:t>(3)</w:t>
      </w:r>
      <w:proofErr w:type="gramStart"/>
      <w:r w:rsidR="00C93B9D" w:rsidRPr="00C93B9D">
        <w:rPr>
          <w:rFonts w:ascii="Arial" w:eastAsia="宋体" w:hAnsi="Arial" w:cs="Arial"/>
          <w:kern w:val="0"/>
          <w:sz w:val="20"/>
          <w:szCs w:val="20"/>
        </w:rPr>
        <w:t>速释片</w:t>
      </w:r>
      <w:proofErr w:type="gramEnd"/>
      <w:r w:rsidR="00C93B9D" w:rsidRPr="00C93B9D">
        <w:rPr>
          <w:rFonts w:ascii="Arial" w:eastAsia="宋体" w:hAnsi="Arial" w:cs="Arial"/>
          <w:kern w:val="0"/>
          <w:sz w:val="20"/>
          <w:szCs w:val="20"/>
        </w:rPr>
        <w:t>、混悬剂：体重大于或等于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儿童，同成人用法用量。</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肾功能不全时剂量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且用法用量与成人一致的儿童，同成人</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肾功能不全时剂量</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透析时剂量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体重大于或等于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且用法用量与成人一致的儿童血液透析患者，同成人</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血液透析时剂量</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【给药说明】</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给药方式说明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口服给药</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本药口服制剂宜空腹或餐后服用，并可与牛奶等食物同服，以减少胃肠道反应。</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静脉注射</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因本药注射液稳定性与其浓度有关，故应在配制后</w:t>
      </w:r>
      <w:r w:rsidR="00C93B9D" w:rsidRPr="00C93B9D">
        <w:rPr>
          <w:rFonts w:ascii="Arial" w:eastAsia="宋体" w:hAnsi="Arial" w:cs="Arial"/>
          <w:kern w:val="0"/>
          <w:sz w:val="20"/>
          <w:szCs w:val="20"/>
        </w:rPr>
        <w:t>20</w:t>
      </w:r>
      <w:r w:rsidR="00C93B9D" w:rsidRPr="00C93B9D">
        <w:rPr>
          <w:rFonts w:ascii="Arial" w:eastAsia="宋体" w:hAnsi="Arial" w:cs="Arial"/>
          <w:kern w:val="0"/>
          <w:sz w:val="20"/>
          <w:szCs w:val="20"/>
        </w:rPr>
        <w:t>分钟内使用，缓慢注射，每次给药时间在</w:t>
      </w:r>
      <w:r w:rsidR="00C93B9D" w:rsidRPr="00C93B9D">
        <w:rPr>
          <w:rFonts w:ascii="Arial" w:eastAsia="宋体" w:hAnsi="Arial" w:cs="Arial"/>
          <w:kern w:val="0"/>
          <w:sz w:val="20"/>
          <w:szCs w:val="20"/>
        </w:rPr>
        <w:t>3-4</w:t>
      </w:r>
      <w:r w:rsidR="00C93B9D"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静脉滴注</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配制后的本药滴注液应在</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小时内使用，每次给药时间在</w:t>
      </w:r>
      <w:r w:rsidR="00C93B9D" w:rsidRPr="00C93B9D">
        <w:rPr>
          <w:rFonts w:ascii="Arial" w:eastAsia="宋体" w:hAnsi="Arial" w:cs="Arial"/>
          <w:kern w:val="0"/>
          <w:sz w:val="20"/>
          <w:szCs w:val="20"/>
        </w:rPr>
        <w:t>30-40</w:t>
      </w:r>
      <w:r w:rsidR="00C93B9D" w:rsidRPr="00C93B9D">
        <w:rPr>
          <w:rFonts w:ascii="Arial" w:eastAsia="宋体" w:hAnsi="Arial" w:cs="Arial"/>
          <w:kern w:val="0"/>
          <w:sz w:val="20"/>
          <w:szCs w:val="20"/>
        </w:rPr>
        <w:t>分钟内。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本药注射剂给药时应静脉注射或静脉滴注，不适用于肌内注射。</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注射液的配制</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本药注射剂静脉滴注给药时，可用注射用水、</w:t>
      </w:r>
      <w:r w:rsidR="00C93B9D" w:rsidRPr="00C93B9D">
        <w:rPr>
          <w:rFonts w:ascii="Arial" w:eastAsia="宋体" w:hAnsi="Arial" w:cs="Arial"/>
          <w:kern w:val="0"/>
          <w:sz w:val="20"/>
          <w:szCs w:val="20"/>
        </w:rPr>
        <w:t>0.9%</w:t>
      </w:r>
      <w:r w:rsidR="00C93B9D" w:rsidRPr="00C93B9D">
        <w:rPr>
          <w:rFonts w:ascii="Arial" w:eastAsia="宋体" w:hAnsi="Arial" w:cs="Arial"/>
          <w:kern w:val="0"/>
          <w:sz w:val="20"/>
          <w:szCs w:val="20"/>
        </w:rPr>
        <w:t>生理盐水、乳酸钠溶液等配制，溶解后应立即将注射液稀释到</w:t>
      </w:r>
      <w:r w:rsidR="00C93B9D" w:rsidRPr="00C93B9D">
        <w:rPr>
          <w:rFonts w:ascii="Arial" w:eastAsia="宋体" w:hAnsi="Arial" w:cs="Arial"/>
          <w:kern w:val="0"/>
          <w:sz w:val="20"/>
          <w:szCs w:val="20"/>
        </w:rPr>
        <w:t>50-100ml</w:t>
      </w:r>
      <w:r w:rsidR="00C93B9D" w:rsidRPr="00C93B9D">
        <w:rPr>
          <w:rFonts w:ascii="Arial" w:eastAsia="宋体" w:hAnsi="Arial" w:cs="Arial"/>
          <w:kern w:val="0"/>
          <w:sz w:val="20"/>
          <w:szCs w:val="20"/>
        </w:rPr>
        <w:t>的滴注液中。</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【禁忌症】</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对本药、青霉素类或其他</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内酰胺类、头孢菌素类抗生素过敏者。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使用本药或其他青霉素类药曾出现黄疸或肝功能损害者。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传染性单核细胞增多症患者。</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【慎用】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有哮喘、湿疹、花粉症、荨麻疹等过敏性疾病史者。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严重肝功能障碍者。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中至重度肾功能障碍者。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假膜性肠炎患者</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国外资料</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哺乳期妇女。</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【特殊人群】</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儿童</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16</w:t>
      </w:r>
      <w:r w:rsidR="00C93B9D" w:rsidRPr="00C93B9D">
        <w:rPr>
          <w:rFonts w:ascii="Arial" w:eastAsia="宋体" w:hAnsi="Arial" w:cs="Arial"/>
          <w:kern w:val="0"/>
          <w:sz w:val="20"/>
          <w:szCs w:val="20"/>
        </w:rPr>
        <w:t>岁以下儿童使用本药缓释片的安全性和有效性尚未建立。对于小于</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岁或体重小于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t>儿童，建议选用本药混悬剂。</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老人</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参见</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老年人剂量</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妊娠期妇女</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本药可通过胎盘，脐带血中药物浓度为母体血药浓度的</w:t>
      </w:r>
      <w:r w:rsidR="00C93B9D" w:rsidRPr="00C93B9D">
        <w:rPr>
          <w:rFonts w:ascii="Arial" w:eastAsia="宋体" w:hAnsi="Arial" w:cs="Arial"/>
          <w:kern w:val="0"/>
          <w:sz w:val="20"/>
          <w:szCs w:val="20"/>
        </w:rPr>
        <w:t>1/4-1/3</w:t>
      </w:r>
      <w:r w:rsidR="00C93B9D" w:rsidRPr="00C93B9D">
        <w:rPr>
          <w:rFonts w:ascii="Arial" w:eastAsia="宋体" w:hAnsi="Arial" w:cs="Arial"/>
          <w:kern w:val="0"/>
          <w:sz w:val="20"/>
          <w:szCs w:val="20"/>
        </w:rPr>
        <w:t>。妊娠期妇女用药后，对早产儿或者延迟破膜的早熟的胎儿有潜在的增加其患坏死性小肠结肠炎的风险，体内的雌三醇、雌三醇</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葡糖苷酸和雌二醇还可出现暂时性减少。</w:t>
      </w:r>
      <w:proofErr w:type="gramStart"/>
      <w:r w:rsidR="00C93B9D" w:rsidRPr="00C93B9D">
        <w:rPr>
          <w:rFonts w:ascii="Arial" w:eastAsia="宋体" w:hAnsi="Arial" w:cs="Arial"/>
          <w:kern w:val="0"/>
          <w:sz w:val="20"/>
          <w:szCs w:val="20"/>
        </w:rPr>
        <w:t>虽动物</w:t>
      </w:r>
      <w:proofErr w:type="gramEnd"/>
      <w:r w:rsidR="00C93B9D" w:rsidRPr="00C93B9D">
        <w:rPr>
          <w:rFonts w:ascii="Arial" w:eastAsia="宋体" w:hAnsi="Arial" w:cs="Arial"/>
          <w:kern w:val="0"/>
          <w:sz w:val="20"/>
          <w:szCs w:val="20"/>
        </w:rPr>
        <w:t>试验显示本药无致畸作用，但妊娠期妇女用药仍应权衡利弊。</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美国食品药品管理局</w:t>
      </w:r>
      <w:r w:rsidR="00C93B9D" w:rsidRPr="00C93B9D">
        <w:rPr>
          <w:rFonts w:ascii="Arial" w:eastAsia="宋体" w:hAnsi="Arial" w:cs="Arial"/>
          <w:kern w:val="0"/>
          <w:sz w:val="20"/>
          <w:szCs w:val="20"/>
        </w:rPr>
        <w:t>(FDA)</w:t>
      </w:r>
      <w:r w:rsidR="00C93B9D" w:rsidRPr="00C93B9D">
        <w:rPr>
          <w:rFonts w:ascii="Arial" w:eastAsia="宋体" w:hAnsi="Arial" w:cs="Arial"/>
          <w:kern w:val="0"/>
          <w:sz w:val="20"/>
          <w:szCs w:val="20"/>
        </w:rPr>
        <w:t>对本药的妊娠安全性分级为</w:t>
      </w:r>
      <w:r w:rsidR="00C93B9D" w:rsidRPr="00C93B9D">
        <w:rPr>
          <w:rFonts w:ascii="Arial" w:eastAsia="宋体" w:hAnsi="Arial" w:cs="Arial"/>
          <w:kern w:val="0"/>
          <w:sz w:val="20"/>
          <w:szCs w:val="20"/>
        </w:rPr>
        <w:t>B</w:t>
      </w:r>
      <w:r w:rsidR="00C93B9D" w:rsidRPr="00C93B9D">
        <w:rPr>
          <w:rFonts w:ascii="Arial" w:eastAsia="宋体" w:hAnsi="Arial" w:cs="Arial"/>
          <w:kern w:val="0"/>
          <w:sz w:val="20"/>
          <w:szCs w:val="20"/>
        </w:rPr>
        <w:t>级。</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哺乳期妇女</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本药可随乳汁排泄，可能使乳儿出现过敏、腹泻、皮疹、念珠菌属感染等，故哺乳期妇女慎用或用药期间暂停哺乳。</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特殊疾病状态</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怀疑为伴梅毒损害的淋病患者：在使用本药前应进行暗视野检查，并每月进行血清试验</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次，至少</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怀疑为传染性单核细胞增多症的患者：应避免使用本药，因传染性单核细胞增多症患者使用阿莫西林易发生红斑性皮疹。</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接受抗凝治疗的患者：有使用本药延长出血时间及凝血酶原时间的报道，故此类患者慎用。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肝功能损害者：应慎用，并定期检查肝功能。</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【不良反应】</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本药不良反应多数程度较轻，呈一过性。</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呼吸系统</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可见哮喘。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泌尿生殖系统</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偶见尿素氮升高。非常罕见结晶尿、间质性肾炎。也可能出现阴道瘙痒、溃疡、异常分泌物。</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神经系统</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罕见意识模糊、失眠、可逆性的功能亢进、兴奋、头晕、头痛和惊厥，惊厥可出现在肾功能不全患者或用药过量的患者。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精神</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罕见激动、焦虑、行为变化。</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肝脏</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少见暂时性的肝功能异常。偶见胆红素升高、碱性磷酸酶升高、血清丙氨酸氨基转移酶升高或门冬氨酸氨基转移酶升高，通常是可逆的，并以老年人、男性或长期治疗的患者更为常见。罕见肝炎、胆汁淤积性黄疸。</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6.</w:t>
      </w:r>
      <w:r w:rsidR="00C93B9D" w:rsidRPr="00C93B9D">
        <w:rPr>
          <w:rFonts w:ascii="Arial" w:eastAsia="宋体" w:hAnsi="Arial" w:cs="Arial"/>
          <w:kern w:val="0"/>
          <w:sz w:val="20"/>
          <w:szCs w:val="20"/>
        </w:rPr>
        <w:t>胃肠道</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可见恶心、呕吐、消化不良、腹泻、口炎、舌炎、舌苔黑、黏膜念珠菌病、胃炎、结肠</w:t>
      </w:r>
      <w:r w:rsidR="00C93B9D" w:rsidRPr="00C93B9D">
        <w:rPr>
          <w:rFonts w:ascii="Arial" w:eastAsia="宋体" w:hAnsi="Arial" w:cs="Arial"/>
          <w:kern w:val="0"/>
          <w:sz w:val="20"/>
          <w:szCs w:val="20"/>
        </w:rPr>
        <w:lastRenderedPageBreak/>
        <w:t>炎等。有抗生素相关性结肠炎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包括假膜性结肠炎和出血性结肠炎</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的报道。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7.</w:t>
      </w:r>
      <w:r w:rsidR="00C93B9D" w:rsidRPr="00C93B9D">
        <w:rPr>
          <w:rFonts w:ascii="Arial" w:eastAsia="宋体" w:hAnsi="Arial" w:cs="Arial"/>
          <w:kern w:val="0"/>
          <w:sz w:val="20"/>
          <w:szCs w:val="20"/>
        </w:rPr>
        <w:t>血液</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偶见嗜酸粒细胞增多。罕见可逆性的白细胞减少</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包括中性粒细胞减少或粒细胞缺乏</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、可逆性血小板减少、溶血性贫血等。</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皮肤</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偶见荨麻疹和麻疹样皮疹。罕见多型性红斑、史</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约综合征</w:t>
      </w:r>
      <w:r w:rsidR="00C93B9D" w:rsidRPr="00C93B9D">
        <w:rPr>
          <w:rFonts w:ascii="Arial" w:eastAsia="宋体" w:hAnsi="Arial" w:cs="Arial"/>
          <w:kern w:val="0"/>
          <w:sz w:val="20"/>
          <w:szCs w:val="20"/>
        </w:rPr>
        <w:t>(Stevens-Johnson</w:t>
      </w:r>
      <w:r w:rsidR="00C93B9D" w:rsidRPr="00C93B9D">
        <w:rPr>
          <w:rFonts w:ascii="Arial" w:eastAsia="宋体" w:hAnsi="Arial" w:cs="Arial"/>
          <w:kern w:val="0"/>
          <w:sz w:val="20"/>
          <w:szCs w:val="20"/>
        </w:rPr>
        <w:t>综合征</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、中毒性表皮坏死、</w:t>
      </w:r>
      <w:proofErr w:type="gramStart"/>
      <w:r w:rsidR="00C93B9D" w:rsidRPr="00C93B9D">
        <w:rPr>
          <w:rFonts w:ascii="Arial" w:eastAsia="宋体" w:hAnsi="Arial" w:cs="Arial"/>
          <w:kern w:val="0"/>
          <w:sz w:val="20"/>
          <w:szCs w:val="20"/>
        </w:rPr>
        <w:t>大疱样剥脱</w:t>
      </w:r>
      <w:proofErr w:type="gramEnd"/>
      <w:r w:rsidR="00C93B9D" w:rsidRPr="00C93B9D">
        <w:rPr>
          <w:rFonts w:ascii="Arial" w:eastAsia="宋体" w:hAnsi="Arial" w:cs="Arial"/>
          <w:kern w:val="0"/>
          <w:sz w:val="20"/>
          <w:szCs w:val="20"/>
        </w:rPr>
        <w:t>性皮炎、急性全身性幼儿急疹样脓疱病。</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9.</w:t>
      </w:r>
      <w:r w:rsidR="00C93B9D" w:rsidRPr="00C93B9D">
        <w:rPr>
          <w:rFonts w:ascii="Arial" w:eastAsia="宋体" w:hAnsi="Arial" w:cs="Arial"/>
          <w:kern w:val="0"/>
          <w:sz w:val="20"/>
          <w:szCs w:val="20"/>
        </w:rPr>
        <w:t>过敏反应</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可见过敏性休克。有出现血清病样综合征、过敏性血管炎、血管神经水肿的报道。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10.</w:t>
      </w:r>
      <w:r w:rsidR="00C93B9D" w:rsidRPr="00C93B9D">
        <w:rPr>
          <w:rFonts w:ascii="Arial" w:eastAsia="宋体" w:hAnsi="Arial" w:cs="Arial"/>
          <w:kern w:val="0"/>
          <w:sz w:val="20"/>
          <w:szCs w:val="20"/>
        </w:rPr>
        <w:t>其他</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可见药物热、念珠菌或耐药菌引起的二重感染。偶见注射给药部位静脉炎。</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w:t>
      </w:r>
      <w:r w:rsidR="00C93B9D" w:rsidRPr="00C93B9D">
        <w:rPr>
          <w:rFonts w:ascii="Arial" w:eastAsia="宋体" w:hAnsi="Arial" w:cs="Arial"/>
          <w:b/>
          <w:bCs/>
          <w:kern w:val="0"/>
          <w:sz w:val="20"/>
          <w:szCs w:val="20"/>
        </w:rPr>
        <w:t>-</w:t>
      </w:r>
      <w:r w:rsidR="00C93B9D" w:rsidRPr="00C93B9D">
        <w:rPr>
          <w:rFonts w:ascii="Arial" w:eastAsia="宋体" w:hAnsi="Arial" w:cs="Arial"/>
          <w:b/>
          <w:bCs/>
          <w:kern w:val="0"/>
          <w:sz w:val="20"/>
          <w:szCs w:val="20"/>
        </w:rPr>
        <w:t>药物相互作用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氨基糖苷类药：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结果：合用在亚抑菌浓度时可增强本药</w:t>
      </w:r>
      <w:proofErr w:type="gramStart"/>
      <w:r w:rsidR="00C93B9D" w:rsidRPr="00C93B9D">
        <w:rPr>
          <w:rFonts w:ascii="Arial" w:eastAsia="宋体" w:hAnsi="Arial" w:cs="Arial"/>
          <w:kern w:val="0"/>
          <w:sz w:val="20"/>
          <w:szCs w:val="20"/>
        </w:rPr>
        <w:t>对粪肠球菌</w:t>
      </w:r>
      <w:proofErr w:type="gramEnd"/>
      <w:r w:rsidR="00C93B9D" w:rsidRPr="00C93B9D">
        <w:rPr>
          <w:rFonts w:ascii="Arial" w:eastAsia="宋体" w:hAnsi="Arial" w:cs="Arial"/>
          <w:kern w:val="0"/>
          <w:sz w:val="20"/>
          <w:szCs w:val="20"/>
        </w:rPr>
        <w:t>的体外杀菌作用。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丙</w:t>
      </w:r>
      <w:proofErr w:type="gramStart"/>
      <w:r w:rsidR="00C93B9D" w:rsidRPr="00C93B9D">
        <w:rPr>
          <w:rFonts w:ascii="Arial" w:eastAsia="宋体" w:hAnsi="Arial" w:cs="Arial"/>
          <w:kern w:val="0"/>
          <w:sz w:val="20"/>
          <w:szCs w:val="20"/>
        </w:rPr>
        <w:t>磺</w:t>
      </w:r>
      <w:proofErr w:type="gramEnd"/>
      <w:r w:rsidR="00C93B9D" w:rsidRPr="00C93B9D">
        <w:rPr>
          <w:rFonts w:ascii="Arial" w:eastAsia="宋体" w:hAnsi="Arial" w:cs="Arial"/>
          <w:kern w:val="0"/>
          <w:sz w:val="20"/>
          <w:szCs w:val="20"/>
        </w:rPr>
        <w:t>舒：</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结果：丙</w:t>
      </w:r>
      <w:proofErr w:type="gramStart"/>
      <w:r w:rsidR="00C93B9D" w:rsidRPr="00C93B9D">
        <w:rPr>
          <w:rFonts w:ascii="Arial" w:eastAsia="宋体" w:hAnsi="Arial" w:cs="Arial"/>
          <w:kern w:val="0"/>
          <w:sz w:val="20"/>
          <w:szCs w:val="20"/>
        </w:rPr>
        <w:t>磺舒对</w:t>
      </w:r>
      <w:proofErr w:type="gramEnd"/>
      <w:r w:rsidR="00C93B9D" w:rsidRPr="00C93B9D">
        <w:rPr>
          <w:rFonts w:ascii="Arial" w:eastAsia="宋体" w:hAnsi="Arial" w:cs="Arial"/>
          <w:kern w:val="0"/>
          <w:sz w:val="20"/>
          <w:szCs w:val="20"/>
        </w:rPr>
        <w:t>克拉维酸血药浓度无影响，但能提高阿莫西林的血药浓度。</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阿司匹林、</w:t>
      </w:r>
      <w:proofErr w:type="gramStart"/>
      <w:r w:rsidR="00C93B9D" w:rsidRPr="00C93B9D">
        <w:rPr>
          <w:rFonts w:ascii="Arial" w:eastAsia="宋体" w:hAnsi="Arial" w:cs="Arial"/>
          <w:kern w:val="0"/>
          <w:sz w:val="20"/>
          <w:szCs w:val="20"/>
        </w:rPr>
        <w:t>吲哚美辛</w:t>
      </w:r>
      <w:proofErr w:type="gramEnd"/>
      <w:r w:rsidR="00C93B9D" w:rsidRPr="00C93B9D">
        <w:rPr>
          <w:rFonts w:ascii="Arial" w:eastAsia="宋体" w:hAnsi="Arial" w:cs="Arial"/>
          <w:kern w:val="0"/>
          <w:sz w:val="20"/>
          <w:szCs w:val="20"/>
        </w:rPr>
        <w:t>、保泰松、磺胺药：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结果：合用可减少本药在肾小管的排泄，升高其血药浓度，延长其半衰期，但毒性也可能增加。</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华法林：</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结果：合用可使华法</w:t>
      </w:r>
      <w:proofErr w:type="gramStart"/>
      <w:r w:rsidR="00C93B9D" w:rsidRPr="00C93B9D">
        <w:rPr>
          <w:rFonts w:ascii="Arial" w:eastAsia="宋体" w:hAnsi="Arial" w:cs="Arial"/>
          <w:kern w:val="0"/>
          <w:sz w:val="20"/>
          <w:szCs w:val="20"/>
        </w:rPr>
        <w:t>林作用</w:t>
      </w:r>
      <w:proofErr w:type="gramEnd"/>
      <w:r w:rsidR="00C93B9D" w:rsidRPr="00C93B9D">
        <w:rPr>
          <w:rFonts w:ascii="Arial" w:eastAsia="宋体" w:hAnsi="Arial" w:cs="Arial"/>
          <w:kern w:val="0"/>
          <w:sz w:val="20"/>
          <w:szCs w:val="20"/>
        </w:rPr>
        <w:t>增强。</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别</w:t>
      </w:r>
      <w:proofErr w:type="gramStart"/>
      <w:r w:rsidR="00C93B9D" w:rsidRPr="00C93B9D">
        <w:rPr>
          <w:rFonts w:ascii="Arial" w:eastAsia="宋体" w:hAnsi="Arial" w:cs="Arial"/>
          <w:kern w:val="0"/>
          <w:sz w:val="20"/>
          <w:szCs w:val="20"/>
        </w:rPr>
        <w:t>嘌</w:t>
      </w:r>
      <w:proofErr w:type="gramEnd"/>
      <w:r w:rsidR="00C93B9D" w:rsidRPr="00C93B9D">
        <w:rPr>
          <w:rFonts w:ascii="Arial" w:eastAsia="宋体" w:hAnsi="Arial" w:cs="Arial"/>
          <w:kern w:val="0"/>
          <w:sz w:val="20"/>
          <w:szCs w:val="20"/>
        </w:rPr>
        <w:t>醇：</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结果：合用可增加皮疹发生率。</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处理：应避免合用。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6.</w:t>
      </w:r>
      <w:r w:rsidR="00C93B9D" w:rsidRPr="00C93B9D">
        <w:rPr>
          <w:rFonts w:ascii="Arial" w:eastAsia="宋体" w:hAnsi="Arial" w:cs="Arial"/>
          <w:kern w:val="0"/>
          <w:sz w:val="20"/>
          <w:szCs w:val="20"/>
        </w:rPr>
        <w:t>甲氨蝶</w:t>
      </w:r>
      <w:proofErr w:type="gramStart"/>
      <w:r w:rsidR="00C93B9D" w:rsidRPr="00C93B9D">
        <w:rPr>
          <w:rFonts w:ascii="Arial" w:eastAsia="宋体" w:hAnsi="Arial" w:cs="Arial"/>
          <w:kern w:val="0"/>
          <w:sz w:val="20"/>
          <w:szCs w:val="20"/>
        </w:rPr>
        <w:t>呤</w:t>
      </w:r>
      <w:proofErr w:type="gramEnd"/>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结果：合用可使甲氨蝶</w:t>
      </w:r>
      <w:proofErr w:type="gramStart"/>
      <w:r w:rsidR="00C93B9D" w:rsidRPr="00C93B9D">
        <w:rPr>
          <w:rFonts w:ascii="Arial" w:eastAsia="宋体" w:hAnsi="Arial" w:cs="Arial"/>
          <w:kern w:val="0"/>
          <w:sz w:val="20"/>
          <w:szCs w:val="20"/>
        </w:rPr>
        <w:t>呤</w:t>
      </w:r>
      <w:proofErr w:type="gramEnd"/>
      <w:r w:rsidR="00C93B9D" w:rsidRPr="00C93B9D">
        <w:rPr>
          <w:rFonts w:ascii="Arial" w:eastAsia="宋体" w:hAnsi="Arial" w:cs="Arial"/>
          <w:kern w:val="0"/>
          <w:sz w:val="20"/>
          <w:szCs w:val="20"/>
        </w:rPr>
        <w:t>发生毒性的危险增加。</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机制：甲氨蝶</w:t>
      </w:r>
      <w:proofErr w:type="gramStart"/>
      <w:r w:rsidR="00C93B9D" w:rsidRPr="00C93B9D">
        <w:rPr>
          <w:rFonts w:ascii="Arial" w:eastAsia="宋体" w:hAnsi="Arial" w:cs="Arial"/>
          <w:kern w:val="0"/>
          <w:sz w:val="20"/>
          <w:szCs w:val="20"/>
        </w:rPr>
        <w:t>呤</w:t>
      </w:r>
      <w:proofErr w:type="gramEnd"/>
      <w:r w:rsidR="00C93B9D" w:rsidRPr="00C93B9D">
        <w:rPr>
          <w:rFonts w:ascii="Arial" w:eastAsia="宋体" w:hAnsi="Arial" w:cs="Arial"/>
          <w:kern w:val="0"/>
          <w:sz w:val="20"/>
          <w:szCs w:val="20"/>
        </w:rPr>
        <w:t>肾清除率降低。</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7.</w:t>
      </w:r>
      <w:r w:rsidR="00C93B9D" w:rsidRPr="00C93B9D">
        <w:rPr>
          <w:rFonts w:ascii="Arial" w:eastAsia="宋体" w:hAnsi="Arial" w:cs="Arial"/>
          <w:kern w:val="0"/>
          <w:sz w:val="20"/>
          <w:szCs w:val="20"/>
        </w:rPr>
        <w:t>氯霉素、红霉素、四环素类、磺胺药等抑菌药：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结果：合用可干扰本药杀菌活性。</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处理：本药不宜与以上药物合用，尤其在治疗脑膜炎或急需杀菌药的严重感染时。本药与氯霉素合用于细菌性脑膜炎时，远期后遗症的发生率较两者单用时高。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口服避孕药：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结果：合用可降低避孕药药效。</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机制：刺激雌激素代谢或减少其肠肝循环。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9.</w:t>
      </w:r>
      <w:r w:rsidR="00C93B9D" w:rsidRPr="00C93B9D">
        <w:rPr>
          <w:rFonts w:ascii="Arial" w:eastAsia="宋体" w:hAnsi="Arial" w:cs="Arial"/>
          <w:kern w:val="0"/>
          <w:sz w:val="20"/>
          <w:szCs w:val="20"/>
        </w:rPr>
        <w:t>伤寒活疫苗：</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结果：合用可降低伤寒活疫苗的免疫效应。</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机制：本药对伤寒沙门菌有抗菌活性。</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w:t>
      </w:r>
      <w:r w:rsidR="00C93B9D" w:rsidRPr="00C93B9D">
        <w:rPr>
          <w:rFonts w:ascii="Arial" w:eastAsia="宋体" w:hAnsi="Arial" w:cs="Arial"/>
          <w:b/>
          <w:bCs/>
          <w:kern w:val="0"/>
          <w:sz w:val="20"/>
          <w:szCs w:val="20"/>
        </w:rPr>
        <w:t>-</w:t>
      </w:r>
      <w:r w:rsidR="00C93B9D" w:rsidRPr="00C93B9D">
        <w:rPr>
          <w:rFonts w:ascii="Arial" w:eastAsia="宋体" w:hAnsi="Arial" w:cs="Arial"/>
          <w:b/>
          <w:bCs/>
          <w:kern w:val="0"/>
          <w:sz w:val="20"/>
          <w:szCs w:val="20"/>
        </w:rPr>
        <w:t>食物相互作用</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食物：</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结果：食物不影响本药在胃肠道的吸收。</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处理：本药口服制剂可空腹或餐后服用，并可与牛奶等食物同服，以减少胃肠道反应。</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【注意事项】</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用药警示</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用药前须详细询问患者过敏史。</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本药缓释片和</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的片剂不可用于</w:t>
      </w:r>
      <w:r w:rsidR="00C93B9D" w:rsidRPr="00C93B9D">
        <w:rPr>
          <w:rFonts w:ascii="Arial" w:eastAsia="宋体" w:hAnsi="Arial" w:cs="Arial"/>
          <w:kern w:val="0"/>
          <w:sz w:val="20"/>
          <w:szCs w:val="20"/>
        </w:rPr>
        <w:t>Ccr</w:t>
      </w:r>
      <w:r w:rsidR="00C93B9D" w:rsidRPr="00C93B9D">
        <w:rPr>
          <w:rFonts w:ascii="Arial" w:eastAsia="宋体" w:hAnsi="Arial" w:cs="Arial"/>
          <w:kern w:val="0"/>
          <w:sz w:val="20"/>
          <w:szCs w:val="20"/>
        </w:rPr>
        <w:t>小于</w:t>
      </w:r>
      <w:r w:rsidR="00C93B9D" w:rsidRPr="00C93B9D">
        <w:rPr>
          <w:rFonts w:ascii="Arial" w:eastAsia="宋体" w:hAnsi="Arial" w:cs="Arial"/>
          <w:kern w:val="0"/>
          <w:sz w:val="20"/>
          <w:szCs w:val="20"/>
        </w:rPr>
        <w:t>30ml/min</w:t>
      </w:r>
      <w:r w:rsidR="00C93B9D" w:rsidRPr="00C93B9D">
        <w:rPr>
          <w:rFonts w:ascii="Arial" w:eastAsia="宋体" w:hAnsi="Arial" w:cs="Arial"/>
          <w:kern w:val="0"/>
          <w:sz w:val="20"/>
          <w:szCs w:val="20"/>
        </w:rPr>
        <w:t>者和血液透析者。</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交叉过敏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本药与其他青霉素类药、头孢菌素类药有交叉过敏。</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皮肤过敏试验</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本药使用前需做青霉素钠的皮肤敏感试验，阳性反应者禁用。</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不良反应的处理方法</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若有过敏反应发生，应立即停药，并采取相应急救措施。严重的过敏反应需立即给予肾上腺素，并进行吸氧、静脉注射类固醇、喉管导气等处理。</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用药后发生腹泻的患者应谨慎处理。轻度假膜性肠炎可能是由于间歇用药所致。对较严重者，应补充电解质、蛋白质，并给予对梭状芽孢杆菌有效的抗生素治疗。</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r w:rsidR="00C93B9D" w:rsidRPr="00C93B9D">
        <w:rPr>
          <w:rFonts w:ascii="Arial" w:eastAsia="宋体" w:hAnsi="Arial" w:cs="Arial"/>
          <w:kern w:val="0"/>
          <w:sz w:val="20"/>
          <w:szCs w:val="20"/>
        </w:rPr>
        <w:t>出现双重感染时，应停药或采取合适的方法继续治疗。</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药物对检验值或诊断的影响</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以硫酸铜法进行尿糖测定时可呈假阳性，用葡萄糖酶法测定则不受影响。</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直接抗球蛋白</w:t>
      </w:r>
      <w:r w:rsidR="00C93B9D" w:rsidRPr="00C93B9D">
        <w:rPr>
          <w:rFonts w:ascii="Arial" w:eastAsia="宋体" w:hAnsi="Arial" w:cs="Arial"/>
          <w:kern w:val="0"/>
          <w:sz w:val="20"/>
          <w:szCs w:val="20"/>
        </w:rPr>
        <w:t>(Coombs)</w:t>
      </w:r>
      <w:r w:rsidR="00C93B9D" w:rsidRPr="00C93B9D">
        <w:rPr>
          <w:rFonts w:ascii="Arial" w:eastAsia="宋体" w:hAnsi="Arial" w:cs="Arial"/>
          <w:kern w:val="0"/>
          <w:sz w:val="20"/>
          <w:szCs w:val="20"/>
        </w:rPr>
        <w:t>实验可呈阳性。</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用药前后及用药时应当检查或监测</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长期或大剂量用药者，应监测血清钾、钠浓度，并定期检查肝、肾功能和造血系统功能。</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首次给药时应监测过敏性反应。</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制剂注意事项</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苯丙氨酸：本</w:t>
      </w:r>
      <w:proofErr w:type="gramStart"/>
      <w:r w:rsidR="00C93B9D" w:rsidRPr="00C93B9D">
        <w:rPr>
          <w:rFonts w:ascii="Arial" w:eastAsia="宋体" w:hAnsi="Arial" w:cs="Arial"/>
          <w:kern w:val="0"/>
          <w:sz w:val="20"/>
          <w:szCs w:val="20"/>
        </w:rPr>
        <w:t>药某些</w:t>
      </w:r>
      <w:proofErr w:type="gramEnd"/>
      <w:r w:rsidR="00C93B9D" w:rsidRPr="00C93B9D">
        <w:rPr>
          <w:rFonts w:ascii="Arial" w:eastAsia="宋体" w:hAnsi="Arial" w:cs="Arial"/>
          <w:kern w:val="0"/>
          <w:sz w:val="20"/>
          <w:szCs w:val="20"/>
        </w:rPr>
        <w:t>制剂含苯丙氨酸，用药时需谨慎。</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其他注意事项</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本药与氨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西林有完全交叉耐药性，与其他青霉素类和头孢菌素类药有部分交叉耐药性。</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本药在含葡萄糖、葡聚糖或碳酸氢盐的滴注液中较不稳定，配制好的本药注射液既不能加入此类注射用溶液中，也不能冷冻保存。当注射液温度达到室温时应立即使用，剩余药液应丢弃。</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proofErr w:type="gramStart"/>
      <w:r w:rsidR="00C93B9D" w:rsidRPr="00C93B9D">
        <w:rPr>
          <w:rFonts w:ascii="Arial" w:eastAsia="宋体" w:hAnsi="Arial" w:cs="Arial"/>
          <w:kern w:val="0"/>
          <w:sz w:val="20"/>
          <w:szCs w:val="20"/>
        </w:rPr>
        <w:t>克拉维酸钾单次</w:t>
      </w:r>
      <w:proofErr w:type="gramEnd"/>
      <w:r w:rsidR="00C93B9D" w:rsidRPr="00C93B9D">
        <w:rPr>
          <w:rFonts w:ascii="Arial" w:eastAsia="宋体" w:hAnsi="Arial" w:cs="Arial"/>
          <w:kern w:val="0"/>
          <w:sz w:val="20"/>
          <w:szCs w:val="20"/>
        </w:rPr>
        <w:t>剂量不宜超过</w:t>
      </w:r>
      <w:r w:rsidR="00C93B9D" w:rsidRPr="00C93B9D">
        <w:rPr>
          <w:rFonts w:ascii="Arial" w:eastAsia="宋体" w:hAnsi="Arial" w:cs="Arial"/>
          <w:kern w:val="0"/>
          <w:sz w:val="20"/>
          <w:szCs w:val="20"/>
        </w:rPr>
        <w:t>0.2g</w:t>
      </w:r>
      <w:r w:rsidR="00C93B9D" w:rsidRPr="00C93B9D">
        <w:rPr>
          <w:rFonts w:ascii="Arial" w:eastAsia="宋体" w:hAnsi="Arial" w:cs="Arial"/>
          <w:kern w:val="0"/>
          <w:sz w:val="20"/>
          <w:szCs w:val="20"/>
        </w:rPr>
        <w:t>，一日剂量不宜超过</w:t>
      </w:r>
      <w:r w:rsidR="00C93B9D" w:rsidRPr="00C93B9D">
        <w:rPr>
          <w:rFonts w:ascii="Arial" w:eastAsia="宋体" w:hAnsi="Arial" w:cs="Arial"/>
          <w:kern w:val="0"/>
          <w:sz w:val="20"/>
          <w:szCs w:val="20"/>
        </w:rPr>
        <w:t>0.4g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4.</w:t>
      </w:r>
      <w:r w:rsidR="00C93B9D" w:rsidRPr="00C93B9D">
        <w:rPr>
          <w:rFonts w:ascii="Arial" w:eastAsia="宋体" w:hAnsi="Arial" w:cs="Arial"/>
          <w:kern w:val="0"/>
          <w:sz w:val="20"/>
          <w:szCs w:val="20"/>
        </w:rPr>
        <w:t>不同配比的阿莫西林和克拉维酸</w:t>
      </w:r>
      <w:proofErr w:type="gramStart"/>
      <w:r w:rsidR="00C93B9D" w:rsidRPr="00C93B9D">
        <w:rPr>
          <w:rFonts w:ascii="Arial" w:eastAsia="宋体" w:hAnsi="Arial" w:cs="Arial"/>
          <w:kern w:val="0"/>
          <w:sz w:val="20"/>
          <w:szCs w:val="20"/>
        </w:rPr>
        <w:t>钾组成</w:t>
      </w:r>
      <w:proofErr w:type="gramEnd"/>
      <w:r w:rsidR="00C93B9D" w:rsidRPr="00C93B9D">
        <w:rPr>
          <w:rFonts w:ascii="Arial" w:eastAsia="宋体" w:hAnsi="Arial" w:cs="Arial"/>
          <w:kern w:val="0"/>
          <w:sz w:val="20"/>
          <w:szCs w:val="20"/>
        </w:rPr>
        <w:t>的复方制剂，不能互相替代。</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5.</w:t>
      </w:r>
      <w:r w:rsidR="00C93B9D" w:rsidRPr="00C93B9D">
        <w:rPr>
          <w:rFonts w:ascii="Arial" w:eastAsia="宋体" w:hAnsi="Arial" w:cs="Arial"/>
          <w:kern w:val="0"/>
          <w:sz w:val="20"/>
          <w:szCs w:val="20"/>
        </w:rPr>
        <w:t>本药不宜与双硫</w:t>
      </w:r>
      <w:proofErr w:type="gramStart"/>
      <w:r w:rsidR="00C93B9D" w:rsidRPr="00C93B9D">
        <w:rPr>
          <w:rFonts w:ascii="Arial" w:eastAsia="宋体" w:hAnsi="Arial" w:cs="Arial"/>
          <w:kern w:val="0"/>
          <w:sz w:val="20"/>
          <w:szCs w:val="20"/>
        </w:rPr>
        <w:t>仑</w:t>
      </w:r>
      <w:proofErr w:type="gramEnd"/>
      <w:r w:rsidR="00C93B9D" w:rsidRPr="00C93B9D">
        <w:rPr>
          <w:rFonts w:ascii="Arial" w:eastAsia="宋体" w:hAnsi="Arial" w:cs="Arial"/>
          <w:kern w:val="0"/>
          <w:sz w:val="20"/>
          <w:szCs w:val="20"/>
        </w:rPr>
        <w:t>等乙醛脱氢酶抑制药合用。</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【国外专科用药信息参考】</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牙科用药信息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上颌窦、前鼻腔、颈深部感染时，通常存在可产生</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内酰胺酶的葡萄球菌和</w:t>
      </w:r>
      <w:proofErr w:type="gramStart"/>
      <w:r w:rsidR="00C93B9D" w:rsidRPr="00C93B9D">
        <w:rPr>
          <w:rFonts w:ascii="Arial" w:eastAsia="宋体" w:hAnsi="Arial" w:cs="Arial"/>
          <w:kern w:val="0"/>
          <w:sz w:val="20"/>
          <w:szCs w:val="20"/>
        </w:rPr>
        <w:t>拟杆菌</w:t>
      </w:r>
      <w:proofErr w:type="gramEnd"/>
      <w:r w:rsidR="00C93B9D" w:rsidRPr="00C93B9D">
        <w:rPr>
          <w:rFonts w:ascii="Arial" w:eastAsia="宋体" w:hAnsi="Arial" w:cs="Arial"/>
          <w:kern w:val="0"/>
          <w:sz w:val="20"/>
          <w:szCs w:val="20"/>
        </w:rPr>
        <w:t>，治疗时应使用能抵抗</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内酰胺酶水解的抗生素。</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内酰胺酶抑制药阿莫西林和克拉维酸可口服给药治疗中度感染，氨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西林钠和</w:t>
      </w:r>
      <w:proofErr w:type="gramStart"/>
      <w:r w:rsidR="00C93B9D" w:rsidRPr="00C93B9D">
        <w:rPr>
          <w:rFonts w:ascii="Arial" w:eastAsia="宋体" w:hAnsi="Arial" w:cs="Arial"/>
          <w:kern w:val="0"/>
          <w:sz w:val="20"/>
          <w:szCs w:val="20"/>
        </w:rPr>
        <w:t>舒巴坦钠非口服</w:t>
      </w:r>
      <w:proofErr w:type="gramEnd"/>
      <w:r w:rsidR="00C93B9D" w:rsidRPr="00C93B9D">
        <w:rPr>
          <w:rFonts w:ascii="Arial" w:eastAsia="宋体" w:hAnsi="Arial" w:cs="Arial"/>
          <w:kern w:val="0"/>
          <w:sz w:val="20"/>
          <w:szCs w:val="20"/>
        </w:rPr>
        <w:t>给药可治疗更严重的感染。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对牙科治疗的影响：长期使用青霉素可能导致口腔念珠</w:t>
      </w:r>
      <w:proofErr w:type="gramStart"/>
      <w:r w:rsidR="00C93B9D" w:rsidRPr="00C93B9D">
        <w:rPr>
          <w:rFonts w:ascii="Arial" w:eastAsia="宋体" w:hAnsi="Arial" w:cs="Arial"/>
          <w:kern w:val="0"/>
          <w:sz w:val="20"/>
          <w:szCs w:val="20"/>
        </w:rPr>
        <w:t>菌</w:t>
      </w:r>
      <w:proofErr w:type="gramEnd"/>
      <w:r w:rsidR="00C93B9D" w:rsidRPr="00C93B9D">
        <w:rPr>
          <w:rFonts w:ascii="Arial" w:eastAsia="宋体" w:hAnsi="Arial" w:cs="Arial"/>
          <w:kern w:val="0"/>
          <w:sz w:val="20"/>
          <w:szCs w:val="20"/>
        </w:rPr>
        <w:t>生长。</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3.</w:t>
      </w:r>
      <w:proofErr w:type="gramStart"/>
      <w:r w:rsidR="00C93B9D" w:rsidRPr="00C93B9D">
        <w:rPr>
          <w:rFonts w:ascii="Arial" w:eastAsia="宋体" w:hAnsi="Arial" w:cs="Arial"/>
          <w:kern w:val="0"/>
          <w:sz w:val="20"/>
          <w:szCs w:val="20"/>
        </w:rPr>
        <w:t>颌</w:t>
      </w:r>
      <w:proofErr w:type="gramEnd"/>
      <w:r w:rsidR="00C93B9D" w:rsidRPr="00C93B9D">
        <w:rPr>
          <w:rFonts w:ascii="Arial" w:eastAsia="宋体" w:hAnsi="Arial" w:cs="Arial"/>
          <w:kern w:val="0"/>
          <w:sz w:val="20"/>
          <w:szCs w:val="20"/>
        </w:rPr>
        <w:t>面部感染，体重大于</w:t>
      </w:r>
      <w:r w:rsidR="00C93B9D" w:rsidRPr="00C93B9D">
        <w:rPr>
          <w:rFonts w:ascii="Arial" w:eastAsia="宋体" w:hAnsi="Arial" w:cs="Arial"/>
          <w:kern w:val="0"/>
          <w:sz w:val="20"/>
          <w:szCs w:val="20"/>
        </w:rPr>
        <w:t>40kg</w:t>
      </w:r>
      <w:r w:rsidR="00C93B9D" w:rsidRPr="00C93B9D">
        <w:rPr>
          <w:rFonts w:ascii="Arial" w:eastAsia="宋体" w:hAnsi="Arial" w:cs="Arial"/>
          <w:kern w:val="0"/>
          <w:sz w:val="20"/>
          <w:szCs w:val="20"/>
        </w:rPr>
        <w:lastRenderedPageBreak/>
        <w:t>的儿童和成人，口服给药，一次</w:t>
      </w:r>
      <w:r w:rsidR="00C93B9D" w:rsidRPr="00C93B9D">
        <w:rPr>
          <w:rFonts w:ascii="Arial" w:eastAsia="宋体" w:hAnsi="Arial" w:cs="Arial"/>
          <w:kern w:val="0"/>
          <w:sz w:val="20"/>
          <w:szCs w:val="20"/>
        </w:rPr>
        <w:t>250-500mg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次；或一次</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，每</w:t>
      </w:r>
      <w:r w:rsidR="00C93B9D" w:rsidRPr="00C93B9D">
        <w:rPr>
          <w:rFonts w:ascii="Arial" w:eastAsia="宋体" w:hAnsi="Arial" w:cs="Arial"/>
          <w:kern w:val="0"/>
          <w:sz w:val="20"/>
          <w:szCs w:val="20"/>
        </w:rPr>
        <w:t>12</w:t>
      </w:r>
      <w:r w:rsidR="00C93B9D" w:rsidRPr="00C93B9D">
        <w:rPr>
          <w:rFonts w:ascii="Arial" w:eastAsia="宋体" w:hAnsi="Arial" w:cs="Arial"/>
          <w:kern w:val="0"/>
          <w:sz w:val="20"/>
          <w:szCs w:val="20"/>
        </w:rPr>
        <w:t>小时</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次。</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精神状况信息</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对精神状态的影响：有青霉素类药物引起恐惧、幻想、焦虑、失眠、人格解体及脑病的报道。</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对精神障碍治疗的影响：双硫</w:t>
      </w:r>
      <w:proofErr w:type="gramStart"/>
      <w:r w:rsidR="00C93B9D" w:rsidRPr="00C93B9D">
        <w:rPr>
          <w:rFonts w:ascii="Arial" w:eastAsia="宋体" w:hAnsi="Arial" w:cs="Arial"/>
          <w:kern w:val="0"/>
          <w:sz w:val="20"/>
          <w:szCs w:val="20"/>
        </w:rPr>
        <w:t>仑</w:t>
      </w:r>
      <w:proofErr w:type="gramEnd"/>
      <w:r w:rsidR="00C93B9D" w:rsidRPr="00C93B9D">
        <w:rPr>
          <w:rFonts w:ascii="Arial" w:eastAsia="宋体" w:hAnsi="Arial" w:cs="Arial"/>
          <w:kern w:val="0"/>
          <w:sz w:val="20"/>
          <w:szCs w:val="20"/>
        </w:rPr>
        <w:t>可能使阿莫西林的血药浓度升高。</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护理注意事项</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长期治疗时应定期监测肾功能、肝功能、血常规。</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用药前进行细菌培养和药物敏感性测定。</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【药物过量】</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过量的表现</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本药过量时，对多数患者不会引起不良症状或主要引起胃肠道不适如胃痛、腹痛、呕吐、腹泻；对少数患者可引起皮疹、功能亢进或嗜睡。</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过量的处理</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过量时应立即停药，并根据症状进行支持或对症治疗。如短时间内用药过量且患者无禁忌症，则应进行催吐或洗胃以清除本药。</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【药理】</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药效学</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本药为阿莫西林三水合物和克拉维酸</w:t>
      </w:r>
      <w:proofErr w:type="gramStart"/>
      <w:r w:rsidR="00C93B9D" w:rsidRPr="00C93B9D">
        <w:rPr>
          <w:rFonts w:ascii="Arial" w:eastAsia="宋体" w:hAnsi="Arial" w:cs="Arial"/>
          <w:kern w:val="0"/>
          <w:sz w:val="20"/>
          <w:szCs w:val="20"/>
        </w:rPr>
        <w:t>钾组成</w:t>
      </w:r>
      <w:proofErr w:type="gramEnd"/>
      <w:r w:rsidR="00C93B9D" w:rsidRPr="00C93B9D">
        <w:rPr>
          <w:rFonts w:ascii="Arial" w:eastAsia="宋体" w:hAnsi="Arial" w:cs="Arial"/>
          <w:kern w:val="0"/>
          <w:sz w:val="20"/>
          <w:szCs w:val="20"/>
        </w:rPr>
        <w:t>的复方制剂。阿莫西林为杀菌性广谱抗生素；克拉维酸钾为不可逆的广谱</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内酰胺酶抑制药，可有效地抑制耐药菌产生的</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内酰胺酶，但抗菌活性微弱。阿莫西林与克拉维酸制成复方制剂后，由于</w:t>
      </w:r>
      <w:proofErr w:type="gramStart"/>
      <w:r w:rsidR="00C93B9D" w:rsidRPr="00C93B9D">
        <w:rPr>
          <w:rFonts w:ascii="Arial" w:eastAsia="宋体" w:hAnsi="Arial" w:cs="Arial"/>
          <w:kern w:val="0"/>
          <w:sz w:val="20"/>
          <w:szCs w:val="20"/>
        </w:rPr>
        <w:t>克拉维酸钾可使</w:t>
      </w:r>
      <w:proofErr w:type="gramEnd"/>
      <w:r w:rsidR="00C93B9D" w:rsidRPr="00C93B9D">
        <w:rPr>
          <w:rFonts w:ascii="Arial" w:eastAsia="宋体" w:hAnsi="Arial" w:cs="Arial"/>
          <w:kern w:val="0"/>
          <w:sz w:val="20"/>
          <w:szCs w:val="20"/>
        </w:rPr>
        <w:t>阿莫西林不被革兰氏阳性和</w:t>
      </w:r>
      <w:proofErr w:type="gramStart"/>
      <w:r w:rsidR="00C93B9D" w:rsidRPr="00C93B9D">
        <w:rPr>
          <w:rFonts w:ascii="Arial" w:eastAsia="宋体" w:hAnsi="Arial" w:cs="Arial"/>
          <w:kern w:val="0"/>
          <w:sz w:val="20"/>
          <w:szCs w:val="20"/>
        </w:rPr>
        <w:t>革兰氏</w:t>
      </w:r>
      <w:proofErr w:type="gramEnd"/>
      <w:r w:rsidR="00C93B9D" w:rsidRPr="00C93B9D">
        <w:rPr>
          <w:rFonts w:ascii="Arial" w:eastAsia="宋体" w:hAnsi="Arial" w:cs="Arial"/>
          <w:kern w:val="0"/>
          <w:sz w:val="20"/>
          <w:szCs w:val="20"/>
        </w:rPr>
        <w:t>阴性细菌产生的</w:t>
      </w:r>
      <w:r w:rsidR="00C93B9D" w:rsidRPr="00C93B9D">
        <w:rPr>
          <w:rFonts w:ascii="Arial" w:eastAsia="宋体" w:hAnsi="Arial" w:cs="Arial"/>
          <w:kern w:val="0"/>
          <w:sz w:val="20"/>
          <w:szCs w:val="20"/>
        </w:rPr>
        <w:t>β-</w:t>
      </w:r>
      <w:proofErr w:type="gramStart"/>
      <w:r w:rsidR="00C93B9D" w:rsidRPr="00C93B9D">
        <w:rPr>
          <w:rFonts w:ascii="Arial" w:eastAsia="宋体" w:hAnsi="Arial" w:cs="Arial"/>
          <w:kern w:val="0"/>
          <w:sz w:val="20"/>
          <w:szCs w:val="20"/>
        </w:rPr>
        <w:t>内酰胺酶所破坏</w:t>
      </w:r>
      <w:proofErr w:type="gramEnd"/>
      <w:r w:rsidR="00C93B9D" w:rsidRPr="00C93B9D">
        <w:rPr>
          <w:rFonts w:ascii="Arial" w:eastAsia="宋体" w:hAnsi="Arial" w:cs="Arial"/>
          <w:kern w:val="0"/>
          <w:sz w:val="20"/>
          <w:szCs w:val="20"/>
        </w:rPr>
        <w:t>，从而使已对阿莫西林耐药并产生</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内酰胺酶的细菌仍对阿莫西林敏感。</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作用机制</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阿莫西林与氨</w:t>
      </w:r>
      <w:proofErr w:type="gramStart"/>
      <w:r w:rsidR="00C93B9D" w:rsidRPr="00C93B9D">
        <w:rPr>
          <w:rFonts w:ascii="Arial" w:eastAsia="宋体" w:hAnsi="Arial" w:cs="Arial"/>
          <w:kern w:val="0"/>
          <w:sz w:val="20"/>
          <w:szCs w:val="20"/>
        </w:rPr>
        <w:t>苄</w:t>
      </w:r>
      <w:proofErr w:type="gramEnd"/>
      <w:r w:rsidR="00C93B9D" w:rsidRPr="00C93B9D">
        <w:rPr>
          <w:rFonts w:ascii="Arial" w:eastAsia="宋体" w:hAnsi="Arial" w:cs="Arial"/>
          <w:kern w:val="0"/>
          <w:sz w:val="20"/>
          <w:szCs w:val="20"/>
        </w:rPr>
        <w:t>西林的抗敏感微生物作用类似，主要作用在微生物的繁殖阶段，通过</w:t>
      </w:r>
      <w:proofErr w:type="gramStart"/>
      <w:r w:rsidR="00C93B9D" w:rsidRPr="00C93B9D">
        <w:rPr>
          <w:rFonts w:ascii="Arial" w:eastAsia="宋体" w:hAnsi="Arial" w:cs="Arial"/>
          <w:kern w:val="0"/>
          <w:sz w:val="20"/>
          <w:szCs w:val="20"/>
        </w:rPr>
        <w:t>抑制细胞壁粘多肽</w:t>
      </w:r>
      <w:proofErr w:type="gramEnd"/>
      <w:r w:rsidR="00C93B9D" w:rsidRPr="00C93B9D">
        <w:rPr>
          <w:rFonts w:ascii="Arial" w:eastAsia="宋体" w:hAnsi="Arial" w:cs="Arial"/>
          <w:kern w:val="0"/>
          <w:sz w:val="20"/>
          <w:szCs w:val="20"/>
        </w:rPr>
        <w:t>的生物合成而起作用。克拉维酸</w:t>
      </w:r>
      <w:proofErr w:type="gramStart"/>
      <w:r w:rsidR="00C93B9D" w:rsidRPr="00C93B9D">
        <w:rPr>
          <w:rFonts w:ascii="Arial" w:eastAsia="宋体" w:hAnsi="Arial" w:cs="Arial"/>
          <w:kern w:val="0"/>
          <w:sz w:val="20"/>
          <w:szCs w:val="20"/>
        </w:rPr>
        <w:t>钾具有</w:t>
      </w:r>
      <w:proofErr w:type="gramEnd"/>
      <w:r w:rsidR="00C93B9D" w:rsidRPr="00C93B9D">
        <w:rPr>
          <w:rFonts w:ascii="Arial" w:eastAsia="宋体" w:hAnsi="Arial" w:cs="Arial"/>
          <w:kern w:val="0"/>
          <w:sz w:val="20"/>
          <w:szCs w:val="20"/>
        </w:rPr>
        <w:t>与青霉素类似的</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内酰胺结构，能通过阻断</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内酰胺酶的活性部位，使大部分细菌所产生的这些酶失活。</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抗菌谱</w:t>
      </w:r>
      <w:r w:rsidR="00C93B9D" w:rsidRPr="00C93B9D">
        <w:rPr>
          <w:rFonts w:ascii="Arial" w:eastAsia="宋体" w:hAnsi="Arial" w:cs="Arial"/>
          <w:kern w:val="0"/>
          <w:sz w:val="20"/>
          <w:szCs w:val="20"/>
        </w:rPr>
        <w:t xml:space="preserve">  (1)</w:t>
      </w:r>
      <w:r w:rsidR="00C93B9D" w:rsidRPr="00C93B9D">
        <w:rPr>
          <w:rFonts w:ascii="Arial" w:eastAsia="宋体" w:hAnsi="Arial" w:cs="Arial"/>
          <w:kern w:val="0"/>
          <w:sz w:val="20"/>
          <w:szCs w:val="20"/>
        </w:rPr>
        <w:t>革兰阳性菌：需氧菌包括金黄色葡萄球菌、单核细胞增多</w:t>
      </w:r>
      <w:proofErr w:type="gramStart"/>
      <w:r w:rsidR="00C93B9D" w:rsidRPr="00C93B9D">
        <w:rPr>
          <w:rFonts w:ascii="Arial" w:eastAsia="宋体" w:hAnsi="Arial" w:cs="Arial"/>
          <w:kern w:val="0"/>
          <w:sz w:val="20"/>
          <w:szCs w:val="20"/>
        </w:rPr>
        <w:t>性李司特</w:t>
      </w:r>
      <w:proofErr w:type="gramEnd"/>
      <w:r w:rsidR="00C93B9D" w:rsidRPr="00C93B9D">
        <w:rPr>
          <w:rFonts w:ascii="Arial" w:eastAsia="宋体" w:hAnsi="Arial" w:cs="Arial"/>
          <w:kern w:val="0"/>
          <w:sz w:val="20"/>
          <w:szCs w:val="20"/>
        </w:rPr>
        <w:t>氏菌、棒状杆菌属、表皮葡萄球菌、化脓性链球菌、肺炎双球菌、粪链球菌、草绿色链球菌，厌氧菌包括梭状芽孢杆菌属、消化链球菌、消化球菌属。</w:t>
      </w:r>
      <w:r w:rsidR="00C93B9D" w:rsidRPr="00C93B9D">
        <w:rPr>
          <w:rFonts w:ascii="Arial" w:eastAsia="宋体" w:hAnsi="Arial" w:cs="Arial"/>
          <w:kern w:val="0"/>
          <w:sz w:val="20"/>
          <w:szCs w:val="20"/>
        </w:rPr>
        <w:t>(2)</w:t>
      </w:r>
      <w:r w:rsidR="00C93B9D" w:rsidRPr="00C93B9D">
        <w:rPr>
          <w:rFonts w:ascii="Arial" w:eastAsia="宋体" w:hAnsi="Arial" w:cs="Arial"/>
          <w:kern w:val="0"/>
          <w:sz w:val="20"/>
          <w:szCs w:val="20"/>
        </w:rPr>
        <w:t>革兰阴性菌：需氧菌包括大肠埃希菌、流感嗜血杆菌、克雷白氏菌属、杜克雷氏嗜血杆菌、百日咳菌属、布鲁氏杆菌、普通变性杆菌、淋球菌、志贺氏菌属、出血</w:t>
      </w:r>
      <w:proofErr w:type="gramStart"/>
      <w:r w:rsidR="00C93B9D" w:rsidRPr="00C93B9D">
        <w:rPr>
          <w:rFonts w:ascii="Arial" w:eastAsia="宋体" w:hAnsi="Arial" w:cs="Arial"/>
          <w:kern w:val="0"/>
          <w:sz w:val="20"/>
          <w:szCs w:val="20"/>
        </w:rPr>
        <w:t>败</w:t>
      </w:r>
      <w:proofErr w:type="gramEnd"/>
      <w:r w:rsidR="00C93B9D" w:rsidRPr="00C93B9D">
        <w:rPr>
          <w:rFonts w:ascii="Arial" w:eastAsia="宋体" w:hAnsi="Arial" w:cs="Arial"/>
          <w:kern w:val="0"/>
          <w:sz w:val="20"/>
          <w:szCs w:val="20"/>
        </w:rPr>
        <w:t>血性巴斯德菌、奇异变性杆菌、脑膜炎双球菌、沙门氏菌属、</w:t>
      </w:r>
      <w:proofErr w:type="gramStart"/>
      <w:r w:rsidR="00C93B9D" w:rsidRPr="00C93B9D">
        <w:rPr>
          <w:rFonts w:ascii="Arial" w:eastAsia="宋体" w:hAnsi="Arial" w:cs="Arial"/>
          <w:kern w:val="0"/>
          <w:sz w:val="20"/>
          <w:szCs w:val="20"/>
        </w:rPr>
        <w:t>布兰汉氏</w:t>
      </w:r>
      <w:proofErr w:type="gramEnd"/>
      <w:r w:rsidR="00C93B9D" w:rsidRPr="00C93B9D">
        <w:rPr>
          <w:rFonts w:ascii="Arial" w:eastAsia="宋体" w:hAnsi="Arial" w:cs="Arial"/>
          <w:kern w:val="0"/>
          <w:sz w:val="20"/>
          <w:szCs w:val="20"/>
        </w:rPr>
        <w:t>球菌，厌氧菌包括拟杆菌属</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如脆弱拟杆菌</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对某些产</w:t>
      </w:r>
      <w:r w:rsidR="00C93B9D" w:rsidRPr="00C93B9D">
        <w:rPr>
          <w:rFonts w:ascii="Arial" w:eastAsia="宋体" w:hAnsi="Arial" w:cs="Arial"/>
          <w:kern w:val="0"/>
          <w:sz w:val="20"/>
          <w:szCs w:val="20"/>
        </w:rPr>
        <w:t>β-</w:t>
      </w:r>
      <w:r w:rsidR="00C93B9D" w:rsidRPr="00C93B9D">
        <w:rPr>
          <w:rFonts w:ascii="Arial" w:eastAsia="宋体" w:hAnsi="Arial" w:cs="Arial"/>
          <w:kern w:val="0"/>
          <w:sz w:val="20"/>
          <w:szCs w:val="20"/>
        </w:rPr>
        <w:t>内酰胺酶的肠杆菌属细菌、流感嗜血杆菌、卡他莫拉菌等也有较好抗菌活性。</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对高度耐药的肠杆菌属、铜绿假单胞菌</w:t>
      </w:r>
      <w:proofErr w:type="gramStart"/>
      <w:r w:rsidR="00C93B9D" w:rsidRPr="00C93B9D">
        <w:rPr>
          <w:rFonts w:ascii="Arial" w:eastAsia="宋体" w:hAnsi="Arial" w:cs="Arial"/>
          <w:kern w:val="0"/>
          <w:sz w:val="20"/>
          <w:szCs w:val="20"/>
        </w:rPr>
        <w:t>及耐甲氧</w:t>
      </w:r>
      <w:proofErr w:type="gramEnd"/>
      <w:r w:rsidR="00C93B9D" w:rsidRPr="00C93B9D">
        <w:rPr>
          <w:rFonts w:ascii="Arial" w:eastAsia="宋体" w:hAnsi="Arial" w:cs="Arial"/>
          <w:kern w:val="0"/>
          <w:sz w:val="20"/>
          <w:szCs w:val="20"/>
        </w:rPr>
        <w:t>西林葡萄球菌</w:t>
      </w:r>
      <w:r w:rsidR="00C93B9D" w:rsidRPr="00C93B9D">
        <w:rPr>
          <w:rFonts w:ascii="Arial" w:eastAsia="宋体" w:hAnsi="Arial" w:cs="Arial"/>
          <w:kern w:val="0"/>
          <w:sz w:val="20"/>
          <w:szCs w:val="20"/>
        </w:rPr>
        <w:t>(MRSA)</w:t>
      </w:r>
      <w:r w:rsidR="00C93B9D" w:rsidRPr="00C93B9D">
        <w:rPr>
          <w:rFonts w:ascii="Arial" w:eastAsia="宋体" w:hAnsi="Arial" w:cs="Arial"/>
          <w:kern w:val="0"/>
          <w:sz w:val="20"/>
          <w:szCs w:val="20"/>
        </w:rPr>
        <w:t>无抗菌活性。</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药动学</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本药对胃酸稳定，口服吸收良好，食物对本药吸收无影响。空腹口服</w:t>
      </w:r>
      <w:r w:rsidR="00C93B9D" w:rsidRPr="00C93B9D">
        <w:rPr>
          <w:rFonts w:ascii="Arial" w:eastAsia="宋体" w:hAnsi="Arial" w:cs="Arial"/>
          <w:kern w:val="0"/>
          <w:sz w:val="20"/>
          <w:szCs w:val="20"/>
        </w:rPr>
        <w:t>375mg(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，阿莫西林于</w:t>
      </w:r>
      <w:r w:rsidR="00C93B9D" w:rsidRPr="00C93B9D">
        <w:rPr>
          <w:rFonts w:ascii="Arial" w:eastAsia="宋体" w:hAnsi="Arial" w:cs="Arial"/>
          <w:kern w:val="0"/>
          <w:sz w:val="20"/>
          <w:szCs w:val="20"/>
        </w:rPr>
        <w:t>1.5</w:t>
      </w:r>
      <w:r w:rsidR="00C93B9D" w:rsidRPr="00C93B9D">
        <w:rPr>
          <w:rFonts w:ascii="Arial" w:eastAsia="宋体" w:hAnsi="Arial" w:cs="Arial"/>
          <w:kern w:val="0"/>
          <w:sz w:val="20"/>
          <w:szCs w:val="20"/>
        </w:rPr>
        <w:t>小时后</w:t>
      </w:r>
      <w:proofErr w:type="gramStart"/>
      <w:r w:rsidR="00C93B9D" w:rsidRPr="00C93B9D">
        <w:rPr>
          <w:rFonts w:ascii="Arial" w:eastAsia="宋体" w:hAnsi="Arial" w:cs="Arial"/>
          <w:kern w:val="0"/>
          <w:sz w:val="20"/>
          <w:szCs w:val="20"/>
        </w:rPr>
        <w:t>达血药</w:t>
      </w:r>
      <w:proofErr w:type="gramEnd"/>
      <w:r w:rsidR="00C93B9D" w:rsidRPr="00C93B9D">
        <w:rPr>
          <w:rFonts w:ascii="Arial" w:eastAsia="宋体" w:hAnsi="Arial" w:cs="Arial"/>
          <w:kern w:val="0"/>
          <w:sz w:val="20"/>
          <w:szCs w:val="20"/>
        </w:rPr>
        <w:t>峰浓度</w:t>
      </w:r>
      <w:r w:rsidR="00C93B9D" w:rsidRPr="00C93B9D">
        <w:rPr>
          <w:rFonts w:ascii="Arial" w:eastAsia="宋体" w:hAnsi="Arial" w:cs="Arial"/>
          <w:kern w:val="0"/>
          <w:sz w:val="20"/>
          <w:szCs w:val="20"/>
        </w:rPr>
        <w:t>(C</w:t>
      </w:r>
      <w:r w:rsidR="00C93B9D" w:rsidRPr="00C93B9D">
        <w:rPr>
          <w:rFonts w:ascii="Arial" w:eastAsia="宋体" w:hAnsi="Arial" w:cs="Arial"/>
          <w:kern w:val="0"/>
          <w:sz w:val="20"/>
          <w:szCs w:val="20"/>
          <w:vertAlign w:val="subscript"/>
        </w:rPr>
        <w:t>max</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，约为</w:t>
      </w:r>
      <w:r w:rsidR="00C93B9D" w:rsidRPr="00C93B9D">
        <w:rPr>
          <w:rFonts w:ascii="Arial" w:eastAsia="宋体" w:hAnsi="Arial" w:cs="Arial"/>
          <w:kern w:val="0"/>
          <w:sz w:val="20"/>
          <w:szCs w:val="20"/>
        </w:rPr>
        <w:t>5.6mg/L</w:t>
      </w:r>
      <w:r w:rsidR="00C93B9D" w:rsidRPr="00C93B9D">
        <w:rPr>
          <w:rFonts w:ascii="Arial" w:eastAsia="宋体" w:hAnsi="Arial" w:cs="Arial"/>
          <w:kern w:val="0"/>
          <w:sz w:val="20"/>
          <w:szCs w:val="20"/>
        </w:rPr>
        <w:t>；</w:t>
      </w:r>
      <w:proofErr w:type="gramStart"/>
      <w:r w:rsidR="00C93B9D" w:rsidRPr="00C93B9D">
        <w:rPr>
          <w:rFonts w:ascii="Arial" w:eastAsia="宋体" w:hAnsi="Arial" w:cs="Arial"/>
          <w:kern w:val="0"/>
          <w:sz w:val="20"/>
          <w:szCs w:val="20"/>
        </w:rPr>
        <w:t>克拉维酸钾于</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小时</w:t>
      </w:r>
      <w:proofErr w:type="gramEnd"/>
      <w:r w:rsidR="00C93B9D" w:rsidRPr="00C93B9D">
        <w:rPr>
          <w:rFonts w:ascii="Arial" w:eastAsia="宋体" w:hAnsi="Arial" w:cs="Arial"/>
          <w:kern w:val="0"/>
          <w:sz w:val="20"/>
          <w:szCs w:val="20"/>
        </w:rPr>
        <w:t>达</w:t>
      </w:r>
      <w:r w:rsidR="00C93B9D" w:rsidRPr="00C93B9D">
        <w:rPr>
          <w:rFonts w:ascii="Arial" w:eastAsia="宋体" w:hAnsi="Arial" w:cs="Arial"/>
          <w:kern w:val="0"/>
          <w:sz w:val="20"/>
          <w:szCs w:val="20"/>
        </w:rPr>
        <w:t>C</w:t>
      </w:r>
      <w:r w:rsidR="00C93B9D" w:rsidRPr="00C93B9D">
        <w:rPr>
          <w:rFonts w:ascii="Arial" w:eastAsia="宋体" w:hAnsi="Arial" w:cs="Arial"/>
          <w:kern w:val="0"/>
          <w:sz w:val="20"/>
          <w:szCs w:val="20"/>
          <w:vertAlign w:val="subscript"/>
        </w:rPr>
        <w:t>max</w:t>
      </w:r>
      <w:r w:rsidR="00C93B9D" w:rsidRPr="00C93B9D">
        <w:rPr>
          <w:rFonts w:ascii="Arial" w:eastAsia="宋体" w:hAnsi="Arial" w:cs="Arial"/>
          <w:kern w:val="0"/>
          <w:sz w:val="20"/>
          <w:szCs w:val="20"/>
        </w:rPr>
        <w:t>，约为</w:t>
      </w:r>
      <w:r w:rsidR="00C93B9D" w:rsidRPr="00C93B9D">
        <w:rPr>
          <w:rFonts w:ascii="Arial" w:eastAsia="宋体" w:hAnsi="Arial" w:cs="Arial"/>
          <w:kern w:val="0"/>
          <w:sz w:val="20"/>
          <w:szCs w:val="20"/>
        </w:rPr>
        <w:t>3.4mg/L</w:t>
      </w:r>
      <w:r w:rsidR="00C93B9D" w:rsidRPr="00C93B9D">
        <w:rPr>
          <w:rFonts w:ascii="Arial" w:eastAsia="宋体" w:hAnsi="Arial" w:cs="Arial"/>
          <w:kern w:val="0"/>
          <w:sz w:val="20"/>
          <w:szCs w:val="20"/>
        </w:rPr>
        <w:t>，血浆蛋白结合率为</w:t>
      </w:r>
      <w:r w:rsidR="00C93B9D" w:rsidRPr="00C93B9D">
        <w:rPr>
          <w:rFonts w:ascii="Arial" w:eastAsia="宋体" w:hAnsi="Arial" w:cs="Arial"/>
          <w:kern w:val="0"/>
          <w:sz w:val="20"/>
          <w:szCs w:val="20"/>
        </w:rPr>
        <w:t>22%-30%</w:t>
      </w:r>
      <w:r w:rsidR="00C93B9D" w:rsidRPr="00C93B9D">
        <w:rPr>
          <w:rFonts w:ascii="Arial" w:eastAsia="宋体" w:hAnsi="Arial" w:cs="Arial"/>
          <w:kern w:val="0"/>
          <w:sz w:val="20"/>
          <w:szCs w:val="20"/>
        </w:rPr>
        <w:t>；两者的口服生物利用度分别为</w:t>
      </w:r>
      <w:r w:rsidR="00C93B9D" w:rsidRPr="00C93B9D">
        <w:rPr>
          <w:rFonts w:ascii="Arial" w:eastAsia="宋体" w:hAnsi="Arial" w:cs="Arial"/>
          <w:kern w:val="0"/>
          <w:sz w:val="20"/>
          <w:szCs w:val="20"/>
        </w:rPr>
        <w:t>97%</w:t>
      </w:r>
      <w:r w:rsidR="00C93B9D" w:rsidRPr="00C93B9D">
        <w:rPr>
          <w:rFonts w:ascii="Arial" w:eastAsia="宋体" w:hAnsi="Arial" w:cs="Arial"/>
          <w:kern w:val="0"/>
          <w:sz w:val="20"/>
          <w:szCs w:val="20"/>
        </w:rPr>
        <w:t>和</w:t>
      </w:r>
      <w:r w:rsidR="00C93B9D" w:rsidRPr="00C93B9D">
        <w:rPr>
          <w:rFonts w:ascii="Arial" w:eastAsia="宋体" w:hAnsi="Arial" w:cs="Arial"/>
          <w:kern w:val="0"/>
          <w:sz w:val="20"/>
          <w:szCs w:val="20"/>
        </w:rPr>
        <w:t>75%</w:t>
      </w:r>
      <w:r w:rsidR="00C93B9D" w:rsidRPr="00C93B9D">
        <w:rPr>
          <w:rFonts w:ascii="Arial" w:eastAsia="宋体" w:hAnsi="Arial" w:cs="Arial"/>
          <w:kern w:val="0"/>
          <w:sz w:val="20"/>
          <w:szCs w:val="20"/>
        </w:rPr>
        <w:t>。静脉给予</w:t>
      </w:r>
      <w:r w:rsidR="00C93B9D" w:rsidRPr="00C93B9D">
        <w:rPr>
          <w:rFonts w:ascii="Arial" w:eastAsia="宋体" w:hAnsi="Arial" w:cs="Arial"/>
          <w:kern w:val="0"/>
          <w:sz w:val="20"/>
          <w:szCs w:val="20"/>
        </w:rPr>
        <w:t>1.2g(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0.2g)</w:t>
      </w:r>
      <w:r w:rsidR="00C93B9D" w:rsidRPr="00C93B9D">
        <w:rPr>
          <w:rFonts w:ascii="Arial" w:eastAsia="宋体" w:hAnsi="Arial" w:cs="Arial"/>
          <w:kern w:val="0"/>
          <w:sz w:val="20"/>
          <w:szCs w:val="20"/>
        </w:rPr>
        <w:t>，两者均立即达</w:t>
      </w:r>
      <w:r w:rsidR="00C93B9D" w:rsidRPr="00C93B9D">
        <w:rPr>
          <w:rFonts w:ascii="Arial" w:eastAsia="宋体" w:hAnsi="Arial" w:cs="Arial"/>
          <w:kern w:val="0"/>
          <w:sz w:val="20"/>
          <w:szCs w:val="20"/>
        </w:rPr>
        <w:t>C</w:t>
      </w:r>
      <w:r w:rsidR="00C93B9D" w:rsidRPr="00C93B9D">
        <w:rPr>
          <w:rFonts w:ascii="Arial" w:eastAsia="宋体" w:hAnsi="Arial" w:cs="Arial"/>
          <w:kern w:val="0"/>
          <w:sz w:val="20"/>
          <w:szCs w:val="20"/>
          <w:vertAlign w:val="subscript"/>
        </w:rPr>
        <w:t>max</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阿莫西林的消除半衰期约为</w:t>
      </w:r>
      <w:r w:rsidR="00C93B9D" w:rsidRPr="00C93B9D">
        <w:rPr>
          <w:rFonts w:ascii="Arial" w:eastAsia="宋体" w:hAnsi="Arial" w:cs="Arial"/>
          <w:kern w:val="0"/>
          <w:sz w:val="20"/>
          <w:szCs w:val="20"/>
        </w:rPr>
        <w:t>1</w:t>
      </w:r>
      <w:r w:rsidR="00C93B9D" w:rsidRPr="00C93B9D">
        <w:rPr>
          <w:rFonts w:ascii="Arial" w:eastAsia="宋体" w:hAnsi="Arial" w:cs="Arial"/>
          <w:kern w:val="0"/>
          <w:sz w:val="20"/>
          <w:szCs w:val="20"/>
        </w:rPr>
        <w:t>小时。克拉维酸钾的消除半衰期为</w:t>
      </w:r>
      <w:r w:rsidR="00C93B9D" w:rsidRPr="00C93B9D">
        <w:rPr>
          <w:rFonts w:ascii="Arial" w:eastAsia="宋体" w:hAnsi="Arial" w:cs="Arial"/>
          <w:kern w:val="0"/>
          <w:sz w:val="20"/>
          <w:szCs w:val="20"/>
        </w:rPr>
        <w:t>0.76-1.4</w:t>
      </w:r>
      <w:r w:rsidR="00C93B9D" w:rsidRPr="00C93B9D">
        <w:rPr>
          <w:rFonts w:ascii="Arial" w:eastAsia="宋体" w:hAnsi="Arial" w:cs="Arial"/>
          <w:kern w:val="0"/>
          <w:sz w:val="20"/>
          <w:szCs w:val="20"/>
        </w:rPr>
        <w:t>小时。两者均以较高的浓度随尿液排出，</w:t>
      </w:r>
      <w:r w:rsidR="00C93B9D" w:rsidRPr="00C93B9D">
        <w:rPr>
          <w:rFonts w:ascii="Arial" w:eastAsia="宋体" w:hAnsi="Arial" w:cs="Arial"/>
          <w:kern w:val="0"/>
          <w:sz w:val="20"/>
          <w:szCs w:val="20"/>
        </w:rPr>
        <w:t>8</w:t>
      </w:r>
      <w:r w:rsidR="00C93B9D" w:rsidRPr="00C93B9D">
        <w:rPr>
          <w:rFonts w:ascii="Arial" w:eastAsia="宋体" w:hAnsi="Arial" w:cs="Arial"/>
          <w:kern w:val="0"/>
          <w:sz w:val="20"/>
          <w:szCs w:val="20"/>
        </w:rPr>
        <w:t>小时尿中排泄率阿莫西林为</w:t>
      </w:r>
      <w:r w:rsidR="00C93B9D" w:rsidRPr="00C93B9D">
        <w:rPr>
          <w:rFonts w:ascii="Arial" w:eastAsia="宋体" w:hAnsi="Arial" w:cs="Arial"/>
          <w:kern w:val="0"/>
          <w:sz w:val="20"/>
          <w:szCs w:val="20"/>
        </w:rPr>
        <w:t>50%-78%</w:t>
      </w:r>
      <w:r w:rsidR="00C93B9D" w:rsidRPr="00C93B9D">
        <w:rPr>
          <w:rFonts w:ascii="Arial" w:eastAsia="宋体" w:hAnsi="Arial" w:cs="Arial"/>
          <w:kern w:val="0"/>
          <w:sz w:val="20"/>
          <w:szCs w:val="20"/>
        </w:rPr>
        <w:t>，</w:t>
      </w:r>
      <w:proofErr w:type="gramStart"/>
      <w:r w:rsidR="00C93B9D" w:rsidRPr="00C93B9D">
        <w:rPr>
          <w:rFonts w:ascii="Arial" w:eastAsia="宋体" w:hAnsi="Arial" w:cs="Arial"/>
          <w:kern w:val="0"/>
          <w:sz w:val="20"/>
          <w:szCs w:val="20"/>
        </w:rPr>
        <w:t>克拉维酸钾约为</w:t>
      </w:r>
      <w:proofErr w:type="gramEnd"/>
      <w:r w:rsidR="00C93B9D" w:rsidRPr="00C93B9D">
        <w:rPr>
          <w:rFonts w:ascii="Arial" w:eastAsia="宋体" w:hAnsi="Arial" w:cs="Arial"/>
          <w:kern w:val="0"/>
          <w:sz w:val="20"/>
          <w:szCs w:val="20"/>
        </w:rPr>
        <w:t>46%</w:t>
      </w:r>
      <w:r w:rsidR="00C93B9D" w:rsidRPr="00C93B9D">
        <w:rPr>
          <w:rFonts w:ascii="Arial" w:eastAsia="宋体" w:hAnsi="Arial" w:cs="Arial"/>
          <w:kern w:val="0"/>
          <w:sz w:val="20"/>
          <w:szCs w:val="20"/>
        </w:rPr>
        <w:t>。血液透析可清除本药。</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遗传、生殖毒性与致癌性</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遗传毒性</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本药在体外</w:t>
      </w:r>
      <w:r w:rsidR="00C93B9D" w:rsidRPr="00C93B9D">
        <w:rPr>
          <w:rFonts w:ascii="Arial" w:eastAsia="宋体" w:hAnsi="Arial" w:cs="Arial"/>
          <w:kern w:val="0"/>
          <w:sz w:val="20"/>
          <w:szCs w:val="20"/>
        </w:rPr>
        <w:t>Ames</w:t>
      </w:r>
      <w:r w:rsidR="00C93B9D" w:rsidRPr="00C93B9D">
        <w:rPr>
          <w:rFonts w:ascii="Arial" w:eastAsia="宋体" w:hAnsi="Arial" w:cs="Arial"/>
          <w:kern w:val="0"/>
          <w:sz w:val="20"/>
          <w:szCs w:val="20"/>
        </w:rPr>
        <w:t>试验、人淋巴细胞遗传试验、酵母菌试验、小鼠淋巴瘤细胞试验和体内小鼠显性致死试验、小鼠微核试验中，除体内小鼠显性致死试验、小鼠微核试验中有致突变作用外，其余未见致突变作用。</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生殖毒性</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经口</w:t>
      </w:r>
      <w:proofErr w:type="gramStart"/>
      <w:r w:rsidR="00C93B9D" w:rsidRPr="00C93B9D">
        <w:rPr>
          <w:rFonts w:ascii="Arial" w:eastAsia="宋体" w:hAnsi="Arial" w:cs="Arial"/>
          <w:kern w:val="0"/>
          <w:sz w:val="20"/>
          <w:szCs w:val="20"/>
        </w:rPr>
        <w:t>给予鼠本药</w:t>
      </w:r>
      <w:proofErr w:type="gramEnd"/>
      <w:r w:rsidR="00C93B9D" w:rsidRPr="00C93B9D">
        <w:rPr>
          <w:rFonts w:ascii="Arial" w:eastAsia="宋体" w:hAnsi="Arial" w:cs="Arial"/>
          <w:kern w:val="0"/>
          <w:sz w:val="20"/>
          <w:szCs w:val="20"/>
        </w:rPr>
        <w:t>(2:1</w:t>
      </w:r>
      <w:r w:rsidR="00C93B9D" w:rsidRPr="00C93B9D">
        <w:rPr>
          <w:rFonts w:ascii="Arial" w:eastAsia="宋体" w:hAnsi="Arial" w:cs="Arial"/>
          <w:kern w:val="0"/>
          <w:sz w:val="20"/>
          <w:szCs w:val="20"/>
        </w:rPr>
        <w:t>制剂</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一日剂量</w:t>
      </w:r>
      <w:r w:rsidR="00C93B9D" w:rsidRPr="00C93B9D">
        <w:rPr>
          <w:rFonts w:ascii="Arial" w:eastAsia="宋体" w:hAnsi="Arial" w:cs="Arial"/>
          <w:kern w:val="0"/>
          <w:sz w:val="20"/>
          <w:szCs w:val="20"/>
        </w:rPr>
        <w:t>1.2g/kg(</w:t>
      </w:r>
      <w:r w:rsidR="00C93B9D" w:rsidRPr="00C93B9D">
        <w:rPr>
          <w:rFonts w:ascii="Arial" w:eastAsia="宋体" w:hAnsi="Arial" w:cs="Arial"/>
          <w:kern w:val="0"/>
          <w:sz w:val="20"/>
          <w:szCs w:val="20"/>
        </w:rPr>
        <w:t>相当于人类最大剂量的</w:t>
      </w:r>
      <w:r w:rsidR="00C93B9D" w:rsidRPr="00C93B9D">
        <w:rPr>
          <w:rFonts w:ascii="Arial" w:eastAsia="宋体" w:hAnsi="Arial" w:cs="Arial"/>
          <w:kern w:val="0"/>
          <w:sz w:val="20"/>
          <w:szCs w:val="20"/>
        </w:rPr>
        <w:t>517</w:t>
      </w:r>
      <w:r w:rsidR="00C93B9D" w:rsidRPr="00C93B9D">
        <w:rPr>
          <w:rFonts w:ascii="Arial" w:eastAsia="宋体" w:hAnsi="Arial" w:cs="Arial"/>
          <w:kern w:val="0"/>
          <w:sz w:val="20"/>
          <w:szCs w:val="20"/>
        </w:rPr>
        <w:t>倍</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，未见对生育力和繁殖力有影响。经口给予妊娠期大鼠、小鼠本药一日剂量</w:t>
      </w:r>
      <w:r w:rsidR="00C93B9D" w:rsidRPr="00C93B9D">
        <w:rPr>
          <w:rFonts w:ascii="Arial" w:eastAsia="宋体" w:hAnsi="Arial" w:cs="Arial"/>
          <w:kern w:val="0"/>
          <w:sz w:val="20"/>
          <w:szCs w:val="20"/>
        </w:rPr>
        <w:t>1.2g/kg(</w:t>
      </w:r>
      <w:r w:rsidR="00C93B9D" w:rsidRPr="00C93B9D">
        <w:rPr>
          <w:rFonts w:ascii="Arial" w:eastAsia="宋体" w:hAnsi="Arial" w:cs="Arial"/>
          <w:kern w:val="0"/>
          <w:sz w:val="20"/>
          <w:szCs w:val="20"/>
        </w:rPr>
        <w:t>按体表面积计算，分别相当于人类最大剂量的</w:t>
      </w:r>
      <w:r w:rsidR="00C93B9D" w:rsidRPr="00C93B9D">
        <w:rPr>
          <w:rFonts w:ascii="Arial" w:eastAsia="宋体" w:hAnsi="Arial" w:cs="Arial"/>
          <w:kern w:val="0"/>
          <w:sz w:val="20"/>
          <w:szCs w:val="20"/>
        </w:rPr>
        <w:t>4.9</w:t>
      </w:r>
      <w:r w:rsidR="00C93B9D" w:rsidRPr="00C93B9D">
        <w:rPr>
          <w:rFonts w:ascii="Arial" w:eastAsia="宋体" w:hAnsi="Arial" w:cs="Arial"/>
          <w:kern w:val="0"/>
          <w:sz w:val="20"/>
          <w:szCs w:val="20"/>
        </w:rPr>
        <w:t>倍、</w:t>
      </w:r>
      <w:r w:rsidR="00C93B9D" w:rsidRPr="00C93B9D">
        <w:rPr>
          <w:rFonts w:ascii="Arial" w:eastAsia="宋体" w:hAnsi="Arial" w:cs="Arial"/>
          <w:kern w:val="0"/>
          <w:sz w:val="20"/>
          <w:szCs w:val="20"/>
        </w:rPr>
        <w:t>2.8</w:t>
      </w:r>
      <w:r w:rsidR="00C93B9D" w:rsidRPr="00C93B9D">
        <w:rPr>
          <w:rFonts w:ascii="Arial" w:eastAsia="宋体" w:hAnsi="Arial" w:cs="Arial"/>
          <w:kern w:val="0"/>
          <w:sz w:val="20"/>
          <w:szCs w:val="20"/>
        </w:rPr>
        <w:t>倍</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，均未见</w:t>
      </w:r>
      <w:proofErr w:type="gramStart"/>
      <w:r w:rsidR="00C93B9D" w:rsidRPr="00C93B9D">
        <w:rPr>
          <w:rFonts w:ascii="Arial" w:eastAsia="宋体" w:hAnsi="Arial" w:cs="Arial"/>
          <w:kern w:val="0"/>
          <w:sz w:val="20"/>
          <w:szCs w:val="20"/>
        </w:rPr>
        <w:t>对胎仔有</w:t>
      </w:r>
      <w:proofErr w:type="gramEnd"/>
      <w:r w:rsidR="00C93B9D" w:rsidRPr="00C93B9D">
        <w:rPr>
          <w:rFonts w:ascii="Arial" w:eastAsia="宋体" w:hAnsi="Arial" w:cs="Arial"/>
          <w:kern w:val="0"/>
          <w:sz w:val="20"/>
          <w:szCs w:val="20"/>
        </w:rPr>
        <w:t>致畸作用。静脉注射给予豚鼠阿莫西林可降低子宫紧张性、收缩频率、强度和持续时间。</w:t>
      </w:r>
      <w:r w:rsidR="00F61A3A">
        <w:rPr>
          <w:rFonts w:ascii="Arial" w:eastAsia="宋体" w:hAnsi="Arial" w:cs="Arial"/>
          <w:kern w:val="0"/>
          <w:sz w:val="20"/>
          <w:szCs w:val="20"/>
        </w:rPr>
        <w:t>&lt;br&gt;&lt;br&gt;</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致癌性</w:t>
      </w:r>
      <w:r w:rsidR="00C93B9D" w:rsidRPr="00C93B9D">
        <w:rPr>
          <w:rFonts w:ascii="Arial" w:eastAsia="宋体" w:hAnsi="Arial" w:cs="Arial"/>
          <w:kern w:val="0"/>
          <w:sz w:val="20"/>
          <w:szCs w:val="20"/>
        </w:rPr>
        <w:t xml:space="preserve">  </w:t>
      </w:r>
      <w:r w:rsidR="00C93B9D" w:rsidRPr="00C93B9D">
        <w:rPr>
          <w:rFonts w:ascii="Arial" w:eastAsia="宋体" w:hAnsi="Arial" w:cs="Arial"/>
          <w:kern w:val="0"/>
          <w:sz w:val="20"/>
          <w:szCs w:val="20"/>
        </w:rPr>
        <w:t>尚无本药致癌性的长期动物试验研究数据。</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【制剂与规格】</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阿莫西林克拉维酸钾片</w:t>
      </w:r>
      <w:r w:rsidR="00C93B9D" w:rsidRPr="00C93B9D">
        <w:rPr>
          <w:rFonts w:ascii="Arial" w:eastAsia="宋体" w:hAnsi="Arial" w:cs="Arial"/>
          <w:kern w:val="0"/>
          <w:sz w:val="20"/>
          <w:szCs w:val="20"/>
        </w:rPr>
        <w:t xml:space="preserve">  (1)228.5mg(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28.5mg)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(2)375mg(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250mg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(3)457mg(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400mg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57mg)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(4)625mg(</w:t>
      </w:r>
      <w:r w:rsidR="00C93B9D" w:rsidRPr="00C93B9D">
        <w:rPr>
          <w:rFonts w:ascii="Arial" w:eastAsia="宋体" w:hAnsi="Arial" w:cs="Arial"/>
          <w:kern w:val="0"/>
          <w:sz w:val="20"/>
          <w:szCs w:val="20"/>
        </w:rPr>
        <w:t>阿</w:t>
      </w:r>
      <w:r w:rsidR="00C93B9D" w:rsidRPr="00C93B9D">
        <w:rPr>
          <w:rFonts w:ascii="Arial" w:eastAsia="宋体" w:hAnsi="Arial" w:cs="Arial"/>
          <w:kern w:val="0"/>
          <w:sz w:val="20"/>
          <w:szCs w:val="20"/>
        </w:rPr>
        <w:lastRenderedPageBreak/>
        <w:t>莫西林</w:t>
      </w:r>
      <w:r w:rsidR="00C93B9D" w:rsidRPr="00C93B9D">
        <w:rPr>
          <w:rFonts w:ascii="Arial" w:eastAsia="宋体" w:hAnsi="Arial" w:cs="Arial"/>
          <w:kern w:val="0"/>
          <w:sz w:val="20"/>
          <w:szCs w:val="20"/>
        </w:rPr>
        <w:t>500mg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(5)643mg(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43mg)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(6)1g(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875mg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阿莫西林克拉维酸钾</w:t>
      </w:r>
      <w:proofErr w:type="gramStart"/>
      <w:r w:rsidR="00C93B9D" w:rsidRPr="00C93B9D">
        <w:rPr>
          <w:rFonts w:ascii="Arial" w:eastAsia="宋体" w:hAnsi="Arial" w:cs="Arial"/>
          <w:kern w:val="0"/>
          <w:sz w:val="20"/>
          <w:szCs w:val="20"/>
        </w:rPr>
        <w:t>分散片</w:t>
      </w:r>
      <w:proofErr w:type="gramEnd"/>
      <w:r w:rsidR="00C93B9D" w:rsidRPr="00C93B9D">
        <w:rPr>
          <w:rFonts w:ascii="Arial" w:eastAsia="宋体" w:hAnsi="Arial" w:cs="Arial"/>
          <w:kern w:val="0"/>
          <w:sz w:val="20"/>
          <w:szCs w:val="20"/>
        </w:rPr>
        <w:t xml:space="preserve">  (1)156.25mg(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31.25mg)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(2)228.5mg(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28.5mg)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(3)643mg(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43mg)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阿莫西林克拉维酸钾咀嚼片</w:t>
      </w:r>
      <w:r w:rsidR="00C93B9D" w:rsidRPr="00C93B9D">
        <w:rPr>
          <w:rFonts w:ascii="Arial" w:eastAsia="宋体" w:hAnsi="Arial" w:cs="Arial"/>
          <w:kern w:val="0"/>
          <w:sz w:val="20"/>
          <w:szCs w:val="20"/>
        </w:rPr>
        <w:t xml:space="preserve">  (1)187.5mg(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62.5mg)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(2)228.5mg(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28.5mg)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(3)643mg(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600mg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43mg)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阿莫西林克拉维酸钾胶囊</w:t>
      </w:r>
      <w:r w:rsidR="00C93B9D" w:rsidRPr="00C93B9D">
        <w:rPr>
          <w:rFonts w:ascii="Arial" w:eastAsia="宋体" w:hAnsi="Arial" w:cs="Arial"/>
          <w:kern w:val="0"/>
          <w:sz w:val="20"/>
          <w:szCs w:val="20"/>
        </w:rPr>
        <w:t xml:space="preserve">  156.25mg(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31.25mg)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阿莫西林克拉维酸钾颗粒</w:t>
      </w:r>
      <w:r w:rsidR="00C93B9D" w:rsidRPr="00C93B9D">
        <w:rPr>
          <w:rFonts w:ascii="Arial" w:eastAsia="宋体" w:hAnsi="Arial" w:cs="Arial"/>
          <w:kern w:val="0"/>
          <w:sz w:val="20"/>
          <w:szCs w:val="20"/>
        </w:rPr>
        <w:t xml:space="preserve">  (1)156.25mg(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31.25mg)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(2)187.5mg(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62.5mg)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(3)228.5mg(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28.5mg)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阿莫西林</w:t>
      </w:r>
      <w:proofErr w:type="gramStart"/>
      <w:r w:rsidR="00C93B9D" w:rsidRPr="00C93B9D">
        <w:rPr>
          <w:rFonts w:ascii="Arial" w:eastAsia="宋体" w:hAnsi="Arial" w:cs="Arial"/>
          <w:kern w:val="0"/>
          <w:sz w:val="20"/>
          <w:szCs w:val="20"/>
        </w:rPr>
        <w:t>克拉维酸钾干混悬剂</w:t>
      </w:r>
      <w:proofErr w:type="gramEnd"/>
      <w:r w:rsidR="00C93B9D" w:rsidRPr="00C93B9D">
        <w:rPr>
          <w:rFonts w:ascii="Arial" w:eastAsia="宋体" w:hAnsi="Arial" w:cs="Arial"/>
          <w:kern w:val="0"/>
          <w:sz w:val="20"/>
          <w:szCs w:val="20"/>
        </w:rPr>
        <w:t xml:space="preserve">  (1)156.25mg(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125mg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31.25mg)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(2)228.5mg(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200mg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28.5mg)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注射用阿莫西林钠克拉维酸钾</w:t>
      </w:r>
      <w:r w:rsidR="00C93B9D" w:rsidRPr="00C93B9D">
        <w:rPr>
          <w:rFonts w:ascii="Arial" w:eastAsia="宋体" w:hAnsi="Arial" w:cs="Arial"/>
          <w:kern w:val="0"/>
          <w:sz w:val="20"/>
          <w:szCs w:val="20"/>
        </w:rPr>
        <w:t xml:space="preserve">  (1)0.6g(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0.5g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0.1g)</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(2)1.2g(</w:t>
      </w:r>
      <w:r w:rsidR="00C93B9D" w:rsidRPr="00C93B9D">
        <w:rPr>
          <w:rFonts w:ascii="Arial" w:eastAsia="宋体" w:hAnsi="Arial" w:cs="Arial"/>
          <w:kern w:val="0"/>
          <w:sz w:val="20"/>
          <w:szCs w:val="20"/>
        </w:rPr>
        <w:t>阿莫西林</w:t>
      </w:r>
      <w:r w:rsidR="00C93B9D" w:rsidRPr="00C93B9D">
        <w:rPr>
          <w:rFonts w:ascii="Arial" w:eastAsia="宋体" w:hAnsi="Arial" w:cs="Arial"/>
          <w:kern w:val="0"/>
          <w:sz w:val="20"/>
          <w:szCs w:val="20"/>
        </w:rPr>
        <w:t>1g</w:t>
      </w:r>
      <w:r w:rsidR="00C93B9D" w:rsidRPr="00C93B9D">
        <w:rPr>
          <w:rFonts w:ascii="Arial" w:eastAsia="宋体" w:hAnsi="Arial" w:cs="Arial"/>
          <w:kern w:val="0"/>
          <w:sz w:val="20"/>
          <w:szCs w:val="20"/>
        </w:rPr>
        <w:t>、克拉维酸钾</w:t>
      </w:r>
      <w:r w:rsidR="00C93B9D" w:rsidRPr="00C93B9D">
        <w:rPr>
          <w:rFonts w:ascii="Arial" w:eastAsia="宋体" w:hAnsi="Arial" w:cs="Arial"/>
          <w:kern w:val="0"/>
          <w:sz w:val="20"/>
          <w:szCs w:val="20"/>
        </w:rPr>
        <w:t>0.2g)</w:t>
      </w:r>
      <w:r w:rsidR="00C93B9D" w:rsidRPr="00C93B9D">
        <w:rPr>
          <w:rFonts w:ascii="Arial" w:eastAsia="宋体" w:hAnsi="Arial" w:cs="Arial"/>
          <w:kern w:val="0"/>
          <w:sz w:val="20"/>
          <w:szCs w:val="20"/>
        </w:rPr>
        <w:t>。</w:t>
      </w:r>
      <w:r w:rsidR="00F61A3A">
        <w:rPr>
          <w:rFonts w:ascii="Arial" w:eastAsia="宋体" w:hAnsi="Arial" w:cs="Arial"/>
          <w:kern w:val="0"/>
          <w:sz w:val="20"/>
          <w:szCs w:val="20"/>
        </w:rPr>
        <w:t>&lt;br&gt;&lt;br&gt;</w:t>
      </w:r>
      <w:r w:rsidR="00C93B9D" w:rsidRPr="00C93B9D">
        <w:rPr>
          <w:rFonts w:ascii="Arial" w:eastAsia="宋体" w:hAnsi="Arial" w:cs="Arial"/>
          <w:b/>
          <w:bCs/>
          <w:kern w:val="0"/>
          <w:sz w:val="20"/>
          <w:szCs w:val="20"/>
        </w:rPr>
        <w:t>【贮藏】</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片剂：密封，</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分散片：密封，</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咀嚼片：密闭，</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胶囊：密封，</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颗粒：密封，</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干混悬剂：密封，</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粉针剂：密闭，</w:t>
      </w:r>
      <w:proofErr w:type="gramStart"/>
      <w:r w:rsidR="00C93B9D" w:rsidRPr="00C93B9D">
        <w:rPr>
          <w:rFonts w:ascii="Arial" w:eastAsia="宋体" w:hAnsi="Arial" w:cs="Arial"/>
          <w:kern w:val="0"/>
          <w:sz w:val="20"/>
          <w:szCs w:val="20"/>
        </w:rPr>
        <w:t>在凉暗</w:t>
      </w:r>
      <w:proofErr w:type="gramEnd"/>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避光并不超过</w:t>
      </w:r>
      <w:r w:rsidR="00C93B9D" w:rsidRPr="00C93B9D">
        <w:rPr>
          <w:rFonts w:ascii="Arial" w:eastAsia="宋体" w:hAnsi="Arial" w:cs="Arial"/>
          <w:kern w:val="0"/>
          <w:sz w:val="20"/>
          <w:szCs w:val="20"/>
        </w:rPr>
        <w:t>20</w:t>
      </w:r>
      <w:r w:rsidR="00C93B9D" w:rsidRPr="00C93B9D">
        <w:rPr>
          <w:rFonts w:ascii="微软雅黑" w:eastAsia="微软雅黑" w:hAnsi="微软雅黑" w:cs="微软雅黑" w:hint="eastAsia"/>
          <w:kern w:val="0"/>
          <w:sz w:val="20"/>
          <w:szCs w:val="20"/>
        </w:rPr>
        <w:t>℃</w:t>
      </w:r>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干燥处保存。</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使用</w:t>
      </w:r>
      <w:r w:rsidR="00C93B9D" w:rsidRPr="00C93B9D">
        <w:rPr>
          <w:rFonts w:ascii="Arial" w:eastAsia="宋体" w:hAnsi="Arial" w:cs="Arial"/>
          <w:kern w:val="0"/>
          <w:sz w:val="20"/>
          <w:szCs w:val="20"/>
        </w:rPr>
        <w:t>UpToDate</w:t>
      </w:r>
      <w:r w:rsidR="00C93B9D" w:rsidRPr="00C93B9D">
        <w:rPr>
          <w:rFonts w:ascii="Arial" w:eastAsia="宋体" w:hAnsi="Arial" w:cs="Arial"/>
          <w:kern w:val="0"/>
          <w:sz w:val="20"/>
          <w:szCs w:val="20"/>
        </w:rPr>
        <w:t>临床顾问须遵循</w:t>
      </w:r>
      <w:hyperlink r:id="rId4" w:tgtFrame="_blank" w:history="1">
        <w:r w:rsidR="00C93B9D" w:rsidRPr="00C93B9D">
          <w:rPr>
            <w:rFonts w:ascii="Arial" w:eastAsia="宋体" w:hAnsi="Arial" w:cs="Arial"/>
            <w:color w:val="336633"/>
            <w:kern w:val="0"/>
            <w:sz w:val="20"/>
            <w:szCs w:val="20"/>
            <w:u w:val="single"/>
          </w:rPr>
          <w:t>用户协议</w:t>
        </w:r>
      </w:hyperlink>
      <w:r w:rsidR="00C93B9D" w:rsidRPr="00C93B9D">
        <w:rPr>
          <w:rFonts w:ascii="Arial" w:eastAsia="宋体" w:hAnsi="Arial" w:cs="Arial"/>
          <w:kern w:val="0"/>
          <w:sz w:val="20"/>
          <w:szCs w:val="20"/>
        </w:rPr>
        <w:t>。</w:t>
      </w:r>
      <w:r w:rsidR="00C93B9D" w:rsidRPr="00C93B9D">
        <w:rPr>
          <w:rFonts w:ascii="Arial" w:eastAsia="宋体" w:hAnsi="Arial" w:cs="Arial"/>
          <w:kern w:val="0"/>
          <w:sz w:val="20"/>
          <w:szCs w:val="20"/>
        </w:rPr>
        <w:t xml:space="preserve"> </w:t>
      </w:r>
      <w:r w:rsidR="00F61A3A">
        <w:rPr>
          <w:rFonts w:ascii="Arial" w:eastAsia="宋体" w:hAnsi="Arial" w:cs="Arial"/>
          <w:kern w:val="0"/>
          <w:sz w:val="20"/>
          <w:szCs w:val="20"/>
        </w:rPr>
        <w:t>&lt;br&gt;&lt;br&gt;</w:t>
      </w:r>
      <w:r w:rsidR="00C93B9D" w:rsidRPr="00C93B9D">
        <w:rPr>
          <w:rFonts w:ascii="Arial" w:eastAsia="宋体" w:hAnsi="Arial" w:cs="Arial"/>
          <w:kern w:val="0"/>
          <w:sz w:val="20"/>
          <w:szCs w:val="20"/>
        </w:rPr>
        <w:t>专题</w:t>
      </w:r>
      <w:r w:rsidR="00C93B9D" w:rsidRPr="00C93B9D">
        <w:rPr>
          <w:rFonts w:ascii="Arial" w:eastAsia="宋体" w:hAnsi="Arial" w:cs="Arial"/>
          <w:kern w:val="0"/>
          <w:sz w:val="20"/>
          <w:szCs w:val="20"/>
        </w:rPr>
        <w:t xml:space="preserve"> 92288 </w:t>
      </w:r>
      <w:r w:rsidR="00C93B9D" w:rsidRPr="00C93B9D">
        <w:rPr>
          <w:rFonts w:ascii="Arial" w:eastAsia="宋体" w:hAnsi="Arial" w:cs="Arial"/>
          <w:kern w:val="0"/>
          <w:sz w:val="20"/>
          <w:szCs w:val="20"/>
        </w:rPr>
        <w:t>版本</w:t>
      </w:r>
      <w:r w:rsidR="00C93B9D" w:rsidRPr="00C93B9D">
        <w:rPr>
          <w:rFonts w:ascii="Arial" w:eastAsia="宋体" w:hAnsi="Arial" w:cs="Arial"/>
          <w:kern w:val="0"/>
          <w:sz w:val="20"/>
          <w:szCs w:val="20"/>
        </w:rPr>
        <w:t xml:space="preserve"> 1.0</w:t>
      </w:r>
      <w:r w:rsidR="00F61A3A">
        <w:rPr>
          <w:rFonts w:ascii="Arial" w:eastAsia="宋体" w:hAnsi="Arial" w:cs="Arial"/>
          <w:kern w:val="0"/>
          <w:sz w:val="20"/>
          <w:szCs w:val="20"/>
        </w:rPr>
        <w:t>&lt;br&gt;&lt;br&gt;</w:t>
      </w:r>
      <w:r w:rsidR="00F61A3A">
        <w:t>&lt;br&gt;&lt;br&gt;</w:t>
      </w:r>
      <w:r w:rsidR="006A7EDA" w:rsidRPr="005A38C6">
        <w:rPr>
          <w:color w:val="FF0000"/>
        </w:rPr>
        <w:t>【</w:t>
      </w:r>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3A6"/>
    <w:rsid w:val="00072F7C"/>
    <w:rsid w:val="000823A6"/>
    <w:rsid w:val="002D7359"/>
    <w:rsid w:val="004509FD"/>
    <w:rsid w:val="004559F8"/>
    <w:rsid w:val="0048715B"/>
    <w:rsid w:val="00551324"/>
    <w:rsid w:val="005A38C6"/>
    <w:rsid w:val="006A7EDA"/>
    <w:rsid w:val="007002E6"/>
    <w:rsid w:val="00792049"/>
    <w:rsid w:val="00A45807"/>
    <w:rsid w:val="00C93B9D"/>
    <w:rsid w:val="00F6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FEC39-F18C-4E49-B8B4-0566CEB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C93B9D"/>
    <w:rPr>
      <w:b/>
      <w:bCs/>
    </w:rPr>
  </w:style>
  <w:style w:type="character" w:customStyle="1" w:styleId="nowrap1">
    <w:name w:val="nowrap1"/>
    <w:basedOn w:val="a0"/>
    <w:rsid w:val="00C93B9D"/>
  </w:style>
  <w:style w:type="character" w:customStyle="1" w:styleId="h22">
    <w:name w:val="h22"/>
    <w:basedOn w:val="a0"/>
    <w:rsid w:val="00C93B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605545">
      <w:bodyDiv w:val="1"/>
      <w:marLeft w:val="0"/>
      <w:marRight w:val="0"/>
      <w:marTop w:val="0"/>
      <w:marBottom w:val="0"/>
      <w:divBdr>
        <w:top w:val="none" w:sz="0" w:space="0" w:color="auto"/>
        <w:left w:val="none" w:sz="0" w:space="0" w:color="auto"/>
        <w:bottom w:val="none" w:sz="0" w:space="0" w:color="auto"/>
        <w:right w:val="none" w:sz="0" w:space="0" w:color="auto"/>
      </w:divBdr>
      <w:divsChild>
        <w:div w:id="1169518690">
          <w:marLeft w:val="0"/>
          <w:marRight w:val="0"/>
          <w:marTop w:val="0"/>
          <w:marBottom w:val="0"/>
          <w:divBdr>
            <w:top w:val="none" w:sz="0" w:space="0" w:color="auto"/>
            <w:left w:val="none" w:sz="0" w:space="0" w:color="auto"/>
            <w:bottom w:val="none" w:sz="0" w:space="0" w:color="auto"/>
            <w:right w:val="none" w:sz="0" w:space="0" w:color="auto"/>
          </w:divBdr>
          <w:divsChild>
            <w:div w:id="851803797">
              <w:marLeft w:val="0"/>
              <w:marRight w:val="0"/>
              <w:marTop w:val="0"/>
              <w:marBottom w:val="0"/>
              <w:divBdr>
                <w:top w:val="none" w:sz="0" w:space="0" w:color="auto"/>
                <w:left w:val="none" w:sz="0" w:space="0" w:color="auto"/>
                <w:bottom w:val="none" w:sz="0" w:space="0" w:color="auto"/>
                <w:right w:val="none" w:sz="0" w:space="0" w:color="auto"/>
              </w:divBdr>
              <w:divsChild>
                <w:div w:id="1867021532">
                  <w:marLeft w:val="450"/>
                  <w:marRight w:val="900"/>
                  <w:marTop w:val="450"/>
                  <w:marBottom w:val="450"/>
                  <w:divBdr>
                    <w:top w:val="none" w:sz="0" w:space="0" w:color="auto"/>
                    <w:left w:val="none" w:sz="0" w:space="0" w:color="auto"/>
                    <w:bottom w:val="none" w:sz="0" w:space="0" w:color="auto"/>
                    <w:right w:val="none" w:sz="0" w:space="0" w:color="auto"/>
                  </w:divBdr>
                  <w:divsChild>
                    <w:div w:id="1036001794">
                      <w:marLeft w:val="0"/>
                      <w:marRight w:val="0"/>
                      <w:marTop w:val="0"/>
                      <w:marBottom w:val="0"/>
                      <w:divBdr>
                        <w:top w:val="none" w:sz="0" w:space="0" w:color="auto"/>
                        <w:left w:val="none" w:sz="0" w:space="0" w:color="auto"/>
                        <w:bottom w:val="none" w:sz="0" w:space="0" w:color="auto"/>
                        <w:right w:val="none" w:sz="0" w:space="0" w:color="auto"/>
                      </w:divBdr>
                    </w:div>
                    <w:div w:id="715349715">
                      <w:marLeft w:val="0"/>
                      <w:marRight w:val="0"/>
                      <w:marTop w:val="0"/>
                      <w:marBottom w:val="0"/>
                      <w:divBdr>
                        <w:top w:val="none" w:sz="0" w:space="0" w:color="auto"/>
                        <w:left w:val="none" w:sz="0" w:space="0" w:color="auto"/>
                        <w:bottom w:val="none" w:sz="0" w:space="0" w:color="auto"/>
                        <w:right w:val="none" w:sz="0" w:space="0" w:color="auto"/>
                      </w:divBdr>
                    </w:div>
                    <w:div w:id="1917130045">
                      <w:marLeft w:val="0"/>
                      <w:marRight w:val="0"/>
                      <w:marTop w:val="480"/>
                      <w:marBottom w:val="480"/>
                      <w:divBdr>
                        <w:top w:val="none" w:sz="0" w:space="0" w:color="auto"/>
                        <w:left w:val="none" w:sz="0" w:space="0" w:color="auto"/>
                        <w:bottom w:val="none" w:sz="0" w:space="0" w:color="auto"/>
                        <w:right w:val="none" w:sz="0" w:space="0" w:color="auto"/>
                      </w:divBdr>
                    </w:div>
                    <w:div w:id="2045016889">
                      <w:marLeft w:val="0"/>
                      <w:marRight w:val="0"/>
                      <w:marTop w:val="0"/>
                      <w:marBottom w:val="0"/>
                      <w:divBdr>
                        <w:top w:val="none" w:sz="0" w:space="0" w:color="auto"/>
                        <w:left w:val="none" w:sz="0" w:space="0" w:color="auto"/>
                        <w:bottom w:val="none" w:sz="0" w:space="0" w:color="auto"/>
                        <w:right w:val="none" w:sz="0" w:space="0" w:color="auto"/>
                      </w:divBdr>
                      <w:divsChild>
                        <w:div w:id="1702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张凯锋</cp:lastModifiedBy>
  <cp:revision>20</cp:revision>
  <dcterms:created xsi:type="dcterms:W3CDTF">2015-02-09T01:22:00Z</dcterms:created>
  <dcterms:modified xsi:type="dcterms:W3CDTF">2015-09-06T07:40:00Z</dcterms:modified>
</cp:coreProperties>
</file>