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D218BC" w:rsidRDefault="00D218BC" w:rsidP="00D218BC">
      <w:pPr>
        <w:widowControl/>
        <w:jc w:val="left"/>
        <w:rPr>
          <w:rFonts w:ascii="Arial" w:eastAsia="宋体" w:hAnsi="Arial" w:cs="Arial"/>
          <w:b/>
          <w:bCs/>
          <w:kern w:val="0"/>
          <w:sz w:val="20"/>
          <w:szCs w:val="20"/>
        </w:rPr>
      </w:pPr>
      <w:bookmarkStart w:id="0" w:name="_GoBack"/>
      <w:r w:rsidRPr="00D218BC">
        <w:rPr>
          <w:rFonts w:ascii="Arial" w:eastAsia="宋体" w:hAnsi="Arial" w:cs="Arial"/>
          <w:b/>
          <w:bCs/>
          <w:kern w:val="0"/>
          <w:sz w:val="20"/>
          <w:szCs w:val="20"/>
        </w:rPr>
        <w:t>阿立</w:t>
      </w:r>
      <w:proofErr w:type="gramStart"/>
      <w:r w:rsidRPr="00D218BC">
        <w:rPr>
          <w:rFonts w:ascii="Arial" w:eastAsia="宋体" w:hAnsi="Arial" w:cs="Arial"/>
          <w:b/>
          <w:bCs/>
          <w:kern w:val="0"/>
          <w:sz w:val="20"/>
          <w:szCs w:val="20"/>
        </w:rPr>
        <w:t>哌唑</w:t>
      </w:r>
      <w:proofErr w:type="gramEnd"/>
    </w:p>
    <w:bookmarkEnd w:id="0"/>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文章版本号：</w:t>
      </w:r>
      <w:r w:rsidRPr="00D218BC">
        <w:rPr>
          <w:rFonts w:ascii="Arial" w:eastAsia="宋体" w:hAnsi="Arial" w:cs="Arial"/>
          <w:kern w:val="0"/>
          <w:sz w:val="20"/>
          <w:szCs w:val="20"/>
        </w:rPr>
        <w:t>3</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最后发布时间：</w:t>
      </w:r>
      <w:r w:rsidRPr="00D218BC">
        <w:rPr>
          <w:rFonts w:ascii="Arial" w:eastAsia="宋体" w:hAnsi="Arial" w:cs="Arial"/>
          <w:kern w:val="0"/>
          <w:sz w:val="20"/>
          <w:szCs w:val="20"/>
        </w:rPr>
        <w:t>2014-4-15 9:46:21</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【特别警示】</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本药不得用于治疗痴呆相关的精神病，因与</w:t>
      </w:r>
      <w:proofErr w:type="gramStart"/>
      <w:r w:rsidRPr="00D218BC">
        <w:rPr>
          <w:rFonts w:ascii="Arial" w:eastAsia="宋体" w:hAnsi="Arial" w:cs="Arial"/>
          <w:kern w:val="0"/>
          <w:sz w:val="20"/>
          <w:szCs w:val="20"/>
        </w:rPr>
        <w:t>痴呆有关</w:t>
      </w:r>
      <w:proofErr w:type="gramEnd"/>
      <w:r w:rsidRPr="00D218BC">
        <w:rPr>
          <w:rFonts w:ascii="Arial" w:eastAsia="宋体" w:hAnsi="Arial" w:cs="Arial"/>
          <w:kern w:val="0"/>
          <w:sz w:val="20"/>
          <w:szCs w:val="20"/>
        </w:rPr>
        <w:t>的老年精神病患者有使用非典型抗精神病药后出现死亡率增加的风险，本药未被美国食品药品管理局</w:t>
      </w:r>
      <w:r w:rsidRPr="00D218BC">
        <w:rPr>
          <w:rFonts w:ascii="Arial" w:eastAsia="宋体" w:hAnsi="Arial" w:cs="Arial"/>
          <w:kern w:val="0"/>
          <w:sz w:val="20"/>
          <w:szCs w:val="20"/>
        </w:rPr>
        <w:t>(FDA)</w:t>
      </w:r>
      <w:r w:rsidRPr="00D218BC">
        <w:rPr>
          <w:rFonts w:ascii="Arial" w:eastAsia="宋体" w:hAnsi="Arial" w:cs="Arial"/>
          <w:kern w:val="0"/>
          <w:sz w:val="20"/>
          <w:szCs w:val="20"/>
        </w:rPr>
        <w:t>批准用于痴呆症。</w:t>
      </w:r>
      <w:r w:rsidRPr="00D218BC">
        <w:rPr>
          <w:rFonts w:ascii="Arial" w:eastAsia="宋体" w:hAnsi="Arial" w:cs="Arial"/>
          <w:kern w:val="0"/>
          <w:sz w:val="20"/>
          <w:szCs w:val="20"/>
        </w:rPr>
        <w:t>(FDA</w:t>
      </w:r>
      <w:r w:rsidRPr="00D218BC">
        <w:rPr>
          <w:rFonts w:ascii="Arial" w:eastAsia="宋体" w:hAnsi="Arial" w:cs="Arial"/>
          <w:kern w:val="0"/>
          <w:sz w:val="20"/>
          <w:szCs w:val="20"/>
        </w:rPr>
        <w:t>药品说明书</w:t>
      </w:r>
      <w:r w:rsidRPr="00D218BC">
        <w:rPr>
          <w:rFonts w:ascii="Arial" w:eastAsia="宋体" w:hAnsi="Arial" w:cs="Arial"/>
          <w:kern w:val="0"/>
          <w:sz w:val="20"/>
          <w:szCs w:val="20"/>
        </w:rPr>
        <w:t>-</w:t>
      </w:r>
      <w:r w:rsidRPr="00D218BC">
        <w:rPr>
          <w:rFonts w:ascii="Arial" w:eastAsia="宋体" w:hAnsi="Arial" w:cs="Arial"/>
          <w:kern w:val="0"/>
          <w:sz w:val="20"/>
          <w:szCs w:val="20"/>
        </w:rPr>
        <w:t>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片、口腔崩解片、口服溶液、注射剂</w:t>
      </w:r>
      <w:r w:rsidRPr="00D218BC">
        <w:rPr>
          <w:rFonts w:ascii="Arial" w:eastAsia="宋体" w:hAnsi="Arial" w:cs="Arial"/>
          <w:kern w:val="0"/>
          <w:sz w:val="20"/>
          <w:szCs w:val="20"/>
        </w:rPr>
        <w:t>)</w:t>
      </w:r>
      <w:r w:rsidRPr="00D218BC">
        <w:rPr>
          <w:rFonts w:ascii="Arial" w:eastAsia="宋体" w:hAnsi="Arial" w:cs="Arial"/>
          <w:kern w:val="0"/>
          <w:sz w:val="20"/>
          <w:szCs w:val="20"/>
        </w:rPr>
        <w:t>主要致死原因包括心血管疾病</w:t>
      </w:r>
      <w:r w:rsidRPr="00D218BC">
        <w:rPr>
          <w:rFonts w:ascii="Arial" w:eastAsia="宋体" w:hAnsi="Arial" w:cs="Arial"/>
          <w:kern w:val="0"/>
          <w:sz w:val="20"/>
          <w:szCs w:val="20"/>
        </w:rPr>
        <w:t>(</w:t>
      </w:r>
      <w:r w:rsidRPr="00D218BC">
        <w:rPr>
          <w:rFonts w:ascii="Arial" w:eastAsia="宋体" w:hAnsi="Arial" w:cs="Arial"/>
          <w:kern w:val="0"/>
          <w:sz w:val="20"/>
          <w:szCs w:val="20"/>
        </w:rPr>
        <w:t>如心力衰竭和猝死</w:t>
      </w:r>
      <w:r w:rsidRPr="00D218BC">
        <w:rPr>
          <w:rFonts w:ascii="Arial" w:eastAsia="宋体" w:hAnsi="Arial" w:cs="Arial"/>
          <w:kern w:val="0"/>
          <w:sz w:val="20"/>
          <w:szCs w:val="20"/>
        </w:rPr>
        <w:t>)</w:t>
      </w:r>
      <w:r w:rsidRPr="00D218BC">
        <w:rPr>
          <w:rFonts w:ascii="Arial" w:eastAsia="宋体" w:hAnsi="Arial" w:cs="Arial"/>
          <w:kern w:val="0"/>
          <w:sz w:val="20"/>
          <w:szCs w:val="20"/>
        </w:rPr>
        <w:t>和感染</w:t>
      </w:r>
      <w:r w:rsidRPr="00D218BC">
        <w:rPr>
          <w:rFonts w:ascii="Arial" w:eastAsia="宋体" w:hAnsi="Arial" w:cs="Arial"/>
          <w:kern w:val="0"/>
          <w:sz w:val="20"/>
          <w:szCs w:val="20"/>
        </w:rPr>
        <w:t>(</w:t>
      </w:r>
      <w:r w:rsidRPr="00D218BC">
        <w:rPr>
          <w:rFonts w:ascii="Arial" w:eastAsia="宋体" w:hAnsi="Arial" w:cs="Arial"/>
          <w:kern w:val="0"/>
          <w:sz w:val="20"/>
          <w:szCs w:val="20"/>
        </w:rPr>
        <w:t>如肺炎</w:t>
      </w:r>
      <w:r w:rsidRPr="00D218BC">
        <w:rPr>
          <w:rFonts w:ascii="Arial" w:eastAsia="宋体" w:hAnsi="Arial" w:cs="Arial"/>
          <w:kern w:val="0"/>
          <w:sz w:val="20"/>
          <w:szCs w:val="20"/>
        </w:rPr>
        <w:t>)</w:t>
      </w:r>
      <w:r w:rsidRPr="00D218BC">
        <w:rPr>
          <w:rFonts w:ascii="Arial" w:eastAsia="宋体" w:hAnsi="Arial" w:cs="Arial"/>
          <w:kern w:val="0"/>
          <w:sz w:val="20"/>
          <w:szCs w:val="20"/>
        </w:rPr>
        <w:t>。</w:t>
      </w:r>
      <w:r w:rsidRPr="00D218BC">
        <w:rPr>
          <w:rFonts w:ascii="Arial" w:eastAsia="宋体" w:hAnsi="Arial" w:cs="Arial"/>
          <w:kern w:val="0"/>
          <w:sz w:val="20"/>
          <w:szCs w:val="20"/>
        </w:rPr>
        <w:t>(CFDA</w:t>
      </w:r>
      <w:r w:rsidRPr="00D218BC">
        <w:rPr>
          <w:rFonts w:ascii="Arial" w:eastAsia="宋体" w:hAnsi="Arial" w:cs="Arial"/>
          <w:kern w:val="0"/>
          <w:sz w:val="20"/>
          <w:szCs w:val="20"/>
        </w:rPr>
        <w:t>药品说明书</w:t>
      </w:r>
      <w:r w:rsidRPr="00D218BC">
        <w:rPr>
          <w:rFonts w:ascii="Arial" w:eastAsia="宋体" w:hAnsi="Arial" w:cs="Arial"/>
          <w:kern w:val="0"/>
          <w:sz w:val="20"/>
          <w:szCs w:val="20"/>
        </w:rPr>
        <w:t>-</w:t>
      </w:r>
      <w:r w:rsidRPr="00D218BC">
        <w:rPr>
          <w:rFonts w:ascii="Arial" w:eastAsia="宋体" w:hAnsi="Arial" w:cs="Arial"/>
          <w:kern w:val="0"/>
          <w:sz w:val="20"/>
          <w:szCs w:val="20"/>
        </w:rPr>
        <w:t>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片</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短期研究发现，抗抑郁药用于患严重抑郁症</w:t>
      </w:r>
      <w:r w:rsidRPr="00D218BC">
        <w:rPr>
          <w:rFonts w:ascii="Arial" w:eastAsia="宋体" w:hAnsi="Arial" w:cs="Arial"/>
          <w:kern w:val="0"/>
          <w:sz w:val="20"/>
          <w:szCs w:val="20"/>
        </w:rPr>
        <w:t>(MDD)</w:t>
      </w:r>
      <w:r w:rsidRPr="00D218BC">
        <w:rPr>
          <w:rFonts w:ascii="Arial" w:eastAsia="宋体" w:hAnsi="Arial" w:cs="Arial"/>
          <w:kern w:val="0"/>
          <w:sz w:val="20"/>
          <w:szCs w:val="20"/>
        </w:rPr>
        <w:t>或其他精神障碍的儿童、青少年和青年，可增加其自杀倾向及自杀行为的风险，故此类患者用药时需权衡利弊，并密切监控其临床恶化、自杀及异常行为的发生。本药未被美国食品药品管理局</w:t>
      </w:r>
      <w:r w:rsidRPr="00D218BC">
        <w:rPr>
          <w:rFonts w:ascii="Arial" w:eastAsia="宋体" w:hAnsi="Arial" w:cs="Arial"/>
          <w:kern w:val="0"/>
          <w:sz w:val="20"/>
          <w:szCs w:val="20"/>
        </w:rPr>
        <w:t>(FDA)</w:t>
      </w:r>
      <w:r w:rsidRPr="00D218BC">
        <w:rPr>
          <w:rFonts w:ascii="Arial" w:eastAsia="宋体" w:hAnsi="Arial" w:cs="Arial"/>
          <w:kern w:val="0"/>
          <w:sz w:val="20"/>
          <w:szCs w:val="20"/>
        </w:rPr>
        <w:t>批准用于儿童抑郁症。</w:t>
      </w:r>
      <w:r w:rsidRPr="00D218BC">
        <w:rPr>
          <w:rFonts w:ascii="Arial" w:eastAsia="宋体" w:hAnsi="Arial" w:cs="Arial"/>
          <w:kern w:val="0"/>
          <w:sz w:val="20"/>
          <w:szCs w:val="20"/>
        </w:rPr>
        <w:t>(FDA</w:t>
      </w:r>
      <w:r w:rsidRPr="00D218BC">
        <w:rPr>
          <w:rFonts w:ascii="Arial" w:eastAsia="宋体" w:hAnsi="Arial" w:cs="Arial"/>
          <w:kern w:val="0"/>
          <w:sz w:val="20"/>
          <w:szCs w:val="20"/>
        </w:rPr>
        <w:t>药品说明书</w:t>
      </w:r>
      <w:r w:rsidRPr="00D218BC">
        <w:rPr>
          <w:rFonts w:ascii="Arial" w:eastAsia="宋体" w:hAnsi="Arial" w:cs="Arial"/>
          <w:kern w:val="0"/>
          <w:sz w:val="20"/>
          <w:szCs w:val="20"/>
        </w:rPr>
        <w:t>-</w:t>
      </w:r>
      <w:r w:rsidRPr="00D218BC">
        <w:rPr>
          <w:rFonts w:ascii="Arial" w:eastAsia="宋体" w:hAnsi="Arial" w:cs="Arial"/>
          <w:kern w:val="0"/>
          <w:sz w:val="20"/>
          <w:szCs w:val="20"/>
        </w:rPr>
        <w:t>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片、口腔崩解片、口服溶液、注射剂</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【药物名称】</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中文通用名称：阿立</w:t>
      </w:r>
      <w:proofErr w:type="gramStart"/>
      <w:r w:rsidRPr="00D218BC">
        <w:rPr>
          <w:rFonts w:ascii="Arial" w:eastAsia="宋体" w:hAnsi="Arial" w:cs="Arial"/>
          <w:kern w:val="0"/>
          <w:sz w:val="20"/>
          <w:szCs w:val="20"/>
        </w:rPr>
        <w:t>哌唑</w:t>
      </w:r>
      <w:proofErr w:type="gramEnd"/>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英文通用名称：</w:t>
      </w:r>
      <w:proofErr w:type="spellStart"/>
      <w:r w:rsidRPr="00D218BC">
        <w:rPr>
          <w:rFonts w:ascii="Arial" w:eastAsia="宋体" w:hAnsi="Arial" w:cs="Arial"/>
          <w:kern w:val="0"/>
          <w:sz w:val="20"/>
          <w:szCs w:val="20"/>
        </w:rPr>
        <w:t>Aripiprazole</w:t>
      </w:r>
      <w:proofErr w:type="spellEnd"/>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其他名称：安律凡、奥派、</w:t>
      </w:r>
      <w:proofErr w:type="gramStart"/>
      <w:r w:rsidRPr="00D218BC">
        <w:rPr>
          <w:rFonts w:ascii="Arial" w:eastAsia="宋体" w:hAnsi="Arial" w:cs="Arial"/>
          <w:kern w:val="0"/>
          <w:sz w:val="20"/>
          <w:szCs w:val="20"/>
        </w:rPr>
        <w:t>博思清</w:t>
      </w:r>
      <w:proofErr w:type="gramEnd"/>
      <w:r w:rsidRPr="00D218BC">
        <w:rPr>
          <w:rFonts w:ascii="Arial" w:eastAsia="宋体" w:hAnsi="Arial" w:cs="Arial"/>
          <w:kern w:val="0"/>
          <w:sz w:val="20"/>
          <w:szCs w:val="20"/>
        </w:rPr>
        <w:t>、郝尔宁、</w:t>
      </w:r>
      <w:proofErr w:type="spellStart"/>
      <w:r w:rsidRPr="00D218BC">
        <w:rPr>
          <w:rFonts w:ascii="Arial" w:eastAsia="宋体" w:hAnsi="Arial" w:cs="Arial"/>
          <w:kern w:val="0"/>
          <w:sz w:val="20"/>
          <w:szCs w:val="20"/>
        </w:rPr>
        <w:t>Abilify</w:t>
      </w:r>
      <w:proofErr w:type="spellEnd"/>
      <w:r w:rsidRPr="00D218BC">
        <w:rPr>
          <w:rFonts w:ascii="Arial" w:eastAsia="宋体" w:hAnsi="Arial" w:cs="Arial"/>
          <w:kern w:val="0"/>
          <w:sz w:val="20"/>
          <w:szCs w:val="20"/>
        </w:rPr>
        <w:t>、</w:t>
      </w:r>
      <w:proofErr w:type="spellStart"/>
      <w:r w:rsidRPr="00D218BC">
        <w:rPr>
          <w:rFonts w:ascii="Arial" w:eastAsia="宋体" w:hAnsi="Arial" w:cs="Arial"/>
          <w:kern w:val="0"/>
          <w:sz w:val="20"/>
          <w:szCs w:val="20"/>
        </w:rPr>
        <w:t>Brisking</w:t>
      </w:r>
      <w:proofErr w:type="spellEnd"/>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【药理分类】</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精神障碍用药</w:t>
      </w:r>
      <w:r w:rsidRPr="00D218BC">
        <w:rPr>
          <w:rFonts w:ascii="Arial" w:eastAsia="宋体" w:hAnsi="Arial" w:cs="Arial"/>
          <w:kern w:val="0"/>
          <w:sz w:val="20"/>
          <w:szCs w:val="20"/>
        </w:rPr>
        <w:t>&gt;&gt;</w:t>
      </w:r>
      <w:r w:rsidRPr="00D218BC">
        <w:rPr>
          <w:rFonts w:ascii="Arial" w:eastAsia="宋体" w:hAnsi="Arial" w:cs="Arial"/>
          <w:kern w:val="0"/>
          <w:sz w:val="20"/>
          <w:szCs w:val="20"/>
        </w:rPr>
        <w:t>抗精神病药</w:t>
      </w:r>
      <w:r w:rsidRPr="00D218BC">
        <w:rPr>
          <w:rFonts w:ascii="Arial" w:eastAsia="宋体" w:hAnsi="Arial" w:cs="Arial"/>
          <w:kern w:val="0"/>
          <w:sz w:val="20"/>
          <w:szCs w:val="20"/>
        </w:rPr>
        <w:t>&gt;&gt;</w:t>
      </w:r>
      <w:r w:rsidRPr="00D218BC">
        <w:rPr>
          <w:rFonts w:ascii="Arial" w:eastAsia="宋体" w:hAnsi="Arial" w:cs="Arial"/>
          <w:kern w:val="0"/>
          <w:sz w:val="20"/>
          <w:szCs w:val="20"/>
        </w:rPr>
        <w:t>其它抗精神病药</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【临床应用】</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CFDA</w:t>
      </w:r>
      <w:r w:rsidRPr="00D218BC">
        <w:rPr>
          <w:rFonts w:ascii="Arial" w:eastAsia="宋体" w:hAnsi="Arial" w:cs="Arial"/>
          <w:b/>
          <w:bCs/>
          <w:kern w:val="0"/>
          <w:sz w:val="20"/>
          <w:szCs w:val="20"/>
        </w:rPr>
        <w:t>说明书适应症</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用于治疗精神分裂症。</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其他临床应用参考</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用于</w:t>
      </w:r>
      <w:r w:rsidRPr="00D218BC">
        <w:rPr>
          <w:rFonts w:ascii="微软雅黑" w:eastAsia="微软雅黑" w:hAnsi="微软雅黑" w:cs="微软雅黑" w:hint="eastAsia"/>
          <w:kern w:val="0"/>
          <w:sz w:val="20"/>
          <w:szCs w:val="20"/>
        </w:rPr>
        <w:t>Ⅰ</w:t>
      </w:r>
      <w:r w:rsidRPr="00D218BC">
        <w:rPr>
          <w:rFonts w:ascii="Arial" w:eastAsia="宋体" w:hAnsi="Arial" w:cs="Arial"/>
          <w:kern w:val="0"/>
          <w:sz w:val="20"/>
          <w:szCs w:val="20"/>
        </w:rPr>
        <w:t>型双相情感障碍的急性躁狂发作或混合性发作及维持治疗，可单用，也可作为锂剂或</w:t>
      </w:r>
      <w:proofErr w:type="gramStart"/>
      <w:r w:rsidRPr="00D218BC">
        <w:rPr>
          <w:rFonts w:ascii="Arial" w:eastAsia="宋体" w:hAnsi="Arial" w:cs="Arial"/>
          <w:kern w:val="0"/>
          <w:sz w:val="20"/>
          <w:szCs w:val="20"/>
        </w:rPr>
        <w:t>丙戊</w:t>
      </w:r>
      <w:proofErr w:type="gramEnd"/>
      <w:r w:rsidRPr="00D218BC">
        <w:rPr>
          <w:rFonts w:ascii="Arial" w:eastAsia="宋体" w:hAnsi="Arial" w:cs="Arial"/>
          <w:kern w:val="0"/>
          <w:sz w:val="20"/>
          <w:szCs w:val="20"/>
        </w:rPr>
        <w:t>酸的辅助用药。</w:t>
      </w:r>
      <w:r w:rsidRPr="00D218BC">
        <w:rPr>
          <w:rFonts w:ascii="Arial" w:eastAsia="宋体" w:hAnsi="Arial" w:cs="Arial"/>
          <w:kern w:val="0"/>
          <w:sz w:val="20"/>
          <w:szCs w:val="20"/>
        </w:rPr>
        <w:t>(FDA</w:t>
      </w:r>
      <w:r w:rsidRPr="00D218BC">
        <w:rPr>
          <w:rFonts w:ascii="Arial" w:eastAsia="宋体" w:hAnsi="Arial" w:cs="Arial"/>
          <w:kern w:val="0"/>
          <w:sz w:val="20"/>
          <w:szCs w:val="20"/>
        </w:rPr>
        <w:t>批准适应症</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用于严重抑郁症</w:t>
      </w:r>
      <w:r w:rsidRPr="00D218BC">
        <w:rPr>
          <w:rFonts w:ascii="Arial" w:eastAsia="宋体" w:hAnsi="Arial" w:cs="Arial"/>
          <w:kern w:val="0"/>
          <w:sz w:val="20"/>
          <w:szCs w:val="20"/>
        </w:rPr>
        <w:t>(MDD)</w:t>
      </w:r>
      <w:r w:rsidRPr="00D218BC">
        <w:rPr>
          <w:rFonts w:ascii="Arial" w:eastAsia="宋体" w:hAnsi="Arial" w:cs="Arial"/>
          <w:kern w:val="0"/>
          <w:sz w:val="20"/>
          <w:szCs w:val="20"/>
        </w:rPr>
        <w:t>的辅助治疗。</w:t>
      </w:r>
      <w:r w:rsidRPr="00D218BC">
        <w:rPr>
          <w:rFonts w:ascii="Arial" w:eastAsia="宋体" w:hAnsi="Arial" w:cs="Arial"/>
          <w:kern w:val="0"/>
          <w:sz w:val="20"/>
          <w:szCs w:val="20"/>
        </w:rPr>
        <w:t>(FDA</w:t>
      </w:r>
      <w:r w:rsidRPr="00D218BC">
        <w:rPr>
          <w:rFonts w:ascii="Arial" w:eastAsia="宋体" w:hAnsi="Arial" w:cs="Arial"/>
          <w:kern w:val="0"/>
          <w:sz w:val="20"/>
          <w:szCs w:val="20"/>
        </w:rPr>
        <w:t>批准适应症</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lastRenderedPageBreak/>
        <w:t>3.</w:t>
      </w:r>
      <w:r w:rsidRPr="00D218BC">
        <w:rPr>
          <w:rFonts w:ascii="Arial" w:eastAsia="宋体" w:hAnsi="Arial" w:cs="Arial"/>
          <w:kern w:val="0"/>
          <w:sz w:val="20"/>
          <w:szCs w:val="20"/>
        </w:rPr>
        <w:t>用于治疗</w:t>
      </w:r>
      <w:r w:rsidRPr="00D218BC">
        <w:rPr>
          <w:rFonts w:ascii="Arial" w:eastAsia="宋体" w:hAnsi="Arial" w:cs="Arial"/>
          <w:kern w:val="0"/>
          <w:sz w:val="20"/>
          <w:szCs w:val="20"/>
        </w:rPr>
        <w:t>6-17</w:t>
      </w:r>
      <w:r w:rsidRPr="00D218BC">
        <w:rPr>
          <w:rFonts w:ascii="Arial" w:eastAsia="宋体" w:hAnsi="Arial" w:cs="Arial"/>
          <w:kern w:val="0"/>
          <w:sz w:val="20"/>
          <w:szCs w:val="20"/>
        </w:rPr>
        <w:t>岁儿童自闭</w:t>
      </w:r>
      <w:proofErr w:type="gramStart"/>
      <w:r w:rsidRPr="00D218BC">
        <w:rPr>
          <w:rFonts w:ascii="Arial" w:eastAsia="宋体" w:hAnsi="Arial" w:cs="Arial"/>
          <w:kern w:val="0"/>
          <w:sz w:val="20"/>
          <w:szCs w:val="20"/>
        </w:rPr>
        <w:t>症相关</w:t>
      </w:r>
      <w:proofErr w:type="gramEnd"/>
      <w:r w:rsidRPr="00D218BC">
        <w:rPr>
          <w:rFonts w:ascii="Arial" w:eastAsia="宋体" w:hAnsi="Arial" w:cs="Arial"/>
          <w:kern w:val="0"/>
          <w:sz w:val="20"/>
          <w:szCs w:val="20"/>
        </w:rPr>
        <w:t>的易怒。</w:t>
      </w:r>
      <w:r w:rsidRPr="00D218BC">
        <w:rPr>
          <w:rFonts w:ascii="Arial" w:eastAsia="宋体" w:hAnsi="Arial" w:cs="Arial"/>
          <w:kern w:val="0"/>
          <w:sz w:val="20"/>
          <w:szCs w:val="20"/>
        </w:rPr>
        <w:t>(FDA</w:t>
      </w:r>
      <w:r w:rsidRPr="00D218BC">
        <w:rPr>
          <w:rFonts w:ascii="Arial" w:eastAsia="宋体" w:hAnsi="Arial" w:cs="Arial"/>
          <w:kern w:val="0"/>
          <w:sz w:val="20"/>
          <w:szCs w:val="20"/>
        </w:rPr>
        <w:t>批准适应症</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【用法与用量】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成人</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常规剂量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w:t>
      </w:r>
      <w:r w:rsidRPr="00D218BC">
        <w:rPr>
          <w:rFonts w:ascii="Arial" w:eastAsia="宋体" w:hAnsi="Arial" w:cs="Arial"/>
          <w:kern w:val="0"/>
          <w:sz w:val="20"/>
          <w:szCs w:val="20"/>
        </w:rPr>
        <w:t>精神分裂症</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口服给药</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起始剂量为一次</w:t>
      </w:r>
      <w:r w:rsidRPr="00D218BC">
        <w:rPr>
          <w:rFonts w:ascii="Arial" w:eastAsia="宋体" w:hAnsi="Arial" w:cs="Arial"/>
          <w:kern w:val="0"/>
          <w:sz w:val="20"/>
          <w:szCs w:val="20"/>
        </w:rPr>
        <w:t>10mg</w:t>
      </w:r>
      <w:r w:rsidRPr="00D218BC">
        <w:rPr>
          <w:rFonts w:ascii="Arial" w:eastAsia="宋体" w:hAnsi="Arial" w:cs="Arial"/>
          <w:kern w:val="0"/>
          <w:sz w:val="20"/>
          <w:szCs w:val="20"/>
        </w:rPr>
        <w:t>，一日</w:t>
      </w:r>
      <w:r w:rsidRPr="00D218BC">
        <w:rPr>
          <w:rFonts w:ascii="Arial" w:eastAsia="宋体" w:hAnsi="Arial" w:cs="Arial"/>
          <w:kern w:val="0"/>
          <w:sz w:val="20"/>
          <w:szCs w:val="20"/>
        </w:rPr>
        <w:t>1</w:t>
      </w:r>
      <w:r w:rsidRPr="00D218BC">
        <w:rPr>
          <w:rFonts w:ascii="Arial" w:eastAsia="宋体" w:hAnsi="Arial" w:cs="Arial"/>
          <w:kern w:val="0"/>
          <w:sz w:val="20"/>
          <w:szCs w:val="20"/>
        </w:rPr>
        <w:t>次。用药</w:t>
      </w:r>
      <w:r w:rsidRPr="00D218BC">
        <w:rPr>
          <w:rFonts w:ascii="Arial" w:eastAsia="宋体" w:hAnsi="Arial" w:cs="Arial"/>
          <w:kern w:val="0"/>
          <w:sz w:val="20"/>
          <w:szCs w:val="20"/>
        </w:rPr>
        <w:t>2</w:t>
      </w:r>
      <w:r w:rsidRPr="00D218BC">
        <w:rPr>
          <w:rFonts w:ascii="Arial" w:eastAsia="宋体" w:hAnsi="Arial" w:cs="Arial"/>
          <w:kern w:val="0"/>
          <w:sz w:val="20"/>
          <w:szCs w:val="20"/>
        </w:rPr>
        <w:t>周后，可根据疗效和患者的耐受情况逐渐增加剂量，最大可增至</w:t>
      </w:r>
      <w:r w:rsidRPr="00D218BC">
        <w:rPr>
          <w:rFonts w:ascii="Arial" w:eastAsia="宋体" w:hAnsi="Arial" w:cs="Arial"/>
          <w:kern w:val="0"/>
          <w:sz w:val="20"/>
          <w:szCs w:val="20"/>
        </w:rPr>
        <w:t>30mg</w:t>
      </w:r>
      <w:r w:rsidRPr="00D218BC">
        <w:rPr>
          <w:rFonts w:ascii="Arial" w:eastAsia="宋体" w:hAnsi="Arial" w:cs="Arial"/>
          <w:kern w:val="0"/>
          <w:sz w:val="20"/>
          <w:szCs w:val="20"/>
        </w:rPr>
        <w:t>，此后可维持该剂量。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肾功能不全时剂量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肾功能不全者不需调整剂量。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肝功能不全时剂量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肝功能不全者不需调整剂量。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老年人剂量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老年患者不需调整剂量。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【国外用法用量参考】</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成人</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常规剂量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w:t>
      </w:r>
      <w:r w:rsidRPr="00D218BC">
        <w:rPr>
          <w:rFonts w:ascii="Arial" w:eastAsia="宋体" w:hAnsi="Arial" w:cs="Arial"/>
          <w:kern w:val="0"/>
          <w:sz w:val="20"/>
          <w:szCs w:val="20"/>
        </w:rPr>
        <w:t>精神分裂症</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口服给药</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起始剂量一次</w:t>
      </w:r>
      <w:r w:rsidRPr="00D218BC">
        <w:rPr>
          <w:rFonts w:ascii="Arial" w:eastAsia="宋体" w:hAnsi="Arial" w:cs="Arial"/>
          <w:kern w:val="0"/>
          <w:sz w:val="20"/>
          <w:szCs w:val="20"/>
        </w:rPr>
        <w:t>10-15mg</w:t>
      </w:r>
      <w:r w:rsidRPr="00D218BC">
        <w:rPr>
          <w:rFonts w:ascii="Arial" w:eastAsia="宋体" w:hAnsi="Arial" w:cs="Arial"/>
          <w:kern w:val="0"/>
          <w:sz w:val="20"/>
          <w:szCs w:val="20"/>
        </w:rPr>
        <w:t>，一日</w:t>
      </w:r>
      <w:r w:rsidRPr="00D218BC">
        <w:rPr>
          <w:rFonts w:ascii="Arial" w:eastAsia="宋体" w:hAnsi="Arial" w:cs="Arial"/>
          <w:kern w:val="0"/>
          <w:sz w:val="20"/>
          <w:szCs w:val="20"/>
        </w:rPr>
        <w:t>1</w:t>
      </w:r>
      <w:r w:rsidRPr="00D218BC">
        <w:rPr>
          <w:rFonts w:ascii="Arial" w:eastAsia="宋体" w:hAnsi="Arial" w:cs="Arial"/>
          <w:kern w:val="0"/>
          <w:sz w:val="20"/>
          <w:szCs w:val="20"/>
        </w:rPr>
        <w:t>次；</w:t>
      </w:r>
      <w:r w:rsidRPr="00D218BC">
        <w:rPr>
          <w:rFonts w:ascii="Arial" w:eastAsia="宋体" w:hAnsi="Arial" w:cs="Arial"/>
          <w:kern w:val="0"/>
          <w:sz w:val="20"/>
          <w:szCs w:val="20"/>
        </w:rPr>
        <w:t>2</w:t>
      </w:r>
      <w:r w:rsidRPr="00D218BC">
        <w:rPr>
          <w:rFonts w:ascii="Arial" w:eastAsia="宋体" w:hAnsi="Arial" w:cs="Arial"/>
          <w:kern w:val="0"/>
          <w:sz w:val="20"/>
          <w:szCs w:val="20"/>
        </w:rPr>
        <w:t>周后可逐渐增加剂量，一日最大剂量</w:t>
      </w:r>
      <w:r w:rsidRPr="00D218BC">
        <w:rPr>
          <w:rFonts w:ascii="Arial" w:eastAsia="宋体" w:hAnsi="Arial" w:cs="Arial"/>
          <w:kern w:val="0"/>
          <w:sz w:val="20"/>
          <w:szCs w:val="20"/>
        </w:rPr>
        <w:t>30mg</w:t>
      </w:r>
      <w:r w:rsidRPr="00D218BC">
        <w:rPr>
          <w:rFonts w:ascii="Arial" w:eastAsia="宋体" w:hAnsi="Arial" w:cs="Arial"/>
          <w:kern w:val="0"/>
          <w:sz w:val="20"/>
          <w:szCs w:val="20"/>
        </w:rPr>
        <w:t>。日剂量高于</w:t>
      </w:r>
      <w:r w:rsidRPr="00D218BC">
        <w:rPr>
          <w:rFonts w:ascii="Arial" w:eastAsia="宋体" w:hAnsi="Arial" w:cs="Arial"/>
          <w:kern w:val="0"/>
          <w:sz w:val="20"/>
          <w:szCs w:val="20"/>
        </w:rPr>
        <w:t>10mg</w:t>
      </w:r>
      <w:r w:rsidRPr="00D218BC">
        <w:rPr>
          <w:rFonts w:ascii="Arial" w:eastAsia="宋体" w:hAnsi="Arial" w:cs="Arial"/>
          <w:kern w:val="0"/>
          <w:sz w:val="20"/>
          <w:szCs w:val="20"/>
        </w:rPr>
        <w:t>或</w:t>
      </w:r>
      <w:r w:rsidRPr="00D218BC">
        <w:rPr>
          <w:rFonts w:ascii="Arial" w:eastAsia="宋体" w:hAnsi="Arial" w:cs="Arial"/>
          <w:kern w:val="0"/>
          <w:sz w:val="20"/>
          <w:szCs w:val="20"/>
        </w:rPr>
        <w:t>15mg</w:t>
      </w:r>
      <w:r w:rsidRPr="00D218BC">
        <w:rPr>
          <w:rFonts w:ascii="Arial" w:eastAsia="宋体" w:hAnsi="Arial" w:cs="Arial"/>
          <w:kern w:val="0"/>
          <w:sz w:val="20"/>
          <w:szCs w:val="20"/>
        </w:rPr>
        <w:t>时并不会显著提高疗效。</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肌内注射</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起始剂量</w:t>
      </w:r>
      <w:r w:rsidRPr="00D218BC">
        <w:rPr>
          <w:rFonts w:ascii="Arial" w:eastAsia="宋体" w:hAnsi="Arial" w:cs="Arial"/>
          <w:kern w:val="0"/>
          <w:sz w:val="20"/>
          <w:szCs w:val="20"/>
        </w:rPr>
        <w:t>9.75mg(</w:t>
      </w:r>
      <w:r w:rsidRPr="00D218BC">
        <w:rPr>
          <w:rFonts w:ascii="Arial" w:eastAsia="宋体" w:hAnsi="Arial" w:cs="Arial"/>
          <w:kern w:val="0"/>
          <w:sz w:val="20"/>
          <w:szCs w:val="20"/>
        </w:rPr>
        <w:t>剂量范围</w:t>
      </w:r>
      <w:r w:rsidRPr="00D218BC">
        <w:rPr>
          <w:rFonts w:ascii="Arial" w:eastAsia="宋体" w:hAnsi="Arial" w:cs="Arial"/>
          <w:kern w:val="0"/>
          <w:sz w:val="20"/>
          <w:szCs w:val="20"/>
        </w:rPr>
        <w:t>5.25-15mg)</w:t>
      </w:r>
      <w:r w:rsidRPr="00D218BC">
        <w:rPr>
          <w:rFonts w:ascii="Arial" w:eastAsia="宋体" w:hAnsi="Arial" w:cs="Arial"/>
          <w:kern w:val="0"/>
          <w:sz w:val="20"/>
          <w:szCs w:val="20"/>
        </w:rPr>
        <w:t>；若需再次给药，与首剂的给药时间间隔至少</w:t>
      </w:r>
      <w:r w:rsidRPr="00D218BC">
        <w:rPr>
          <w:rFonts w:ascii="Arial" w:eastAsia="宋体" w:hAnsi="Arial" w:cs="Arial"/>
          <w:kern w:val="0"/>
          <w:sz w:val="20"/>
          <w:szCs w:val="20"/>
        </w:rPr>
        <w:t>2</w:t>
      </w:r>
      <w:r w:rsidRPr="00D218BC">
        <w:rPr>
          <w:rFonts w:ascii="Arial" w:eastAsia="宋体" w:hAnsi="Arial" w:cs="Arial"/>
          <w:kern w:val="0"/>
          <w:sz w:val="20"/>
          <w:szCs w:val="20"/>
        </w:rPr>
        <w:t>小时；一日最大剂量</w:t>
      </w:r>
      <w:r w:rsidRPr="00D218BC">
        <w:rPr>
          <w:rFonts w:ascii="Arial" w:eastAsia="宋体" w:hAnsi="Arial" w:cs="Arial"/>
          <w:kern w:val="0"/>
          <w:sz w:val="20"/>
          <w:szCs w:val="20"/>
        </w:rPr>
        <w:t>30mg</w:t>
      </w:r>
      <w:r w:rsidRPr="00D218BC">
        <w:rPr>
          <w:rFonts w:ascii="Arial" w:eastAsia="宋体" w:hAnsi="Arial" w:cs="Arial"/>
          <w:kern w:val="0"/>
          <w:sz w:val="20"/>
          <w:szCs w:val="20"/>
        </w:rPr>
        <w:t>。若需持续使用本药，应尽快改为口服给药。</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w:t>
      </w:r>
      <w:r w:rsidRPr="00D218BC">
        <w:rPr>
          <w:rFonts w:ascii="微软雅黑" w:eastAsia="微软雅黑" w:hAnsi="微软雅黑" w:cs="微软雅黑" w:hint="eastAsia"/>
          <w:kern w:val="0"/>
          <w:sz w:val="20"/>
          <w:szCs w:val="20"/>
        </w:rPr>
        <w:t>Ⅰ</w:t>
      </w:r>
      <w:r w:rsidRPr="00D218BC">
        <w:rPr>
          <w:rFonts w:ascii="Arial" w:eastAsia="宋体" w:hAnsi="Arial" w:cs="Arial"/>
          <w:kern w:val="0"/>
          <w:sz w:val="20"/>
          <w:szCs w:val="20"/>
        </w:rPr>
        <w:t>型双相情感障碍</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lastRenderedPageBreak/>
        <w:t>1.</w:t>
      </w:r>
      <w:r w:rsidRPr="00D218BC">
        <w:rPr>
          <w:rFonts w:ascii="Arial" w:eastAsia="宋体" w:hAnsi="Arial" w:cs="Arial"/>
          <w:kern w:val="0"/>
          <w:sz w:val="20"/>
          <w:szCs w:val="20"/>
        </w:rPr>
        <w:t>口服给药</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起始剂量一次</w:t>
      </w:r>
      <w:r w:rsidRPr="00D218BC">
        <w:rPr>
          <w:rFonts w:ascii="Arial" w:eastAsia="宋体" w:hAnsi="Arial" w:cs="Arial"/>
          <w:kern w:val="0"/>
          <w:sz w:val="20"/>
          <w:szCs w:val="20"/>
        </w:rPr>
        <w:t>15mg(</w:t>
      </w:r>
      <w:r w:rsidRPr="00D218BC">
        <w:rPr>
          <w:rFonts w:ascii="Arial" w:eastAsia="宋体" w:hAnsi="Arial" w:cs="Arial"/>
          <w:kern w:val="0"/>
          <w:sz w:val="20"/>
          <w:szCs w:val="20"/>
        </w:rPr>
        <w:t>作为锂剂或</w:t>
      </w:r>
      <w:proofErr w:type="gramStart"/>
      <w:r w:rsidRPr="00D218BC">
        <w:rPr>
          <w:rFonts w:ascii="Arial" w:eastAsia="宋体" w:hAnsi="Arial" w:cs="Arial"/>
          <w:kern w:val="0"/>
          <w:sz w:val="20"/>
          <w:szCs w:val="20"/>
        </w:rPr>
        <w:t>丙戊</w:t>
      </w:r>
      <w:proofErr w:type="gramEnd"/>
      <w:r w:rsidRPr="00D218BC">
        <w:rPr>
          <w:rFonts w:ascii="Arial" w:eastAsia="宋体" w:hAnsi="Arial" w:cs="Arial"/>
          <w:kern w:val="0"/>
          <w:sz w:val="20"/>
          <w:szCs w:val="20"/>
        </w:rPr>
        <w:t>酸的辅助用药时的起始剂量为一次</w:t>
      </w:r>
      <w:r w:rsidRPr="00D218BC">
        <w:rPr>
          <w:rFonts w:ascii="Arial" w:eastAsia="宋体" w:hAnsi="Arial" w:cs="Arial"/>
          <w:kern w:val="0"/>
          <w:sz w:val="20"/>
          <w:szCs w:val="20"/>
        </w:rPr>
        <w:t>10-15mg)</w:t>
      </w:r>
      <w:r w:rsidRPr="00D218BC">
        <w:rPr>
          <w:rFonts w:ascii="Arial" w:eastAsia="宋体" w:hAnsi="Arial" w:cs="Arial"/>
          <w:kern w:val="0"/>
          <w:sz w:val="20"/>
          <w:szCs w:val="20"/>
        </w:rPr>
        <w:t>，一日</w:t>
      </w:r>
      <w:r w:rsidRPr="00D218BC">
        <w:rPr>
          <w:rFonts w:ascii="Arial" w:eastAsia="宋体" w:hAnsi="Arial" w:cs="Arial"/>
          <w:kern w:val="0"/>
          <w:sz w:val="20"/>
          <w:szCs w:val="20"/>
        </w:rPr>
        <w:t>1</w:t>
      </w:r>
      <w:r w:rsidRPr="00D218BC">
        <w:rPr>
          <w:rFonts w:ascii="Arial" w:eastAsia="宋体" w:hAnsi="Arial" w:cs="Arial"/>
          <w:kern w:val="0"/>
          <w:sz w:val="20"/>
          <w:szCs w:val="20"/>
        </w:rPr>
        <w:t>次；目标剂量一次</w:t>
      </w:r>
      <w:r w:rsidRPr="00D218BC">
        <w:rPr>
          <w:rFonts w:ascii="Arial" w:eastAsia="宋体" w:hAnsi="Arial" w:cs="Arial"/>
          <w:kern w:val="0"/>
          <w:sz w:val="20"/>
          <w:szCs w:val="20"/>
        </w:rPr>
        <w:t>15mg</w:t>
      </w:r>
      <w:r w:rsidRPr="00D218BC">
        <w:rPr>
          <w:rFonts w:ascii="Arial" w:eastAsia="宋体" w:hAnsi="Arial" w:cs="Arial"/>
          <w:kern w:val="0"/>
          <w:sz w:val="20"/>
          <w:szCs w:val="20"/>
        </w:rPr>
        <w:t>，一日</w:t>
      </w:r>
      <w:r w:rsidRPr="00D218BC">
        <w:rPr>
          <w:rFonts w:ascii="Arial" w:eastAsia="宋体" w:hAnsi="Arial" w:cs="Arial"/>
          <w:kern w:val="0"/>
          <w:sz w:val="20"/>
          <w:szCs w:val="20"/>
        </w:rPr>
        <w:t>1</w:t>
      </w:r>
      <w:r w:rsidRPr="00D218BC">
        <w:rPr>
          <w:rFonts w:ascii="Arial" w:eastAsia="宋体" w:hAnsi="Arial" w:cs="Arial"/>
          <w:kern w:val="0"/>
          <w:sz w:val="20"/>
          <w:szCs w:val="20"/>
        </w:rPr>
        <w:t>次。一日最大剂量</w:t>
      </w:r>
      <w:r w:rsidRPr="00D218BC">
        <w:rPr>
          <w:rFonts w:ascii="Arial" w:eastAsia="宋体" w:hAnsi="Arial" w:cs="Arial"/>
          <w:kern w:val="0"/>
          <w:sz w:val="20"/>
          <w:szCs w:val="20"/>
        </w:rPr>
        <w:t>30mg</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肌内注射</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起始剂量</w:t>
      </w:r>
      <w:r w:rsidRPr="00D218BC">
        <w:rPr>
          <w:rFonts w:ascii="Arial" w:eastAsia="宋体" w:hAnsi="Arial" w:cs="Arial"/>
          <w:kern w:val="0"/>
          <w:sz w:val="20"/>
          <w:szCs w:val="20"/>
        </w:rPr>
        <w:t>9.75mg(</w:t>
      </w:r>
      <w:r w:rsidRPr="00D218BC">
        <w:rPr>
          <w:rFonts w:ascii="Arial" w:eastAsia="宋体" w:hAnsi="Arial" w:cs="Arial"/>
          <w:kern w:val="0"/>
          <w:sz w:val="20"/>
          <w:szCs w:val="20"/>
        </w:rPr>
        <w:t>剂量范围</w:t>
      </w:r>
      <w:r w:rsidRPr="00D218BC">
        <w:rPr>
          <w:rFonts w:ascii="Arial" w:eastAsia="宋体" w:hAnsi="Arial" w:cs="Arial"/>
          <w:kern w:val="0"/>
          <w:sz w:val="20"/>
          <w:szCs w:val="20"/>
        </w:rPr>
        <w:t>5.25-15mg)</w:t>
      </w:r>
      <w:r w:rsidRPr="00D218BC">
        <w:rPr>
          <w:rFonts w:ascii="Arial" w:eastAsia="宋体" w:hAnsi="Arial" w:cs="Arial"/>
          <w:kern w:val="0"/>
          <w:sz w:val="20"/>
          <w:szCs w:val="20"/>
        </w:rPr>
        <w:t>；若需再次给药，与首剂的给药时间间隔至少</w:t>
      </w:r>
      <w:r w:rsidRPr="00D218BC">
        <w:rPr>
          <w:rFonts w:ascii="Arial" w:eastAsia="宋体" w:hAnsi="Arial" w:cs="Arial"/>
          <w:kern w:val="0"/>
          <w:sz w:val="20"/>
          <w:szCs w:val="20"/>
        </w:rPr>
        <w:t>2</w:t>
      </w:r>
      <w:r w:rsidRPr="00D218BC">
        <w:rPr>
          <w:rFonts w:ascii="Arial" w:eastAsia="宋体" w:hAnsi="Arial" w:cs="Arial"/>
          <w:kern w:val="0"/>
          <w:sz w:val="20"/>
          <w:szCs w:val="20"/>
        </w:rPr>
        <w:t>小时；一日最大剂量</w:t>
      </w:r>
      <w:r w:rsidRPr="00D218BC">
        <w:rPr>
          <w:rFonts w:ascii="Arial" w:eastAsia="宋体" w:hAnsi="Arial" w:cs="Arial"/>
          <w:kern w:val="0"/>
          <w:sz w:val="20"/>
          <w:szCs w:val="20"/>
        </w:rPr>
        <w:t>30mg</w:t>
      </w:r>
      <w:r w:rsidRPr="00D218BC">
        <w:rPr>
          <w:rFonts w:ascii="Arial" w:eastAsia="宋体" w:hAnsi="Arial" w:cs="Arial"/>
          <w:kern w:val="0"/>
          <w:sz w:val="20"/>
          <w:szCs w:val="20"/>
        </w:rPr>
        <w:t>。若需持续使用本药，应尽快改为口服给药。</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w:t>
      </w:r>
      <w:r w:rsidRPr="00D218BC">
        <w:rPr>
          <w:rFonts w:ascii="Arial" w:eastAsia="宋体" w:hAnsi="Arial" w:cs="Arial"/>
          <w:kern w:val="0"/>
          <w:sz w:val="20"/>
          <w:szCs w:val="20"/>
        </w:rPr>
        <w:t>严重抑郁症的辅助治疗</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口服给药</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起始剂量一次</w:t>
      </w:r>
      <w:r w:rsidRPr="00D218BC">
        <w:rPr>
          <w:rFonts w:ascii="Arial" w:eastAsia="宋体" w:hAnsi="Arial" w:cs="Arial"/>
          <w:kern w:val="0"/>
          <w:sz w:val="20"/>
          <w:szCs w:val="20"/>
        </w:rPr>
        <w:t>2-5mg</w:t>
      </w:r>
      <w:r w:rsidRPr="00D218BC">
        <w:rPr>
          <w:rFonts w:ascii="Arial" w:eastAsia="宋体" w:hAnsi="Arial" w:cs="Arial"/>
          <w:kern w:val="0"/>
          <w:sz w:val="20"/>
          <w:szCs w:val="20"/>
        </w:rPr>
        <w:t>，一日</w:t>
      </w:r>
      <w:r w:rsidRPr="00D218BC">
        <w:rPr>
          <w:rFonts w:ascii="Arial" w:eastAsia="宋体" w:hAnsi="Arial" w:cs="Arial"/>
          <w:kern w:val="0"/>
          <w:sz w:val="20"/>
          <w:szCs w:val="20"/>
        </w:rPr>
        <w:t>1</w:t>
      </w:r>
      <w:r w:rsidRPr="00D218BC">
        <w:rPr>
          <w:rFonts w:ascii="Arial" w:eastAsia="宋体" w:hAnsi="Arial" w:cs="Arial"/>
          <w:kern w:val="0"/>
          <w:sz w:val="20"/>
          <w:szCs w:val="20"/>
        </w:rPr>
        <w:t>次；</w:t>
      </w:r>
      <w:r w:rsidRPr="00D218BC">
        <w:rPr>
          <w:rFonts w:ascii="Arial" w:eastAsia="宋体" w:hAnsi="Arial" w:cs="Arial"/>
          <w:kern w:val="0"/>
          <w:sz w:val="20"/>
          <w:szCs w:val="20"/>
        </w:rPr>
        <w:t>1</w:t>
      </w:r>
      <w:r w:rsidRPr="00D218BC">
        <w:rPr>
          <w:rFonts w:ascii="Arial" w:eastAsia="宋体" w:hAnsi="Arial" w:cs="Arial"/>
          <w:kern w:val="0"/>
          <w:sz w:val="20"/>
          <w:szCs w:val="20"/>
        </w:rPr>
        <w:t>周后可逐渐增加剂量，每次增加的日剂量不得超过</w:t>
      </w:r>
      <w:r w:rsidRPr="00D218BC">
        <w:rPr>
          <w:rFonts w:ascii="Arial" w:eastAsia="宋体" w:hAnsi="Arial" w:cs="Arial"/>
          <w:kern w:val="0"/>
          <w:sz w:val="20"/>
          <w:szCs w:val="20"/>
        </w:rPr>
        <w:t>5mg</w:t>
      </w:r>
      <w:r w:rsidRPr="00D218BC">
        <w:rPr>
          <w:rFonts w:ascii="Arial" w:eastAsia="宋体" w:hAnsi="Arial" w:cs="Arial"/>
          <w:kern w:val="0"/>
          <w:sz w:val="20"/>
          <w:szCs w:val="20"/>
        </w:rPr>
        <w:t>。维持剂量为一日</w:t>
      </w:r>
      <w:r w:rsidRPr="00D218BC">
        <w:rPr>
          <w:rFonts w:ascii="Arial" w:eastAsia="宋体" w:hAnsi="Arial" w:cs="Arial"/>
          <w:kern w:val="0"/>
          <w:sz w:val="20"/>
          <w:szCs w:val="20"/>
        </w:rPr>
        <w:t>2-10mg</w:t>
      </w:r>
      <w:r w:rsidRPr="00D218BC">
        <w:rPr>
          <w:rFonts w:ascii="Arial" w:eastAsia="宋体" w:hAnsi="Arial" w:cs="Arial"/>
          <w:kern w:val="0"/>
          <w:sz w:val="20"/>
          <w:szCs w:val="20"/>
        </w:rPr>
        <w:t>，一日最大剂量</w:t>
      </w:r>
      <w:r w:rsidRPr="00D218BC">
        <w:rPr>
          <w:rFonts w:ascii="Arial" w:eastAsia="宋体" w:hAnsi="Arial" w:cs="Arial"/>
          <w:kern w:val="0"/>
          <w:sz w:val="20"/>
          <w:szCs w:val="20"/>
        </w:rPr>
        <w:t>15mg</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儿童</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常规剂量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w:t>
      </w:r>
      <w:r w:rsidRPr="00D218BC">
        <w:rPr>
          <w:rFonts w:ascii="Arial" w:eastAsia="宋体" w:hAnsi="Arial" w:cs="Arial"/>
          <w:kern w:val="0"/>
          <w:sz w:val="20"/>
          <w:szCs w:val="20"/>
        </w:rPr>
        <w:t>精神分裂症</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口服给药</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起始剂量一次</w:t>
      </w:r>
      <w:r w:rsidRPr="00D218BC">
        <w:rPr>
          <w:rFonts w:ascii="Arial" w:eastAsia="宋体" w:hAnsi="Arial" w:cs="Arial"/>
          <w:kern w:val="0"/>
          <w:sz w:val="20"/>
          <w:szCs w:val="20"/>
        </w:rPr>
        <w:t>2mg</w:t>
      </w:r>
      <w:r w:rsidRPr="00D218BC">
        <w:rPr>
          <w:rFonts w:ascii="Arial" w:eastAsia="宋体" w:hAnsi="Arial" w:cs="Arial"/>
          <w:kern w:val="0"/>
          <w:sz w:val="20"/>
          <w:szCs w:val="20"/>
        </w:rPr>
        <w:t>，一日</w:t>
      </w:r>
      <w:r w:rsidRPr="00D218BC">
        <w:rPr>
          <w:rFonts w:ascii="Arial" w:eastAsia="宋体" w:hAnsi="Arial" w:cs="Arial"/>
          <w:kern w:val="0"/>
          <w:sz w:val="20"/>
          <w:szCs w:val="20"/>
        </w:rPr>
        <w:t>1</w:t>
      </w:r>
      <w:r w:rsidRPr="00D218BC">
        <w:rPr>
          <w:rFonts w:ascii="Arial" w:eastAsia="宋体" w:hAnsi="Arial" w:cs="Arial"/>
          <w:kern w:val="0"/>
          <w:sz w:val="20"/>
          <w:szCs w:val="20"/>
        </w:rPr>
        <w:t>次；</w:t>
      </w:r>
      <w:r w:rsidRPr="00D218BC">
        <w:rPr>
          <w:rFonts w:ascii="Arial" w:eastAsia="宋体" w:hAnsi="Arial" w:cs="Arial"/>
          <w:kern w:val="0"/>
          <w:sz w:val="20"/>
          <w:szCs w:val="20"/>
        </w:rPr>
        <w:t>2</w:t>
      </w:r>
      <w:r w:rsidRPr="00D218BC">
        <w:rPr>
          <w:rFonts w:ascii="Arial" w:eastAsia="宋体" w:hAnsi="Arial" w:cs="Arial"/>
          <w:kern w:val="0"/>
          <w:sz w:val="20"/>
          <w:szCs w:val="20"/>
        </w:rPr>
        <w:t>日后增加至一日</w:t>
      </w:r>
      <w:r w:rsidRPr="00D218BC">
        <w:rPr>
          <w:rFonts w:ascii="Arial" w:eastAsia="宋体" w:hAnsi="Arial" w:cs="Arial"/>
          <w:kern w:val="0"/>
          <w:sz w:val="20"/>
          <w:szCs w:val="20"/>
        </w:rPr>
        <w:t>5mg</w:t>
      </w:r>
      <w:r w:rsidRPr="00D218BC">
        <w:rPr>
          <w:rFonts w:ascii="Arial" w:eastAsia="宋体" w:hAnsi="Arial" w:cs="Arial"/>
          <w:kern w:val="0"/>
          <w:sz w:val="20"/>
          <w:szCs w:val="20"/>
        </w:rPr>
        <w:t>，再隔</w:t>
      </w:r>
      <w:r w:rsidRPr="00D218BC">
        <w:rPr>
          <w:rFonts w:ascii="Arial" w:eastAsia="宋体" w:hAnsi="Arial" w:cs="Arial"/>
          <w:kern w:val="0"/>
          <w:sz w:val="20"/>
          <w:szCs w:val="20"/>
        </w:rPr>
        <w:t>2</w:t>
      </w:r>
      <w:r w:rsidRPr="00D218BC">
        <w:rPr>
          <w:rFonts w:ascii="Arial" w:eastAsia="宋体" w:hAnsi="Arial" w:cs="Arial"/>
          <w:kern w:val="0"/>
          <w:sz w:val="20"/>
          <w:szCs w:val="20"/>
        </w:rPr>
        <w:t>日后增加至一日</w:t>
      </w:r>
      <w:r w:rsidRPr="00D218BC">
        <w:rPr>
          <w:rFonts w:ascii="Arial" w:eastAsia="宋体" w:hAnsi="Arial" w:cs="Arial"/>
          <w:kern w:val="0"/>
          <w:sz w:val="20"/>
          <w:szCs w:val="20"/>
        </w:rPr>
        <w:t>10mg(</w:t>
      </w:r>
      <w:r w:rsidRPr="00D218BC">
        <w:rPr>
          <w:rFonts w:ascii="Arial" w:eastAsia="宋体" w:hAnsi="Arial" w:cs="Arial"/>
          <w:kern w:val="0"/>
          <w:sz w:val="20"/>
          <w:szCs w:val="20"/>
        </w:rPr>
        <w:t>目标剂量</w:t>
      </w:r>
      <w:r w:rsidRPr="00D218BC">
        <w:rPr>
          <w:rFonts w:ascii="Arial" w:eastAsia="宋体" w:hAnsi="Arial" w:cs="Arial"/>
          <w:kern w:val="0"/>
          <w:sz w:val="20"/>
          <w:szCs w:val="20"/>
        </w:rPr>
        <w:t>)</w:t>
      </w:r>
      <w:r w:rsidRPr="00D218BC">
        <w:rPr>
          <w:rFonts w:ascii="Arial" w:eastAsia="宋体" w:hAnsi="Arial" w:cs="Arial"/>
          <w:kern w:val="0"/>
          <w:sz w:val="20"/>
          <w:szCs w:val="20"/>
        </w:rPr>
        <w:t>；一日最大剂量</w:t>
      </w:r>
      <w:r w:rsidRPr="00D218BC">
        <w:rPr>
          <w:rFonts w:ascii="Arial" w:eastAsia="宋体" w:hAnsi="Arial" w:cs="Arial"/>
          <w:kern w:val="0"/>
          <w:sz w:val="20"/>
          <w:szCs w:val="20"/>
        </w:rPr>
        <w:t>30mg</w:t>
      </w:r>
      <w:r w:rsidRPr="00D218BC">
        <w:rPr>
          <w:rFonts w:ascii="Arial" w:eastAsia="宋体" w:hAnsi="Arial" w:cs="Arial"/>
          <w:kern w:val="0"/>
          <w:sz w:val="20"/>
          <w:szCs w:val="20"/>
        </w:rPr>
        <w:t>。日剂量为</w:t>
      </w:r>
      <w:r w:rsidRPr="00D218BC">
        <w:rPr>
          <w:rFonts w:ascii="Arial" w:eastAsia="宋体" w:hAnsi="Arial" w:cs="Arial"/>
          <w:kern w:val="0"/>
          <w:sz w:val="20"/>
          <w:szCs w:val="20"/>
        </w:rPr>
        <w:t>30mg</w:t>
      </w:r>
      <w:r w:rsidRPr="00D218BC">
        <w:rPr>
          <w:rFonts w:ascii="Arial" w:eastAsia="宋体" w:hAnsi="Arial" w:cs="Arial"/>
          <w:kern w:val="0"/>
          <w:sz w:val="20"/>
          <w:szCs w:val="20"/>
        </w:rPr>
        <w:t>时的疗效并不优于日剂量为</w:t>
      </w:r>
      <w:r w:rsidRPr="00D218BC">
        <w:rPr>
          <w:rFonts w:ascii="Arial" w:eastAsia="宋体" w:hAnsi="Arial" w:cs="Arial"/>
          <w:kern w:val="0"/>
          <w:sz w:val="20"/>
          <w:szCs w:val="20"/>
        </w:rPr>
        <w:t>10mg</w:t>
      </w:r>
      <w:r w:rsidRPr="00D218BC">
        <w:rPr>
          <w:rFonts w:ascii="Arial" w:eastAsia="宋体" w:hAnsi="Arial" w:cs="Arial"/>
          <w:kern w:val="0"/>
          <w:sz w:val="20"/>
          <w:szCs w:val="20"/>
        </w:rPr>
        <w:t>时的疗效。</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w:t>
      </w:r>
      <w:r w:rsidRPr="00D218BC">
        <w:rPr>
          <w:rFonts w:ascii="微软雅黑" w:eastAsia="微软雅黑" w:hAnsi="微软雅黑" w:cs="微软雅黑" w:hint="eastAsia"/>
          <w:kern w:val="0"/>
          <w:sz w:val="20"/>
          <w:szCs w:val="20"/>
        </w:rPr>
        <w:t>Ⅰ</w:t>
      </w:r>
      <w:r w:rsidRPr="00D218BC">
        <w:rPr>
          <w:rFonts w:ascii="Arial" w:eastAsia="宋体" w:hAnsi="Arial" w:cs="Arial"/>
          <w:kern w:val="0"/>
          <w:sz w:val="20"/>
          <w:szCs w:val="20"/>
        </w:rPr>
        <w:t>型双相情感障碍的急性躁狂发作或混合性发作</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口服给药</w:t>
      </w:r>
      <w:r w:rsidRPr="00D218BC">
        <w:rPr>
          <w:rFonts w:ascii="Arial" w:eastAsia="宋体" w:hAnsi="Arial" w:cs="Arial"/>
          <w:kern w:val="0"/>
          <w:sz w:val="20"/>
          <w:szCs w:val="20"/>
        </w:rPr>
        <w:t xml:space="preserve">  10-17</w:t>
      </w:r>
      <w:r w:rsidRPr="00D218BC">
        <w:rPr>
          <w:rFonts w:ascii="Arial" w:eastAsia="宋体" w:hAnsi="Arial" w:cs="Arial"/>
          <w:kern w:val="0"/>
          <w:sz w:val="20"/>
          <w:szCs w:val="20"/>
        </w:rPr>
        <w:t>岁儿童，起始剂量一次</w:t>
      </w:r>
      <w:r w:rsidRPr="00D218BC">
        <w:rPr>
          <w:rFonts w:ascii="Arial" w:eastAsia="宋体" w:hAnsi="Arial" w:cs="Arial"/>
          <w:kern w:val="0"/>
          <w:sz w:val="20"/>
          <w:szCs w:val="20"/>
        </w:rPr>
        <w:t>2mg</w:t>
      </w:r>
      <w:r w:rsidRPr="00D218BC">
        <w:rPr>
          <w:rFonts w:ascii="Arial" w:eastAsia="宋体" w:hAnsi="Arial" w:cs="Arial"/>
          <w:kern w:val="0"/>
          <w:sz w:val="20"/>
          <w:szCs w:val="20"/>
        </w:rPr>
        <w:t>，一日</w:t>
      </w:r>
      <w:r w:rsidRPr="00D218BC">
        <w:rPr>
          <w:rFonts w:ascii="Arial" w:eastAsia="宋体" w:hAnsi="Arial" w:cs="Arial"/>
          <w:kern w:val="0"/>
          <w:sz w:val="20"/>
          <w:szCs w:val="20"/>
        </w:rPr>
        <w:t>1</w:t>
      </w:r>
      <w:r w:rsidRPr="00D218BC">
        <w:rPr>
          <w:rFonts w:ascii="Arial" w:eastAsia="宋体" w:hAnsi="Arial" w:cs="Arial"/>
          <w:kern w:val="0"/>
          <w:sz w:val="20"/>
          <w:szCs w:val="20"/>
        </w:rPr>
        <w:t>次；</w:t>
      </w:r>
      <w:r w:rsidRPr="00D218BC">
        <w:rPr>
          <w:rFonts w:ascii="Arial" w:eastAsia="宋体" w:hAnsi="Arial" w:cs="Arial"/>
          <w:kern w:val="0"/>
          <w:sz w:val="20"/>
          <w:szCs w:val="20"/>
        </w:rPr>
        <w:t>2</w:t>
      </w:r>
      <w:r w:rsidRPr="00D218BC">
        <w:rPr>
          <w:rFonts w:ascii="Arial" w:eastAsia="宋体" w:hAnsi="Arial" w:cs="Arial"/>
          <w:kern w:val="0"/>
          <w:sz w:val="20"/>
          <w:szCs w:val="20"/>
        </w:rPr>
        <w:t>日后增加至一日</w:t>
      </w:r>
      <w:r w:rsidRPr="00D218BC">
        <w:rPr>
          <w:rFonts w:ascii="Arial" w:eastAsia="宋体" w:hAnsi="Arial" w:cs="Arial"/>
          <w:kern w:val="0"/>
          <w:sz w:val="20"/>
          <w:szCs w:val="20"/>
        </w:rPr>
        <w:t>5mg</w:t>
      </w:r>
      <w:r w:rsidRPr="00D218BC">
        <w:rPr>
          <w:rFonts w:ascii="Arial" w:eastAsia="宋体" w:hAnsi="Arial" w:cs="Arial"/>
          <w:kern w:val="0"/>
          <w:sz w:val="20"/>
          <w:szCs w:val="20"/>
        </w:rPr>
        <w:t>，再隔</w:t>
      </w:r>
      <w:r w:rsidRPr="00D218BC">
        <w:rPr>
          <w:rFonts w:ascii="Arial" w:eastAsia="宋体" w:hAnsi="Arial" w:cs="Arial"/>
          <w:kern w:val="0"/>
          <w:sz w:val="20"/>
          <w:szCs w:val="20"/>
        </w:rPr>
        <w:t>2</w:t>
      </w:r>
      <w:r w:rsidRPr="00D218BC">
        <w:rPr>
          <w:rFonts w:ascii="Arial" w:eastAsia="宋体" w:hAnsi="Arial" w:cs="Arial"/>
          <w:kern w:val="0"/>
          <w:sz w:val="20"/>
          <w:szCs w:val="20"/>
        </w:rPr>
        <w:t>日后增加至一日</w:t>
      </w:r>
      <w:r w:rsidRPr="00D218BC">
        <w:rPr>
          <w:rFonts w:ascii="Arial" w:eastAsia="宋体" w:hAnsi="Arial" w:cs="Arial"/>
          <w:kern w:val="0"/>
          <w:sz w:val="20"/>
          <w:szCs w:val="20"/>
        </w:rPr>
        <w:t>10mg(</w:t>
      </w:r>
      <w:r w:rsidRPr="00D218BC">
        <w:rPr>
          <w:rFonts w:ascii="Arial" w:eastAsia="宋体" w:hAnsi="Arial" w:cs="Arial"/>
          <w:kern w:val="0"/>
          <w:sz w:val="20"/>
          <w:szCs w:val="20"/>
        </w:rPr>
        <w:t>目标剂量</w:t>
      </w:r>
      <w:r w:rsidRPr="00D218BC">
        <w:rPr>
          <w:rFonts w:ascii="Arial" w:eastAsia="宋体" w:hAnsi="Arial" w:cs="Arial"/>
          <w:kern w:val="0"/>
          <w:sz w:val="20"/>
          <w:szCs w:val="20"/>
        </w:rPr>
        <w:t>)</w:t>
      </w:r>
      <w:r w:rsidRPr="00D218BC">
        <w:rPr>
          <w:rFonts w:ascii="Arial" w:eastAsia="宋体" w:hAnsi="Arial" w:cs="Arial"/>
          <w:kern w:val="0"/>
          <w:sz w:val="20"/>
          <w:szCs w:val="20"/>
        </w:rPr>
        <w:t>；随后可按一日</w:t>
      </w:r>
      <w:r w:rsidRPr="00D218BC">
        <w:rPr>
          <w:rFonts w:ascii="Arial" w:eastAsia="宋体" w:hAnsi="Arial" w:cs="Arial"/>
          <w:kern w:val="0"/>
          <w:sz w:val="20"/>
          <w:szCs w:val="20"/>
        </w:rPr>
        <w:t>5mg</w:t>
      </w:r>
      <w:r w:rsidRPr="00D218BC">
        <w:rPr>
          <w:rFonts w:ascii="Arial" w:eastAsia="宋体" w:hAnsi="Arial" w:cs="Arial"/>
          <w:kern w:val="0"/>
          <w:sz w:val="20"/>
          <w:szCs w:val="20"/>
        </w:rPr>
        <w:t>的剂量增加，一日最大剂量</w:t>
      </w:r>
      <w:r w:rsidRPr="00D218BC">
        <w:rPr>
          <w:rFonts w:ascii="Arial" w:eastAsia="宋体" w:hAnsi="Arial" w:cs="Arial"/>
          <w:kern w:val="0"/>
          <w:sz w:val="20"/>
          <w:szCs w:val="20"/>
        </w:rPr>
        <w:t>30mg</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w:t>
      </w:r>
      <w:r w:rsidRPr="00D218BC">
        <w:rPr>
          <w:rFonts w:ascii="Arial" w:eastAsia="宋体" w:hAnsi="Arial" w:cs="Arial"/>
          <w:kern w:val="0"/>
          <w:sz w:val="20"/>
          <w:szCs w:val="20"/>
        </w:rPr>
        <w:t>自闭</w:t>
      </w:r>
      <w:proofErr w:type="gramStart"/>
      <w:r w:rsidRPr="00D218BC">
        <w:rPr>
          <w:rFonts w:ascii="Arial" w:eastAsia="宋体" w:hAnsi="Arial" w:cs="Arial"/>
          <w:kern w:val="0"/>
          <w:sz w:val="20"/>
          <w:szCs w:val="20"/>
        </w:rPr>
        <w:t>症相关</w:t>
      </w:r>
      <w:proofErr w:type="gramEnd"/>
      <w:r w:rsidRPr="00D218BC">
        <w:rPr>
          <w:rFonts w:ascii="Arial" w:eastAsia="宋体" w:hAnsi="Arial" w:cs="Arial"/>
          <w:kern w:val="0"/>
          <w:sz w:val="20"/>
          <w:szCs w:val="20"/>
        </w:rPr>
        <w:t>的易怒</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口服给药</w:t>
      </w:r>
      <w:r w:rsidRPr="00D218BC">
        <w:rPr>
          <w:rFonts w:ascii="Arial" w:eastAsia="宋体" w:hAnsi="Arial" w:cs="Arial"/>
          <w:kern w:val="0"/>
          <w:sz w:val="20"/>
          <w:szCs w:val="20"/>
        </w:rPr>
        <w:t xml:space="preserve">  6-17</w:t>
      </w:r>
      <w:r w:rsidRPr="00D218BC">
        <w:rPr>
          <w:rFonts w:ascii="Arial" w:eastAsia="宋体" w:hAnsi="Arial" w:cs="Arial"/>
          <w:kern w:val="0"/>
          <w:sz w:val="20"/>
          <w:szCs w:val="20"/>
        </w:rPr>
        <w:t>儿童，起始剂量一次</w:t>
      </w:r>
      <w:r w:rsidRPr="00D218BC">
        <w:rPr>
          <w:rFonts w:ascii="Arial" w:eastAsia="宋体" w:hAnsi="Arial" w:cs="Arial"/>
          <w:kern w:val="0"/>
          <w:sz w:val="20"/>
          <w:szCs w:val="20"/>
        </w:rPr>
        <w:t>2mg</w:t>
      </w:r>
      <w:r w:rsidRPr="00D218BC">
        <w:rPr>
          <w:rFonts w:ascii="Arial" w:eastAsia="宋体" w:hAnsi="Arial" w:cs="Arial"/>
          <w:kern w:val="0"/>
          <w:sz w:val="20"/>
          <w:szCs w:val="20"/>
        </w:rPr>
        <w:t>，一日</w:t>
      </w:r>
      <w:r w:rsidRPr="00D218BC">
        <w:rPr>
          <w:rFonts w:ascii="Arial" w:eastAsia="宋体" w:hAnsi="Arial" w:cs="Arial"/>
          <w:kern w:val="0"/>
          <w:sz w:val="20"/>
          <w:szCs w:val="20"/>
        </w:rPr>
        <w:t>1</w:t>
      </w:r>
      <w:r w:rsidRPr="00D218BC">
        <w:rPr>
          <w:rFonts w:ascii="Arial" w:eastAsia="宋体" w:hAnsi="Arial" w:cs="Arial"/>
          <w:kern w:val="0"/>
          <w:sz w:val="20"/>
          <w:szCs w:val="20"/>
        </w:rPr>
        <w:t>次；随后增加至一日</w:t>
      </w:r>
      <w:r w:rsidRPr="00D218BC">
        <w:rPr>
          <w:rFonts w:ascii="Arial" w:eastAsia="宋体" w:hAnsi="Arial" w:cs="Arial"/>
          <w:kern w:val="0"/>
          <w:sz w:val="20"/>
          <w:szCs w:val="20"/>
        </w:rPr>
        <w:t>5mg</w:t>
      </w:r>
      <w:r w:rsidRPr="00D218BC">
        <w:rPr>
          <w:rFonts w:ascii="Arial" w:eastAsia="宋体" w:hAnsi="Arial" w:cs="Arial"/>
          <w:kern w:val="0"/>
          <w:sz w:val="20"/>
          <w:szCs w:val="20"/>
        </w:rPr>
        <w:t>；再根据临床反应将剂量增加至一日</w:t>
      </w:r>
      <w:r w:rsidRPr="00D218BC">
        <w:rPr>
          <w:rFonts w:ascii="Arial" w:eastAsia="宋体" w:hAnsi="Arial" w:cs="Arial"/>
          <w:kern w:val="0"/>
          <w:sz w:val="20"/>
          <w:szCs w:val="20"/>
        </w:rPr>
        <w:t>10mg</w:t>
      </w:r>
      <w:r w:rsidRPr="00D218BC">
        <w:rPr>
          <w:rFonts w:ascii="Arial" w:eastAsia="宋体" w:hAnsi="Arial" w:cs="Arial"/>
          <w:kern w:val="0"/>
          <w:sz w:val="20"/>
          <w:szCs w:val="20"/>
        </w:rPr>
        <w:t>或</w:t>
      </w:r>
      <w:r w:rsidRPr="00D218BC">
        <w:rPr>
          <w:rFonts w:ascii="Arial" w:eastAsia="宋体" w:hAnsi="Arial" w:cs="Arial"/>
          <w:kern w:val="0"/>
          <w:sz w:val="20"/>
          <w:szCs w:val="20"/>
        </w:rPr>
        <w:t>15mg</w:t>
      </w:r>
      <w:r w:rsidRPr="00D218BC">
        <w:rPr>
          <w:rFonts w:ascii="Arial" w:eastAsia="宋体" w:hAnsi="Arial" w:cs="Arial"/>
          <w:kern w:val="0"/>
          <w:sz w:val="20"/>
          <w:szCs w:val="20"/>
        </w:rPr>
        <w:t>，每次增加的日剂量不得超过</w:t>
      </w:r>
      <w:r w:rsidRPr="00D218BC">
        <w:rPr>
          <w:rFonts w:ascii="Arial" w:eastAsia="宋体" w:hAnsi="Arial" w:cs="Arial"/>
          <w:kern w:val="0"/>
          <w:sz w:val="20"/>
          <w:szCs w:val="20"/>
        </w:rPr>
        <w:t>5mg</w:t>
      </w:r>
      <w:r w:rsidRPr="00D218BC">
        <w:rPr>
          <w:rFonts w:ascii="Arial" w:eastAsia="宋体" w:hAnsi="Arial" w:cs="Arial"/>
          <w:kern w:val="0"/>
          <w:sz w:val="20"/>
          <w:szCs w:val="20"/>
        </w:rPr>
        <w:t>，每</w:t>
      </w:r>
      <w:r w:rsidRPr="00D218BC">
        <w:rPr>
          <w:rFonts w:ascii="Arial" w:eastAsia="宋体" w:hAnsi="Arial" w:cs="Arial"/>
          <w:kern w:val="0"/>
          <w:sz w:val="20"/>
          <w:szCs w:val="20"/>
        </w:rPr>
        <w:t>2</w:t>
      </w:r>
      <w:r w:rsidRPr="00D218BC">
        <w:rPr>
          <w:rFonts w:ascii="Arial" w:eastAsia="宋体" w:hAnsi="Arial" w:cs="Arial"/>
          <w:kern w:val="0"/>
          <w:sz w:val="20"/>
          <w:szCs w:val="20"/>
        </w:rPr>
        <w:t>次剂量增加的时间间隔至少为</w:t>
      </w:r>
      <w:r w:rsidRPr="00D218BC">
        <w:rPr>
          <w:rFonts w:ascii="Arial" w:eastAsia="宋体" w:hAnsi="Arial" w:cs="Arial"/>
          <w:kern w:val="0"/>
          <w:sz w:val="20"/>
          <w:szCs w:val="20"/>
        </w:rPr>
        <w:t>1</w:t>
      </w:r>
      <w:r w:rsidRPr="00D218BC">
        <w:rPr>
          <w:rFonts w:ascii="Arial" w:eastAsia="宋体" w:hAnsi="Arial" w:cs="Arial"/>
          <w:kern w:val="0"/>
          <w:sz w:val="20"/>
          <w:szCs w:val="20"/>
        </w:rPr>
        <w:t>周。</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【禁忌症】</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对本药过敏者。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【慎用】</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老年精神病患者</w:t>
      </w:r>
      <w:r w:rsidRPr="00D218BC">
        <w:rPr>
          <w:rFonts w:ascii="Arial" w:eastAsia="宋体" w:hAnsi="Arial" w:cs="Arial"/>
          <w:kern w:val="0"/>
          <w:sz w:val="20"/>
          <w:szCs w:val="20"/>
        </w:rPr>
        <w:t>(</w:t>
      </w:r>
      <w:r w:rsidRPr="00D218BC">
        <w:rPr>
          <w:rFonts w:ascii="Arial" w:eastAsia="宋体" w:hAnsi="Arial" w:cs="Arial"/>
          <w:kern w:val="0"/>
          <w:sz w:val="20"/>
          <w:szCs w:val="20"/>
        </w:rPr>
        <w:t>嗜睡、吸入性疾病或吸入性肺炎的风险增加</w:t>
      </w:r>
      <w:r w:rsidRPr="00D218BC">
        <w:rPr>
          <w:rFonts w:ascii="Arial" w:eastAsia="宋体" w:hAnsi="Arial" w:cs="Arial"/>
          <w:kern w:val="0"/>
          <w:sz w:val="20"/>
          <w:szCs w:val="20"/>
        </w:rPr>
        <w:t>)</w:t>
      </w:r>
      <w:r w:rsidRPr="00D218BC">
        <w:rPr>
          <w:rFonts w:ascii="Arial" w:eastAsia="宋体" w:hAnsi="Arial" w:cs="Arial"/>
          <w:kern w:val="0"/>
          <w:sz w:val="20"/>
          <w:szCs w:val="20"/>
        </w:rPr>
        <w:t>。</w:t>
      </w:r>
      <w:r w:rsidRPr="00D218BC">
        <w:rPr>
          <w:rFonts w:ascii="Arial" w:eastAsia="宋体" w:hAnsi="Arial" w:cs="Arial"/>
          <w:kern w:val="0"/>
          <w:sz w:val="20"/>
          <w:szCs w:val="20"/>
        </w:rPr>
        <w:t>(</w:t>
      </w:r>
      <w:r w:rsidRPr="00D218BC">
        <w:rPr>
          <w:rFonts w:ascii="Arial" w:eastAsia="宋体" w:hAnsi="Arial" w:cs="Arial"/>
          <w:kern w:val="0"/>
          <w:sz w:val="20"/>
          <w:szCs w:val="20"/>
        </w:rPr>
        <w:t>国外资料</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可能促使体核温度升高的疾病患者。</w:t>
      </w:r>
      <w:r w:rsidRPr="00D218BC">
        <w:rPr>
          <w:rFonts w:ascii="Arial" w:eastAsia="宋体" w:hAnsi="Arial" w:cs="Arial"/>
          <w:kern w:val="0"/>
          <w:sz w:val="20"/>
          <w:szCs w:val="20"/>
        </w:rPr>
        <w:t>(</w:t>
      </w:r>
      <w:r w:rsidRPr="00D218BC">
        <w:rPr>
          <w:rFonts w:ascii="Arial" w:eastAsia="宋体" w:hAnsi="Arial" w:cs="Arial"/>
          <w:kern w:val="0"/>
          <w:sz w:val="20"/>
          <w:szCs w:val="20"/>
        </w:rPr>
        <w:t>国外资料</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lastRenderedPageBreak/>
        <w:t>3.</w:t>
      </w:r>
      <w:r w:rsidRPr="00D218BC">
        <w:rPr>
          <w:rFonts w:ascii="Arial" w:eastAsia="宋体" w:hAnsi="Arial" w:cs="Arial"/>
          <w:kern w:val="0"/>
          <w:sz w:val="20"/>
          <w:szCs w:val="20"/>
        </w:rPr>
        <w:t>抗精神病药恶性综合征患者。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4.</w:t>
      </w:r>
      <w:r w:rsidRPr="00D218BC">
        <w:rPr>
          <w:rFonts w:ascii="Arial" w:eastAsia="宋体" w:hAnsi="Arial" w:cs="Arial"/>
          <w:kern w:val="0"/>
          <w:sz w:val="20"/>
          <w:szCs w:val="20"/>
        </w:rPr>
        <w:t>可能出现迟发性运动障碍者。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5.</w:t>
      </w:r>
      <w:r w:rsidRPr="00D218BC">
        <w:rPr>
          <w:rFonts w:ascii="Arial" w:eastAsia="宋体" w:hAnsi="Arial" w:cs="Arial"/>
          <w:kern w:val="0"/>
          <w:sz w:val="20"/>
          <w:szCs w:val="20"/>
        </w:rPr>
        <w:t>有自杀倾向者。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6.</w:t>
      </w:r>
      <w:r w:rsidRPr="00D218BC">
        <w:rPr>
          <w:rFonts w:ascii="Arial" w:eastAsia="宋体" w:hAnsi="Arial" w:cs="Arial"/>
          <w:kern w:val="0"/>
          <w:sz w:val="20"/>
          <w:szCs w:val="20"/>
        </w:rPr>
        <w:t>糖尿病患者</w:t>
      </w:r>
      <w:r w:rsidRPr="00D218BC">
        <w:rPr>
          <w:rFonts w:ascii="Arial" w:eastAsia="宋体" w:hAnsi="Arial" w:cs="Arial"/>
          <w:kern w:val="0"/>
          <w:sz w:val="20"/>
          <w:szCs w:val="20"/>
        </w:rPr>
        <w:t>(</w:t>
      </w:r>
      <w:r w:rsidRPr="00D218BC">
        <w:rPr>
          <w:rFonts w:ascii="Arial" w:eastAsia="宋体" w:hAnsi="Arial" w:cs="Arial"/>
          <w:kern w:val="0"/>
          <w:sz w:val="20"/>
          <w:szCs w:val="20"/>
        </w:rPr>
        <w:t>血糖控制差</w:t>
      </w:r>
      <w:r w:rsidRPr="00D218BC">
        <w:rPr>
          <w:rFonts w:ascii="Arial" w:eastAsia="宋体" w:hAnsi="Arial" w:cs="Arial"/>
          <w:kern w:val="0"/>
          <w:sz w:val="20"/>
          <w:szCs w:val="20"/>
        </w:rPr>
        <w:t>)</w:t>
      </w:r>
      <w:r w:rsidRPr="00D218BC">
        <w:rPr>
          <w:rFonts w:ascii="Arial" w:eastAsia="宋体" w:hAnsi="Arial" w:cs="Arial"/>
          <w:kern w:val="0"/>
          <w:sz w:val="20"/>
          <w:szCs w:val="20"/>
        </w:rPr>
        <w:t>或血糖升高者。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7.</w:t>
      </w:r>
      <w:r w:rsidRPr="00D218BC">
        <w:rPr>
          <w:rFonts w:ascii="Arial" w:eastAsia="宋体" w:hAnsi="Arial" w:cs="Arial"/>
          <w:kern w:val="0"/>
          <w:sz w:val="20"/>
          <w:szCs w:val="20"/>
        </w:rPr>
        <w:t>心血管疾病</w:t>
      </w:r>
      <w:r w:rsidRPr="00D218BC">
        <w:rPr>
          <w:rFonts w:ascii="Arial" w:eastAsia="宋体" w:hAnsi="Arial" w:cs="Arial"/>
          <w:kern w:val="0"/>
          <w:sz w:val="20"/>
          <w:szCs w:val="20"/>
        </w:rPr>
        <w:t>(</w:t>
      </w:r>
      <w:r w:rsidRPr="00D218BC">
        <w:rPr>
          <w:rFonts w:ascii="Arial" w:eastAsia="宋体" w:hAnsi="Arial" w:cs="Arial"/>
          <w:kern w:val="0"/>
          <w:sz w:val="20"/>
          <w:szCs w:val="20"/>
        </w:rPr>
        <w:t>如心肌梗死、缺血性心脏病、心力衰竭、传导异常</w:t>
      </w:r>
      <w:r w:rsidRPr="00D218BC">
        <w:rPr>
          <w:rFonts w:ascii="Arial" w:eastAsia="宋体" w:hAnsi="Arial" w:cs="Arial"/>
          <w:kern w:val="0"/>
          <w:sz w:val="20"/>
          <w:szCs w:val="20"/>
        </w:rPr>
        <w:t>)</w:t>
      </w:r>
      <w:r w:rsidRPr="00D218BC">
        <w:rPr>
          <w:rFonts w:ascii="Arial" w:eastAsia="宋体" w:hAnsi="Arial" w:cs="Arial"/>
          <w:kern w:val="0"/>
          <w:sz w:val="20"/>
          <w:szCs w:val="20"/>
        </w:rPr>
        <w:t>或脑血管疾病患者。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8.</w:t>
      </w:r>
      <w:r w:rsidRPr="00D218BC">
        <w:rPr>
          <w:rFonts w:ascii="Arial" w:eastAsia="宋体" w:hAnsi="Arial" w:cs="Arial"/>
          <w:kern w:val="0"/>
          <w:sz w:val="20"/>
          <w:szCs w:val="20"/>
        </w:rPr>
        <w:t>易发生低血压</w:t>
      </w:r>
      <w:r w:rsidRPr="00D218BC">
        <w:rPr>
          <w:rFonts w:ascii="Arial" w:eastAsia="宋体" w:hAnsi="Arial" w:cs="Arial"/>
          <w:kern w:val="0"/>
          <w:sz w:val="20"/>
          <w:szCs w:val="20"/>
        </w:rPr>
        <w:t>(</w:t>
      </w:r>
      <w:r w:rsidRPr="00D218BC">
        <w:rPr>
          <w:rFonts w:ascii="Arial" w:eastAsia="宋体" w:hAnsi="Arial" w:cs="Arial"/>
          <w:kern w:val="0"/>
          <w:sz w:val="20"/>
          <w:szCs w:val="20"/>
        </w:rPr>
        <w:t>如脱水、血容量过低、降压药治疗</w:t>
      </w:r>
      <w:r w:rsidRPr="00D218BC">
        <w:rPr>
          <w:rFonts w:ascii="Arial" w:eastAsia="宋体" w:hAnsi="Arial" w:cs="Arial"/>
          <w:kern w:val="0"/>
          <w:sz w:val="20"/>
          <w:szCs w:val="20"/>
        </w:rPr>
        <w:t>)</w:t>
      </w:r>
      <w:r w:rsidRPr="00D218BC">
        <w:rPr>
          <w:rFonts w:ascii="Arial" w:eastAsia="宋体" w:hAnsi="Arial" w:cs="Arial"/>
          <w:kern w:val="0"/>
          <w:sz w:val="20"/>
          <w:szCs w:val="20"/>
        </w:rPr>
        <w:t>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9.</w:t>
      </w:r>
      <w:r w:rsidRPr="00D218BC">
        <w:rPr>
          <w:rFonts w:ascii="Arial" w:eastAsia="宋体" w:hAnsi="Arial" w:cs="Arial"/>
          <w:kern w:val="0"/>
          <w:sz w:val="20"/>
          <w:szCs w:val="20"/>
        </w:rPr>
        <w:t>有患吸入性肺炎风险者。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10.</w:t>
      </w:r>
      <w:r w:rsidRPr="00D218BC">
        <w:rPr>
          <w:rFonts w:ascii="Arial" w:eastAsia="宋体" w:hAnsi="Arial" w:cs="Arial"/>
          <w:kern w:val="0"/>
          <w:sz w:val="20"/>
          <w:szCs w:val="20"/>
        </w:rPr>
        <w:t>有癫痫发作史或癫痫发作</w:t>
      </w:r>
      <w:proofErr w:type="gramStart"/>
      <w:r w:rsidRPr="00D218BC">
        <w:rPr>
          <w:rFonts w:ascii="Arial" w:eastAsia="宋体" w:hAnsi="Arial" w:cs="Arial"/>
          <w:kern w:val="0"/>
          <w:sz w:val="20"/>
          <w:szCs w:val="20"/>
        </w:rPr>
        <w:t>阈</w:t>
      </w:r>
      <w:proofErr w:type="gramEnd"/>
      <w:r w:rsidRPr="00D218BC">
        <w:rPr>
          <w:rFonts w:ascii="Arial" w:eastAsia="宋体" w:hAnsi="Arial" w:cs="Arial"/>
          <w:kern w:val="0"/>
          <w:sz w:val="20"/>
          <w:szCs w:val="20"/>
        </w:rPr>
        <w:t>降低者</w:t>
      </w:r>
      <w:r w:rsidRPr="00D218BC">
        <w:rPr>
          <w:rFonts w:ascii="Arial" w:eastAsia="宋体" w:hAnsi="Arial" w:cs="Arial"/>
          <w:kern w:val="0"/>
          <w:sz w:val="20"/>
          <w:szCs w:val="20"/>
        </w:rPr>
        <w:t>(</w:t>
      </w:r>
      <w:r w:rsidRPr="00D218BC">
        <w:rPr>
          <w:rFonts w:ascii="Arial" w:eastAsia="宋体" w:hAnsi="Arial" w:cs="Arial"/>
          <w:kern w:val="0"/>
          <w:sz w:val="20"/>
          <w:szCs w:val="20"/>
        </w:rPr>
        <w:t>如阿尔茨海默病</w:t>
      </w:r>
      <w:r w:rsidRPr="00D218BC">
        <w:rPr>
          <w:rFonts w:ascii="Arial" w:eastAsia="宋体" w:hAnsi="Arial" w:cs="Arial"/>
          <w:kern w:val="0"/>
          <w:sz w:val="20"/>
          <w:szCs w:val="20"/>
        </w:rPr>
        <w:t>)</w:t>
      </w:r>
      <w:r w:rsidRPr="00D218BC">
        <w:rPr>
          <w:rFonts w:ascii="Arial" w:eastAsia="宋体" w:hAnsi="Arial" w:cs="Arial"/>
          <w:kern w:val="0"/>
          <w:sz w:val="20"/>
          <w:szCs w:val="20"/>
        </w:rPr>
        <w:t>、头部创伤史者、脑损伤史者、酒精中毒史者。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11.</w:t>
      </w:r>
      <w:r w:rsidRPr="00D218BC">
        <w:rPr>
          <w:rFonts w:ascii="Arial" w:eastAsia="宋体" w:hAnsi="Arial" w:cs="Arial"/>
          <w:kern w:val="0"/>
          <w:sz w:val="20"/>
          <w:szCs w:val="20"/>
        </w:rPr>
        <w:t>帕金森病患者。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【特殊人群】</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儿童</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儿童用药的安全性和有效性尚不明确。</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对有重性抑郁障碍和其他精神疾病的儿童，本药可增加其自杀的风险。</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老人</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在使用推荐剂量时老年人对本药的耐受性良好。</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对有痴呆相关精神病的老年患者，本药可增加其死亡的风险。本药未被批准用于治疗痴呆性精神病患者。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妊娠期妇女</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动物试验表明本药有发育毒性和致畸作用。妊娠晚期使用抗精神病药物有出现新生儿异常肌肉运动</w:t>
      </w:r>
      <w:r w:rsidRPr="00D218BC">
        <w:rPr>
          <w:rFonts w:ascii="Arial" w:eastAsia="宋体" w:hAnsi="Arial" w:cs="Arial"/>
          <w:kern w:val="0"/>
          <w:sz w:val="20"/>
          <w:szCs w:val="20"/>
        </w:rPr>
        <w:t>[</w:t>
      </w:r>
      <w:r w:rsidRPr="00D218BC">
        <w:rPr>
          <w:rFonts w:ascii="Arial" w:eastAsia="宋体" w:hAnsi="Arial" w:cs="Arial"/>
          <w:kern w:val="0"/>
          <w:sz w:val="20"/>
          <w:szCs w:val="20"/>
        </w:rPr>
        <w:t>锥体外系综合征</w:t>
      </w:r>
      <w:r w:rsidRPr="00D218BC">
        <w:rPr>
          <w:rFonts w:ascii="Arial" w:eastAsia="宋体" w:hAnsi="Arial" w:cs="Arial"/>
          <w:kern w:val="0"/>
          <w:sz w:val="20"/>
          <w:szCs w:val="20"/>
        </w:rPr>
        <w:t>(EPS)]</w:t>
      </w:r>
      <w:r w:rsidRPr="00D218BC">
        <w:rPr>
          <w:rFonts w:ascii="Arial" w:eastAsia="宋体" w:hAnsi="Arial" w:cs="Arial"/>
          <w:kern w:val="0"/>
          <w:sz w:val="20"/>
          <w:szCs w:val="20"/>
        </w:rPr>
        <w:t>及戒断综合征的风险。妊娠期妇女用药应权衡利弊。</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2.FDA</w:t>
      </w:r>
      <w:r w:rsidRPr="00D218BC">
        <w:rPr>
          <w:rFonts w:ascii="Arial" w:eastAsia="宋体" w:hAnsi="Arial" w:cs="Arial"/>
          <w:kern w:val="0"/>
          <w:sz w:val="20"/>
          <w:szCs w:val="20"/>
        </w:rPr>
        <w:t>对本药的妊娠安全性分级为</w:t>
      </w:r>
      <w:r w:rsidRPr="00D218BC">
        <w:rPr>
          <w:rFonts w:ascii="Arial" w:eastAsia="宋体" w:hAnsi="Arial" w:cs="Arial"/>
          <w:kern w:val="0"/>
          <w:sz w:val="20"/>
          <w:szCs w:val="20"/>
        </w:rPr>
        <w:t>C</w:t>
      </w:r>
      <w:r w:rsidRPr="00D218BC">
        <w:rPr>
          <w:rFonts w:ascii="Arial" w:eastAsia="宋体" w:hAnsi="Arial" w:cs="Arial"/>
          <w:kern w:val="0"/>
          <w:sz w:val="20"/>
          <w:szCs w:val="20"/>
        </w:rPr>
        <w:t>级。</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哺乳期妇女</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本药可随人类乳汁排泄，哺乳期妇女应停药或用药时停止哺乳。</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lastRenderedPageBreak/>
        <w:t>特殊疾病状态</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伴痴呆的精神病患者，尤其是吞咽困难或过度瞌睡的患者使用本药应谨慎，可能会出现意外损伤或误吸。</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【不良反应】</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临床研究报道的不良事件如下，与使用本药的因果关系尚不明确：</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心血管系统</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常见高血压、低血压、心动过速、心动过缓；少见心悸、出血、心肌梗死、</w:t>
      </w:r>
      <w:r w:rsidRPr="00D218BC">
        <w:rPr>
          <w:rFonts w:ascii="Arial" w:eastAsia="宋体" w:hAnsi="Arial" w:cs="Arial"/>
          <w:kern w:val="0"/>
          <w:sz w:val="20"/>
          <w:szCs w:val="20"/>
        </w:rPr>
        <w:t>QT</w:t>
      </w:r>
      <w:r w:rsidRPr="00D218BC">
        <w:rPr>
          <w:rFonts w:ascii="Arial" w:eastAsia="宋体" w:hAnsi="Arial" w:cs="Arial"/>
          <w:kern w:val="0"/>
          <w:sz w:val="20"/>
          <w:szCs w:val="20"/>
        </w:rPr>
        <w:t>间期延长、心脏停搏、心房颤动、心力衰竭、房室传导阻滞、心肌缺血、静脉炎、深静脉血栓、心绞痛、期外收缩；罕见血管迷走神经反应、心脏扩大症、心房扑动、血栓性静脉炎、血管舒张。还可出现直立性眩晕、晕厥。</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代谢</w:t>
      </w:r>
      <w:r w:rsidRPr="00D218BC">
        <w:rPr>
          <w:rFonts w:ascii="Arial" w:eastAsia="宋体" w:hAnsi="Arial" w:cs="Arial"/>
          <w:kern w:val="0"/>
          <w:sz w:val="20"/>
          <w:szCs w:val="20"/>
        </w:rPr>
        <w:t>/</w:t>
      </w:r>
      <w:r w:rsidRPr="00D218BC">
        <w:rPr>
          <w:rFonts w:ascii="Arial" w:eastAsia="宋体" w:hAnsi="Arial" w:cs="Arial"/>
          <w:kern w:val="0"/>
          <w:sz w:val="20"/>
          <w:szCs w:val="20"/>
        </w:rPr>
        <w:t>内分泌系统</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肌酸磷酸激酶升高；少见甲状腺功能低下、高胆固醇血症、高血糖、低钾血症、尿糖升高、高脂血症、低血糖、低钠血症、碱性磷酸酶升高；罕见甲状腺肿、甲状腺功能亢进、高钾血症、痛风、高钠血症、高尿酸血症、低血糖反应、糖尿、乳房疼痛、女性</w:t>
      </w:r>
      <w:proofErr w:type="gramStart"/>
      <w:r w:rsidRPr="00D218BC">
        <w:rPr>
          <w:rFonts w:ascii="Arial" w:eastAsia="宋体" w:hAnsi="Arial" w:cs="Arial"/>
          <w:kern w:val="0"/>
          <w:sz w:val="20"/>
          <w:szCs w:val="20"/>
        </w:rPr>
        <w:t>泌</w:t>
      </w:r>
      <w:proofErr w:type="gramEnd"/>
      <w:r w:rsidRPr="00D218BC">
        <w:rPr>
          <w:rFonts w:ascii="Arial" w:eastAsia="宋体" w:hAnsi="Arial" w:cs="Arial"/>
          <w:kern w:val="0"/>
          <w:sz w:val="20"/>
          <w:szCs w:val="20"/>
        </w:rPr>
        <w:t>乳、男子乳腺发育。还可出现血清催乳素升高、酮症酸中毒、高渗性昏迷。</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3.</w:t>
      </w:r>
      <w:r w:rsidRPr="00D218BC">
        <w:rPr>
          <w:rFonts w:ascii="Arial" w:eastAsia="宋体" w:hAnsi="Arial" w:cs="Arial"/>
          <w:kern w:val="0"/>
          <w:sz w:val="20"/>
          <w:szCs w:val="20"/>
        </w:rPr>
        <w:t>呼吸系统</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常见呼吸困难、肺炎；少见哮喘、鼻出血、喉炎；罕见咯血、吸入性肺炎、痰多、鼻腔干燥、肺水肿、肺栓塞、缺氧、呼吸衰竭、呼吸暂停。</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4.</w:t>
      </w:r>
      <w:r w:rsidRPr="00D218BC">
        <w:rPr>
          <w:rFonts w:ascii="Arial" w:eastAsia="宋体" w:hAnsi="Arial" w:cs="Arial"/>
          <w:kern w:val="0"/>
          <w:sz w:val="20"/>
          <w:szCs w:val="20"/>
        </w:rPr>
        <w:t>肌肉骨骼系统</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常见肌肉痛性痉挛；少见关节痛、骨痛、肌无力、关节炎、痉挛、肌阵挛、滑囊炎、肌张力障碍、运动迟缓；罕见横纹肌溶解、肌腱炎、腱鞘炎、风湿性关节炎。</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5.</w:t>
      </w:r>
      <w:r w:rsidRPr="00D218BC">
        <w:rPr>
          <w:rFonts w:ascii="Arial" w:eastAsia="宋体" w:hAnsi="Arial" w:cs="Arial"/>
          <w:kern w:val="0"/>
          <w:sz w:val="20"/>
          <w:szCs w:val="20"/>
        </w:rPr>
        <w:t>泌尿生殖系统</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尿流中断；少见膀胱炎、尿潴留、尿频、夜尿过多、多尿、尿急、血尿、排尿困难、蛋白尿、肾结石、肾衰竭、白带增多、停经、月经过多、阴道出血、念珠菌性阴道炎、子宫出血、异常射精；罕见尿道灼热、宫颈炎、女性</w:t>
      </w:r>
      <w:proofErr w:type="gramStart"/>
      <w:r w:rsidRPr="00D218BC">
        <w:rPr>
          <w:rFonts w:ascii="Arial" w:eastAsia="宋体" w:hAnsi="Arial" w:cs="Arial"/>
          <w:kern w:val="0"/>
          <w:sz w:val="20"/>
          <w:szCs w:val="20"/>
        </w:rPr>
        <w:t>泌</w:t>
      </w:r>
      <w:proofErr w:type="gramEnd"/>
      <w:r w:rsidRPr="00D218BC">
        <w:rPr>
          <w:rFonts w:ascii="Arial" w:eastAsia="宋体" w:hAnsi="Arial" w:cs="Arial"/>
          <w:kern w:val="0"/>
          <w:sz w:val="20"/>
          <w:szCs w:val="20"/>
        </w:rPr>
        <w:t>乳、性高潮缺乏、糖尿、男子乳腺发育、尿结石、阴茎异常勃起。</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6.</w:t>
      </w:r>
      <w:r w:rsidRPr="00D218BC">
        <w:rPr>
          <w:rFonts w:ascii="Arial" w:eastAsia="宋体" w:hAnsi="Arial" w:cs="Arial"/>
          <w:kern w:val="0"/>
          <w:sz w:val="20"/>
          <w:szCs w:val="20"/>
        </w:rPr>
        <w:t>免疫系统</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淋巴结病。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7.</w:t>
      </w:r>
      <w:r w:rsidRPr="00D218BC">
        <w:rPr>
          <w:rFonts w:ascii="Arial" w:eastAsia="宋体" w:hAnsi="Arial" w:cs="Arial"/>
          <w:kern w:val="0"/>
          <w:sz w:val="20"/>
          <w:szCs w:val="20"/>
        </w:rPr>
        <w:t>神经系统</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少见感觉迟钝、齿轮样强直、四肢震颤、嗜睡、迟发性运动障碍、共济失调、记忆损害、昏迷、静坐不能、反射增强；罕见谵妄、颊舌综合征、意识障碍、运动失调、反射减弱、脑缺血、脑血管意外、颅内出血。</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8.</w:t>
      </w:r>
      <w:r w:rsidRPr="00D218BC">
        <w:rPr>
          <w:rFonts w:ascii="Arial" w:eastAsia="宋体" w:hAnsi="Arial" w:cs="Arial"/>
          <w:kern w:val="0"/>
          <w:sz w:val="20"/>
          <w:szCs w:val="20"/>
        </w:rPr>
        <w:t>精神</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焦虑、失眠、抑郁、神经过敏、敌意、自杀倾向、躁狂、异常步态；少见注意涣散、惊恐发作、淡漠、健忘、人格解体、烦躁不安、神经病变、思维缓慢、运动过度、感觉过敏；罕见欣快、情感迟钝、强迫性思维。</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lastRenderedPageBreak/>
        <w:t>9.</w:t>
      </w:r>
      <w:r w:rsidRPr="00D218BC">
        <w:rPr>
          <w:rFonts w:ascii="Arial" w:eastAsia="宋体" w:hAnsi="Arial" w:cs="Arial"/>
          <w:kern w:val="0"/>
          <w:sz w:val="20"/>
          <w:szCs w:val="20"/>
        </w:rPr>
        <w:t>肝脏</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少见谷丙氨基转移酶升高、谷草氨基转移酶升高、乳酸脱氢酶升高、缺铁性贫血胆红素血症；罕见肝炎、肝大。</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10.</w:t>
      </w:r>
      <w:r w:rsidRPr="00D218BC">
        <w:rPr>
          <w:rFonts w:ascii="Arial" w:eastAsia="宋体" w:hAnsi="Arial" w:cs="Arial"/>
          <w:kern w:val="0"/>
          <w:sz w:val="20"/>
          <w:szCs w:val="20"/>
        </w:rPr>
        <w:t>胃肠道</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畏食、恶心、呕吐；少见食欲增加、肠胃炎、吞咽困难、胃肠胀气、胃炎、龋齿、牙龈炎、痔疮、胃食管返流、胃肠道出血、牙周脓肿、舌水肿、大便失禁、大肠炎、直肠出血、口腔炎、口腔溃疡、胆囊炎、粪便嵌塞、口腔念珠菌病、胆石症、嗳气、肠梗阻、消化性溃疡；罕见食管炎、牙龈出血、舌炎、呕血、黑便、十二指肠溃疡、唇炎、胰腺炎、肠穿孔。</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11.</w:t>
      </w:r>
      <w:r w:rsidRPr="00D218BC">
        <w:rPr>
          <w:rFonts w:ascii="Arial" w:eastAsia="宋体" w:hAnsi="Arial" w:cs="Arial"/>
          <w:kern w:val="0"/>
          <w:sz w:val="20"/>
          <w:szCs w:val="20"/>
        </w:rPr>
        <w:t>血液</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常见淤斑、贫血；少见低色素性贫血、白细胞减少、白细胞增多、血小板减少；罕见嗜酸粒细胞增多、血小板增多、巨幼细胞性贫血。</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12.</w:t>
      </w:r>
      <w:r w:rsidRPr="00D218BC">
        <w:rPr>
          <w:rFonts w:ascii="Arial" w:eastAsia="宋体" w:hAnsi="Arial" w:cs="Arial"/>
          <w:kern w:val="0"/>
          <w:sz w:val="20"/>
          <w:szCs w:val="20"/>
        </w:rPr>
        <w:t>皮肤</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常见皮肤干燥、皮肤溃疡、瘙痒、出汗、紫</w:t>
      </w:r>
      <w:proofErr w:type="gramStart"/>
      <w:r w:rsidRPr="00D218BC">
        <w:rPr>
          <w:rFonts w:ascii="Arial" w:eastAsia="宋体" w:hAnsi="Arial" w:cs="Arial"/>
          <w:kern w:val="0"/>
          <w:sz w:val="20"/>
          <w:szCs w:val="20"/>
        </w:rPr>
        <w:t>绀</w:t>
      </w:r>
      <w:proofErr w:type="gramEnd"/>
      <w:r w:rsidRPr="00D218BC">
        <w:rPr>
          <w:rFonts w:ascii="Arial" w:eastAsia="宋体" w:hAnsi="Arial" w:cs="Arial"/>
          <w:kern w:val="0"/>
          <w:sz w:val="20"/>
          <w:szCs w:val="20"/>
        </w:rPr>
        <w:t>；少见痤疮、水泡大疱疹、湿疹、脱发、牛皮癣、脂溢性皮炎；罕见斑丘疹、脱落性皮炎、风疹。</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13.</w:t>
      </w:r>
      <w:r w:rsidRPr="00D218BC">
        <w:rPr>
          <w:rFonts w:ascii="Arial" w:eastAsia="宋体" w:hAnsi="Arial" w:cs="Arial"/>
          <w:kern w:val="0"/>
          <w:sz w:val="20"/>
          <w:szCs w:val="20"/>
        </w:rPr>
        <w:t>眼</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常见视物模糊、结膜炎；少见眼干、眼痛、白内障、</w:t>
      </w:r>
      <w:proofErr w:type="gramStart"/>
      <w:r w:rsidRPr="00D218BC">
        <w:rPr>
          <w:rFonts w:ascii="Arial" w:eastAsia="宋体" w:hAnsi="Arial" w:cs="Arial"/>
          <w:kern w:val="0"/>
          <w:sz w:val="20"/>
          <w:szCs w:val="20"/>
        </w:rPr>
        <w:t>睑</w:t>
      </w:r>
      <w:proofErr w:type="gramEnd"/>
      <w:r w:rsidRPr="00D218BC">
        <w:rPr>
          <w:rFonts w:ascii="Arial" w:eastAsia="宋体" w:hAnsi="Arial" w:cs="Arial"/>
          <w:kern w:val="0"/>
          <w:sz w:val="20"/>
          <w:szCs w:val="20"/>
        </w:rPr>
        <w:t>炎、眼动危象；罕见流泪增加、频繁眨眼、畏光、弱视、复视、眼出血。</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14.</w:t>
      </w:r>
      <w:r w:rsidRPr="00D218BC">
        <w:rPr>
          <w:rFonts w:ascii="Arial" w:eastAsia="宋体" w:hAnsi="Arial" w:cs="Arial"/>
          <w:kern w:val="0"/>
          <w:sz w:val="20"/>
          <w:szCs w:val="20"/>
        </w:rPr>
        <w:t>耳</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常见耳痛；少见耳鸣、中耳炎；罕见外耳炎、耳聋。</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15.</w:t>
      </w:r>
      <w:r w:rsidRPr="00D218BC">
        <w:rPr>
          <w:rFonts w:ascii="Arial" w:eastAsia="宋体" w:hAnsi="Arial" w:cs="Arial"/>
          <w:kern w:val="0"/>
          <w:sz w:val="20"/>
          <w:szCs w:val="20"/>
        </w:rPr>
        <w:t>其他</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常见体重减轻、发热；少见发音困难、脱水、水肿、肥胖。还可见体重增加、抗精神病药恶性综合征。</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【药物相互作用】</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药物</w:t>
      </w:r>
      <w:r w:rsidRPr="00D218BC">
        <w:rPr>
          <w:rFonts w:ascii="Arial" w:eastAsia="宋体" w:hAnsi="Arial" w:cs="Arial"/>
          <w:b/>
          <w:bCs/>
          <w:kern w:val="0"/>
          <w:sz w:val="20"/>
          <w:szCs w:val="20"/>
        </w:rPr>
        <w:t>-</w:t>
      </w:r>
      <w:r w:rsidRPr="00D218BC">
        <w:rPr>
          <w:rFonts w:ascii="Arial" w:eastAsia="宋体" w:hAnsi="Arial" w:cs="Arial"/>
          <w:b/>
          <w:bCs/>
          <w:kern w:val="0"/>
          <w:sz w:val="20"/>
          <w:szCs w:val="20"/>
        </w:rPr>
        <w:t>药物相互作用</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细胞色素</w:t>
      </w:r>
      <w:r w:rsidRPr="00D218BC">
        <w:rPr>
          <w:rFonts w:ascii="Arial" w:eastAsia="宋体" w:hAnsi="Arial" w:cs="Arial"/>
          <w:kern w:val="0"/>
          <w:sz w:val="20"/>
          <w:szCs w:val="20"/>
        </w:rPr>
        <w:t>P</w:t>
      </w:r>
      <w:r w:rsidRPr="00D218BC">
        <w:rPr>
          <w:rFonts w:ascii="Arial" w:eastAsia="宋体" w:hAnsi="Arial" w:cs="Arial"/>
          <w:kern w:val="0"/>
          <w:sz w:val="20"/>
          <w:szCs w:val="20"/>
          <w:vertAlign w:val="subscript"/>
        </w:rPr>
        <w:t>450</w:t>
      </w:r>
      <w:r w:rsidRPr="00D218BC">
        <w:rPr>
          <w:rFonts w:ascii="Arial" w:eastAsia="宋体" w:hAnsi="Arial" w:cs="Arial"/>
          <w:kern w:val="0"/>
          <w:sz w:val="20"/>
          <w:szCs w:val="20"/>
        </w:rPr>
        <w:t>(CYP) 3A4</w:t>
      </w:r>
      <w:r w:rsidRPr="00D218BC">
        <w:rPr>
          <w:rFonts w:ascii="Arial" w:eastAsia="宋体" w:hAnsi="Arial" w:cs="Arial"/>
          <w:kern w:val="0"/>
          <w:sz w:val="20"/>
          <w:szCs w:val="20"/>
        </w:rPr>
        <w:t>抑制药</w:t>
      </w:r>
      <w:r w:rsidRPr="00D218BC">
        <w:rPr>
          <w:rFonts w:ascii="Arial" w:eastAsia="宋体" w:hAnsi="Arial" w:cs="Arial"/>
          <w:kern w:val="0"/>
          <w:sz w:val="20"/>
          <w:szCs w:val="20"/>
        </w:rPr>
        <w:t>(</w:t>
      </w:r>
      <w:r w:rsidRPr="00D218BC">
        <w:rPr>
          <w:rFonts w:ascii="Arial" w:eastAsia="宋体" w:hAnsi="Arial" w:cs="Arial"/>
          <w:kern w:val="0"/>
          <w:sz w:val="20"/>
          <w:szCs w:val="20"/>
        </w:rPr>
        <w:t>如酮康</w:t>
      </w:r>
      <w:proofErr w:type="gramStart"/>
      <w:r w:rsidRPr="00D218BC">
        <w:rPr>
          <w:rFonts w:ascii="Arial" w:eastAsia="宋体" w:hAnsi="Arial" w:cs="Arial"/>
          <w:kern w:val="0"/>
          <w:sz w:val="20"/>
          <w:szCs w:val="20"/>
        </w:rPr>
        <w:t>唑</w:t>
      </w:r>
      <w:proofErr w:type="gramEnd"/>
      <w:r w:rsidRPr="00D218BC">
        <w:rPr>
          <w:rFonts w:ascii="Arial" w:eastAsia="宋体" w:hAnsi="Arial" w:cs="Arial"/>
          <w:kern w:val="0"/>
          <w:sz w:val="20"/>
          <w:szCs w:val="20"/>
        </w:rPr>
        <w:t>、伊曲康</w:t>
      </w:r>
      <w:proofErr w:type="gramStart"/>
      <w:r w:rsidRPr="00D218BC">
        <w:rPr>
          <w:rFonts w:ascii="Arial" w:eastAsia="宋体" w:hAnsi="Arial" w:cs="Arial"/>
          <w:kern w:val="0"/>
          <w:sz w:val="20"/>
          <w:szCs w:val="20"/>
        </w:rPr>
        <w:t>唑</w:t>
      </w:r>
      <w:proofErr w:type="gramEnd"/>
      <w:r w:rsidRPr="00D218BC">
        <w:rPr>
          <w:rFonts w:ascii="Arial" w:eastAsia="宋体" w:hAnsi="Arial" w:cs="Arial"/>
          <w:kern w:val="0"/>
          <w:sz w:val="20"/>
          <w:szCs w:val="20"/>
        </w:rPr>
        <w:t>)</w:t>
      </w:r>
      <w:r w:rsidRPr="00D218BC">
        <w:rPr>
          <w:rFonts w:ascii="Arial" w:eastAsia="宋体" w:hAnsi="Arial" w:cs="Arial"/>
          <w:kern w:val="0"/>
          <w:sz w:val="20"/>
          <w:szCs w:val="20"/>
        </w:rPr>
        <w:t>、</w:t>
      </w:r>
      <w:r w:rsidRPr="00D218BC">
        <w:rPr>
          <w:rFonts w:ascii="Arial" w:eastAsia="宋体" w:hAnsi="Arial" w:cs="Arial"/>
          <w:kern w:val="0"/>
          <w:sz w:val="20"/>
          <w:szCs w:val="20"/>
        </w:rPr>
        <w:t>CYP 2D6</w:t>
      </w:r>
      <w:r w:rsidRPr="00D218BC">
        <w:rPr>
          <w:rFonts w:ascii="Arial" w:eastAsia="宋体" w:hAnsi="Arial" w:cs="Arial"/>
          <w:kern w:val="0"/>
          <w:sz w:val="20"/>
          <w:szCs w:val="20"/>
        </w:rPr>
        <w:t>抑制药</w:t>
      </w:r>
      <w:r w:rsidRPr="00D218BC">
        <w:rPr>
          <w:rFonts w:ascii="Arial" w:eastAsia="宋体" w:hAnsi="Arial" w:cs="Arial"/>
          <w:kern w:val="0"/>
          <w:sz w:val="20"/>
          <w:szCs w:val="20"/>
        </w:rPr>
        <w:t>(</w:t>
      </w:r>
      <w:r w:rsidRPr="00D218BC">
        <w:rPr>
          <w:rFonts w:ascii="Arial" w:eastAsia="宋体" w:hAnsi="Arial" w:cs="Arial"/>
          <w:kern w:val="0"/>
          <w:sz w:val="20"/>
          <w:szCs w:val="20"/>
        </w:rPr>
        <w:t>如</w:t>
      </w:r>
      <w:proofErr w:type="gramStart"/>
      <w:r w:rsidRPr="00D218BC">
        <w:rPr>
          <w:rFonts w:ascii="Arial" w:eastAsia="宋体" w:hAnsi="Arial" w:cs="Arial"/>
          <w:kern w:val="0"/>
          <w:sz w:val="20"/>
          <w:szCs w:val="20"/>
        </w:rPr>
        <w:t>奎</w:t>
      </w:r>
      <w:proofErr w:type="gramEnd"/>
      <w:r w:rsidRPr="00D218BC">
        <w:rPr>
          <w:rFonts w:ascii="Arial" w:eastAsia="宋体" w:hAnsi="Arial" w:cs="Arial"/>
          <w:kern w:val="0"/>
          <w:sz w:val="20"/>
          <w:szCs w:val="20"/>
        </w:rPr>
        <w:t>尼丁、氟西</w:t>
      </w:r>
      <w:proofErr w:type="gramStart"/>
      <w:r w:rsidRPr="00D218BC">
        <w:rPr>
          <w:rFonts w:ascii="Arial" w:eastAsia="宋体" w:hAnsi="Arial" w:cs="Arial"/>
          <w:kern w:val="0"/>
          <w:sz w:val="20"/>
          <w:szCs w:val="20"/>
        </w:rPr>
        <w:t>汀</w:t>
      </w:r>
      <w:proofErr w:type="gramEnd"/>
      <w:r w:rsidRPr="00D218BC">
        <w:rPr>
          <w:rFonts w:ascii="Arial" w:eastAsia="宋体" w:hAnsi="Arial" w:cs="Arial"/>
          <w:kern w:val="0"/>
          <w:sz w:val="20"/>
          <w:szCs w:val="20"/>
        </w:rPr>
        <w:t>、帕罗西汀</w:t>
      </w:r>
      <w:r w:rsidRPr="00D218BC">
        <w:rPr>
          <w:rFonts w:ascii="Arial" w:eastAsia="宋体" w:hAnsi="Arial" w:cs="Arial"/>
          <w:kern w:val="0"/>
          <w:sz w:val="20"/>
          <w:szCs w:val="20"/>
        </w:rPr>
        <w:t>)</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结果：以上药物可使本药血药浓度升高。</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机制：酮康</w:t>
      </w:r>
      <w:proofErr w:type="gramStart"/>
      <w:r w:rsidRPr="00D218BC">
        <w:rPr>
          <w:rFonts w:ascii="Arial" w:eastAsia="宋体" w:hAnsi="Arial" w:cs="Arial"/>
          <w:kern w:val="0"/>
          <w:sz w:val="20"/>
          <w:szCs w:val="20"/>
        </w:rPr>
        <w:t>唑</w:t>
      </w:r>
      <w:proofErr w:type="gramEnd"/>
      <w:r w:rsidRPr="00D218BC">
        <w:rPr>
          <w:rFonts w:ascii="Arial" w:eastAsia="宋体" w:hAnsi="Arial" w:cs="Arial"/>
          <w:kern w:val="0"/>
          <w:sz w:val="20"/>
          <w:szCs w:val="20"/>
        </w:rPr>
        <w:t>、</w:t>
      </w:r>
      <w:proofErr w:type="gramStart"/>
      <w:r w:rsidRPr="00D218BC">
        <w:rPr>
          <w:rFonts w:ascii="Arial" w:eastAsia="宋体" w:hAnsi="Arial" w:cs="Arial"/>
          <w:kern w:val="0"/>
          <w:sz w:val="20"/>
          <w:szCs w:val="20"/>
        </w:rPr>
        <w:t>奎尼丁</w:t>
      </w:r>
      <w:proofErr w:type="gramEnd"/>
      <w:r w:rsidRPr="00D218BC">
        <w:rPr>
          <w:rFonts w:ascii="Arial" w:eastAsia="宋体" w:hAnsi="Arial" w:cs="Arial"/>
          <w:kern w:val="0"/>
          <w:sz w:val="20"/>
          <w:szCs w:val="20"/>
        </w:rPr>
        <w:t>分别抑制</w:t>
      </w:r>
      <w:r w:rsidRPr="00D218BC">
        <w:rPr>
          <w:rFonts w:ascii="Arial" w:eastAsia="宋体" w:hAnsi="Arial" w:cs="Arial"/>
          <w:kern w:val="0"/>
          <w:sz w:val="20"/>
          <w:szCs w:val="20"/>
        </w:rPr>
        <w:t>CYP 3A4</w:t>
      </w:r>
      <w:r w:rsidRPr="00D218BC">
        <w:rPr>
          <w:rFonts w:ascii="Arial" w:eastAsia="宋体" w:hAnsi="Arial" w:cs="Arial"/>
          <w:kern w:val="0"/>
          <w:sz w:val="20"/>
          <w:szCs w:val="20"/>
        </w:rPr>
        <w:t>和</w:t>
      </w:r>
      <w:r w:rsidRPr="00D218BC">
        <w:rPr>
          <w:rFonts w:ascii="Arial" w:eastAsia="宋体" w:hAnsi="Arial" w:cs="Arial"/>
          <w:kern w:val="0"/>
          <w:sz w:val="20"/>
          <w:szCs w:val="20"/>
        </w:rPr>
        <w:t>CYP 2D6</w:t>
      </w:r>
      <w:proofErr w:type="gramStart"/>
      <w:r w:rsidRPr="00D218BC">
        <w:rPr>
          <w:rFonts w:ascii="Arial" w:eastAsia="宋体" w:hAnsi="Arial" w:cs="Arial"/>
          <w:kern w:val="0"/>
          <w:sz w:val="20"/>
          <w:szCs w:val="20"/>
        </w:rPr>
        <w:t>介</w:t>
      </w:r>
      <w:proofErr w:type="gramEnd"/>
      <w:r w:rsidRPr="00D218BC">
        <w:rPr>
          <w:rFonts w:ascii="Arial" w:eastAsia="宋体" w:hAnsi="Arial" w:cs="Arial"/>
          <w:kern w:val="0"/>
          <w:sz w:val="20"/>
          <w:szCs w:val="20"/>
        </w:rPr>
        <w:t>导的本药的代谢。</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处理：建议合用时本药剂量减半；停用酮康</w:t>
      </w:r>
      <w:proofErr w:type="gramStart"/>
      <w:r w:rsidRPr="00D218BC">
        <w:rPr>
          <w:rFonts w:ascii="Arial" w:eastAsia="宋体" w:hAnsi="Arial" w:cs="Arial"/>
          <w:kern w:val="0"/>
          <w:sz w:val="20"/>
          <w:szCs w:val="20"/>
        </w:rPr>
        <w:t>唑</w:t>
      </w:r>
      <w:proofErr w:type="gramEnd"/>
      <w:r w:rsidRPr="00D218BC">
        <w:rPr>
          <w:rFonts w:ascii="Arial" w:eastAsia="宋体" w:hAnsi="Arial" w:cs="Arial"/>
          <w:kern w:val="0"/>
          <w:sz w:val="20"/>
          <w:szCs w:val="20"/>
        </w:rPr>
        <w:t>或</w:t>
      </w:r>
      <w:proofErr w:type="gramStart"/>
      <w:r w:rsidRPr="00D218BC">
        <w:rPr>
          <w:rFonts w:ascii="Arial" w:eastAsia="宋体" w:hAnsi="Arial" w:cs="Arial"/>
          <w:kern w:val="0"/>
          <w:sz w:val="20"/>
          <w:szCs w:val="20"/>
        </w:rPr>
        <w:t>奎尼丁</w:t>
      </w:r>
      <w:proofErr w:type="gramEnd"/>
      <w:r w:rsidRPr="00D218BC">
        <w:rPr>
          <w:rFonts w:ascii="Arial" w:eastAsia="宋体" w:hAnsi="Arial" w:cs="Arial"/>
          <w:kern w:val="0"/>
          <w:sz w:val="20"/>
          <w:szCs w:val="20"/>
        </w:rPr>
        <w:t>后，</w:t>
      </w:r>
      <w:proofErr w:type="gramStart"/>
      <w:r w:rsidRPr="00D218BC">
        <w:rPr>
          <w:rFonts w:ascii="Arial" w:eastAsia="宋体" w:hAnsi="Arial" w:cs="Arial"/>
          <w:kern w:val="0"/>
          <w:sz w:val="20"/>
          <w:szCs w:val="20"/>
        </w:rPr>
        <w:t>本药需加量</w:t>
      </w:r>
      <w:proofErr w:type="gramEnd"/>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中枢神经系统抑制药：</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结果：合用可使中枢抑制增强。</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3.</w:t>
      </w:r>
      <w:r w:rsidRPr="00D218BC">
        <w:rPr>
          <w:rFonts w:ascii="Arial" w:eastAsia="宋体" w:hAnsi="Arial" w:cs="Arial"/>
          <w:kern w:val="0"/>
          <w:sz w:val="20"/>
          <w:szCs w:val="20"/>
        </w:rPr>
        <w:t>降压药：</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lastRenderedPageBreak/>
        <w:t>结果：本药可能增强某些降压药的降压作用。</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机制：本药拮抗</w:t>
      </w:r>
      <w:r w:rsidRPr="00D218BC">
        <w:rPr>
          <w:rFonts w:ascii="Arial" w:eastAsia="宋体" w:hAnsi="Arial" w:cs="Arial"/>
          <w:kern w:val="0"/>
          <w:sz w:val="20"/>
          <w:szCs w:val="20"/>
        </w:rPr>
        <w:t>α</w:t>
      </w:r>
      <w:r w:rsidRPr="00D218BC">
        <w:rPr>
          <w:rFonts w:ascii="Arial" w:eastAsia="宋体" w:hAnsi="Arial" w:cs="Arial"/>
          <w:kern w:val="0"/>
          <w:sz w:val="20"/>
          <w:szCs w:val="20"/>
          <w:vertAlign w:val="subscript"/>
        </w:rPr>
        <w:t>1</w:t>
      </w:r>
      <w:r w:rsidRPr="00D218BC">
        <w:rPr>
          <w:rFonts w:ascii="Arial" w:eastAsia="宋体" w:hAnsi="Arial" w:cs="Arial"/>
          <w:kern w:val="0"/>
          <w:sz w:val="20"/>
          <w:szCs w:val="20"/>
        </w:rPr>
        <w:t>-</w:t>
      </w:r>
      <w:r w:rsidRPr="00D218BC">
        <w:rPr>
          <w:rFonts w:ascii="Arial" w:eastAsia="宋体" w:hAnsi="Arial" w:cs="Arial"/>
          <w:kern w:val="0"/>
          <w:sz w:val="20"/>
          <w:szCs w:val="20"/>
        </w:rPr>
        <w:t>肾上腺素受体。</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4.CYP 3A4</w:t>
      </w:r>
      <w:r w:rsidRPr="00D218BC">
        <w:rPr>
          <w:rFonts w:ascii="Arial" w:eastAsia="宋体" w:hAnsi="Arial" w:cs="Arial"/>
          <w:kern w:val="0"/>
          <w:sz w:val="20"/>
          <w:szCs w:val="20"/>
        </w:rPr>
        <w:t>诱导药</w:t>
      </w:r>
      <w:r w:rsidRPr="00D218BC">
        <w:rPr>
          <w:rFonts w:ascii="Arial" w:eastAsia="宋体" w:hAnsi="Arial" w:cs="Arial"/>
          <w:kern w:val="0"/>
          <w:sz w:val="20"/>
          <w:szCs w:val="20"/>
        </w:rPr>
        <w:t>(</w:t>
      </w:r>
      <w:r w:rsidRPr="00D218BC">
        <w:rPr>
          <w:rFonts w:ascii="Arial" w:eastAsia="宋体" w:hAnsi="Arial" w:cs="Arial"/>
          <w:kern w:val="0"/>
          <w:sz w:val="20"/>
          <w:szCs w:val="20"/>
        </w:rPr>
        <w:t>如卡马西平</w:t>
      </w:r>
      <w:r w:rsidRPr="00D218BC">
        <w:rPr>
          <w:rFonts w:ascii="Arial" w:eastAsia="宋体" w:hAnsi="Arial" w:cs="Arial"/>
          <w:kern w:val="0"/>
          <w:sz w:val="20"/>
          <w:szCs w:val="20"/>
        </w:rPr>
        <w:t>)</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结果：合用可降低本药血药浓度。</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处理：有资料推荐合用时本药剂量需加倍，如停用卡马西平，本药则需减量。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5.</w:t>
      </w:r>
      <w:r w:rsidRPr="00D218BC">
        <w:rPr>
          <w:rFonts w:ascii="Arial" w:eastAsia="宋体" w:hAnsi="Arial" w:cs="Arial"/>
          <w:kern w:val="0"/>
          <w:sz w:val="20"/>
          <w:szCs w:val="20"/>
        </w:rPr>
        <w:t>法莫替丁、锂盐、</w:t>
      </w:r>
      <w:proofErr w:type="gramStart"/>
      <w:r w:rsidRPr="00D218BC">
        <w:rPr>
          <w:rFonts w:ascii="Arial" w:eastAsia="宋体" w:hAnsi="Arial" w:cs="Arial"/>
          <w:kern w:val="0"/>
          <w:sz w:val="20"/>
          <w:szCs w:val="20"/>
        </w:rPr>
        <w:t>丙戊</w:t>
      </w:r>
      <w:proofErr w:type="gramEnd"/>
      <w:r w:rsidRPr="00D218BC">
        <w:rPr>
          <w:rFonts w:ascii="Arial" w:eastAsia="宋体" w:hAnsi="Arial" w:cs="Arial"/>
          <w:kern w:val="0"/>
          <w:sz w:val="20"/>
          <w:szCs w:val="20"/>
        </w:rPr>
        <w:t>酸钠：</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结果：以上药物对本药的药代动力学参数无显著临床影响。</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6.CYP 2D6</w:t>
      </w:r>
      <w:r w:rsidRPr="00D218BC">
        <w:rPr>
          <w:rFonts w:ascii="Arial" w:eastAsia="宋体" w:hAnsi="Arial" w:cs="Arial"/>
          <w:kern w:val="0"/>
          <w:sz w:val="20"/>
          <w:szCs w:val="20"/>
        </w:rPr>
        <w:t>底物、</w:t>
      </w:r>
      <w:r w:rsidRPr="00D218BC">
        <w:rPr>
          <w:rFonts w:ascii="Arial" w:eastAsia="宋体" w:hAnsi="Arial" w:cs="Arial"/>
          <w:kern w:val="0"/>
          <w:sz w:val="20"/>
          <w:szCs w:val="20"/>
        </w:rPr>
        <w:t>CYP 3A4</w:t>
      </w:r>
      <w:r w:rsidRPr="00D218BC">
        <w:rPr>
          <w:rFonts w:ascii="Arial" w:eastAsia="宋体" w:hAnsi="Arial" w:cs="Arial"/>
          <w:kern w:val="0"/>
          <w:sz w:val="20"/>
          <w:szCs w:val="20"/>
        </w:rPr>
        <w:t>底物</w:t>
      </w:r>
      <w:r w:rsidRPr="00D218BC">
        <w:rPr>
          <w:rFonts w:ascii="Arial" w:eastAsia="宋体" w:hAnsi="Arial" w:cs="Arial"/>
          <w:kern w:val="0"/>
          <w:sz w:val="20"/>
          <w:szCs w:val="20"/>
        </w:rPr>
        <w:t>(</w:t>
      </w:r>
      <w:r w:rsidRPr="00D218BC">
        <w:rPr>
          <w:rFonts w:ascii="Arial" w:eastAsia="宋体" w:hAnsi="Arial" w:cs="Arial"/>
          <w:kern w:val="0"/>
          <w:sz w:val="20"/>
          <w:szCs w:val="20"/>
        </w:rPr>
        <w:t>如</w:t>
      </w:r>
      <w:proofErr w:type="gramStart"/>
      <w:r w:rsidRPr="00D218BC">
        <w:rPr>
          <w:rFonts w:ascii="Arial" w:eastAsia="宋体" w:hAnsi="Arial" w:cs="Arial"/>
          <w:kern w:val="0"/>
          <w:sz w:val="20"/>
          <w:szCs w:val="20"/>
        </w:rPr>
        <w:t>右美沙芬</w:t>
      </w:r>
      <w:proofErr w:type="gramEnd"/>
      <w:r w:rsidRPr="00D218BC">
        <w:rPr>
          <w:rFonts w:ascii="Arial" w:eastAsia="宋体" w:hAnsi="Arial" w:cs="Arial"/>
          <w:kern w:val="0"/>
          <w:sz w:val="20"/>
          <w:szCs w:val="20"/>
        </w:rPr>
        <w:t>)</w:t>
      </w:r>
      <w:r w:rsidRPr="00D218BC">
        <w:rPr>
          <w:rFonts w:ascii="Arial" w:eastAsia="宋体" w:hAnsi="Arial" w:cs="Arial"/>
          <w:kern w:val="0"/>
          <w:sz w:val="20"/>
          <w:szCs w:val="20"/>
        </w:rPr>
        <w:t>、</w:t>
      </w:r>
      <w:r w:rsidRPr="00D218BC">
        <w:rPr>
          <w:rFonts w:ascii="Arial" w:eastAsia="宋体" w:hAnsi="Arial" w:cs="Arial"/>
          <w:kern w:val="0"/>
          <w:sz w:val="20"/>
          <w:szCs w:val="20"/>
        </w:rPr>
        <w:t>CYP 2C9</w:t>
      </w:r>
      <w:r w:rsidRPr="00D218BC">
        <w:rPr>
          <w:rFonts w:ascii="Arial" w:eastAsia="宋体" w:hAnsi="Arial" w:cs="Arial"/>
          <w:kern w:val="0"/>
          <w:sz w:val="20"/>
          <w:szCs w:val="20"/>
        </w:rPr>
        <w:t>底物</w:t>
      </w:r>
      <w:r w:rsidRPr="00D218BC">
        <w:rPr>
          <w:rFonts w:ascii="Arial" w:eastAsia="宋体" w:hAnsi="Arial" w:cs="Arial"/>
          <w:kern w:val="0"/>
          <w:sz w:val="20"/>
          <w:szCs w:val="20"/>
        </w:rPr>
        <w:t>(</w:t>
      </w:r>
      <w:r w:rsidRPr="00D218BC">
        <w:rPr>
          <w:rFonts w:ascii="Arial" w:eastAsia="宋体" w:hAnsi="Arial" w:cs="Arial"/>
          <w:kern w:val="0"/>
          <w:sz w:val="20"/>
          <w:szCs w:val="20"/>
        </w:rPr>
        <w:t>如华法林</w:t>
      </w:r>
      <w:r w:rsidRPr="00D218BC">
        <w:rPr>
          <w:rFonts w:ascii="Arial" w:eastAsia="宋体" w:hAnsi="Arial" w:cs="Arial"/>
          <w:kern w:val="0"/>
          <w:sz w:val="20"/>
          <w:szCs w:val="20"/>
        </w:rPr>
        <w:t>)</w:t>
      </w:r>
      <w:r w:rsidRPr="00D218BC">
        <w:rPr>
          <w:rFonts w:ascii="Arial" w:eastAsia="宋体" w:hAnsi="Arial" w:cs="Arial"/>
          <w:kern w:val="0"/>
          <w:sz w:val="20"/>
          <w:szCs w:val="20"/>
        </w:rPr>
        <w:t>、</w:t>
      </w:r>
      <w:r w:rsidRPr="00D218BC">
        <w:rPr>
          <w:rFonts w:ascii="Arial" w:eastAsia="宋体" w:hAnsi="Arial" w:cs="Arial"/>
          <w:kern w:val="0"/>
          <w:sz w:val="20"/>
          <w:szCs w:val="20"/>
        </w:rPr>
        <w:t>CYP 2C19</w:t>
      </w:r>
      <w:r w:rsidRPr="00D218BC">
        <w:rPr>
          <w:rFonts w:ascii="Arial" w:eastAsia="宋体" w:hAnsi="Arial" w:cs="Arial"/>
          <w:kern w:val="0"/>
          <w:sz w:val="20"/>
          <w:szCs w:val="20"/>
        </w:rPr>
        <w:t>底物</w:t>
      </w:r>
      <w:r w:rsidRPr="00D218BC">
        <w:rPr>
          <w:rFonts w:ascii="Arial" w:eastAsia="宋体" w:hAnsi="Arial" w:cs="Arial"/>
          <w:kern w:val="0"/>
          <w:sz w:val="20"/>
          <w:szCs w:val="20"/>
        </w:rPr>
        <w:t>(</w:t>
      </w:r>
      <w:r w:rsidRPr="00D218BC">
        <w:rPr>
          <w:rFonts w:ascii="Arial" w:eastAsia="宋体" w:hAnsi="Arial" w:cs="Arial"/>
          <w:kern w:val="0"/>
          <w:sz w:val="20"/>
          <w:szCs w:val="20"/>
        </w:rPr>
        <w:t>如奥美拉</w:t>
      </w:r>
      <w:proofErr w:type="gramStart"/>
      <w:r w:rsidRPr="00D218BC">
        <w:rPr>
          <w:rFonts w:ascii="Arial" w:eastAsia="宋体" w:hAnsi="Arial" w:cs="Arial"/>
          <w:kern w:val="0"/>
          <w:sz w:val="20"/>
          <w:szCs w:val="20"/>
        </w:rPr>
        <w:t>唑</w:t>
      </w:r>
      <w:proofErr w:type="gramEnd"/>
      <w:r w:rsidRPr="00D218BC">
        <w:rPr>
          <w:rFonts w:ascii="Arial" w:eastAsia="宋体" w:hAnsi="Arial" w:cs="Arial"/>
          <w:kern w:val="0"/>
          <w:sz w:val="20"/>
          <w:szCs w:val="20"/>
        </w:rPr>
        <w:t>、华法林</w:t>
      </w:r>
      <w:r w:rsidRPr="00D218BC">
        <w:rPr>
          <w:rFonts w:ascii="Arial" w:eastAsia="宋体" w:hAnsi="Arial" w:cs="Arial"/>
          <w:kern w:val="0"/>
          <w:sz w:val="20"/>
          <w:szCs w:val="20"/>
        </w:rPr>
        <w:t>)</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结果：不会影响以上药物的代谢。</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药物</w:t>
      </w:r>
      <w:r w:rsidRPr="00D218BC">
        <w:rPr>
          <w:rFonts w:ascii="Arial" w:eastAsia="宋体" w:hAnsi="Arial" w:cs="Arial"/>
          <w:b/>
          <w:bCs/>
          <w:kern w:val="0"/>
          <w:sz w:val="20"/>
          <w:szCs w:val="20"/>
        </w:rPr>
        <w:t>-</w:t>
      </w:r>
      <w:r w:rsidRPr="00D218BC">
        <w:rPr>
          <w:rFonts w:ascii="Arial" w:eastAsia="宋体" w:hAnsi="Arial" w:cs="Arial"/>
          <w:b/>
          <w:bCs/>
          <w:kern w:val="0"/>
          <w:sz w:val="20"/>
          <w:szCs w:val="20"/>
        </w:rPr>
        <w:t>酒精</w:t>
      </w:r>
      <w:r w:rsidRPr="00D218BC">
        <w:rPr>
          <w:rFonts w:ascii="Arial" w:eastAsia="宋体" w:hAnsi="Arial" w:cs="Arial"/>
          <w:b/>
          <w:bCs/>
          <w:kern w:val="0"/>
          <w:sz w:val="20"/>
          <w:szCs w:val="20"/>
        </w:rPr>
        <w:t>/</w:t>
      </w:r>
      <w:r w:rsidRPr="00D218BC">
        <w:rPr>
          <w:rFonts w:ascii="Arial" w:eastAsia="宋体" w:hAnsi="Arial" w:cs="Arial"/>
          <w:b/>
          <w:bCs/>
          <w:kern w:val="0"/>
          <w:sz w:val="20"/>
          <w:szCs w:val="20"/>
        </w:rPr>
        <w:t>尼古丁相互作用</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酒精：</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结果：本药与酒精合用有发生中枢神经系统不良反应的风险。</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处理：合用应谨慎。</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药物</w:t>
      </w:r>
      <w:r w:rsidRPr="00D218BC">
        <w:rPr>
          <w:rFonts w:ascii="Arial" w:eastAsia="宋体" w:hAnsi="Arial" w:cs="Arial"/>
          <w:b/>
          <w:bCs/>
          <w:kern w:val="0"/>
          <w:sz w:val="20"/>
          <w:szCs w:val="20"/>
        </w:rPr>
        <w:t>-</w:t>
      </w:r>
      <w:r w:rsidRPr="00D218BC">
        <w:rPr>
          <w:rFonts w:ascii="Arial" w:eastAsia="宋体" w:hAnsi="Arial" w:cs="Arial"/>
          <w:b/>
          <w:bCs/>
          <w:kern w:val="0"/>
          <w:sz w:val="20"/>
          <w:szCs w:val="20"/>
        </w:rPr>
        <w:t>食物相互作用</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食物：</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结果：进食时服用本药，阿立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和</w:t>
      </w:r>
      <w:proofErr w:type="gramStart"/>
      <w:r w:rsidRPr="00D218BC">
        <w:rPr>
          <w:rFonts w:ascii="Arial" w:eastAsia="宋体" w:hAnsi="Arial" w:cs="Arial"/>
          <w:kern w:val="0"/>
          <w:sz w:val="20"/>
          <w:szCs w:val="20"/>
        </w:rPr>
        <w:t>脱氢阿立哌唑的血药</w:t>
      </w:r>
      <w:proofErr w:type="gramEnd"/>
      <w:r w:rsidRPr="00D218BC">
        <w:rPr>
          <w:rFonts w:ascii="Arial" w:eastAsia="宋体" w:hAnsi="Arial" w:cs="Arial"/>
          <w:kern w:val="0"/>
          <w:sz w:val="20"/>
          <w:szCs w:val="20"/>
        </w:rPr>
        <w:t>峰浓度及曲线下面积</w:t>
      </w:r>
      <w:r w:rsidRPr="00D218BC">
        <w:rPr>
          <w:rFonts w:ascii="Arial" w:eastAsia="宋体" w:hAnsi="Arial" w:cs="Arial"/>
          <w:kern w:val="0"/>
          <w:sz w:val="20"/>
          <w:szCs w:val="20"/>
        </w:rPr>
        <w:t>(AUC)</w:t>
      </w:r>
      <w:r w:rsidRPr="00D218BC">
        <w:rPr>
          <w:rFonts w:ascii="Arial" w:eastAsia="宋体" w:hAnsi="Arial" w:cs="Arial"/>
          <w:kern w:val="0"/>
          <w:sz w:val="20"/>
          <w:szCs w:val="20"/>
        </w:rPr>
        <w:t>均无显著改变，</w:t>
      </w:r>
      <w:proofErr w:type="gramStart"/>
      <w:r w:rsidRPr="00D218BC">
        <w:rPr>
          <w:rFonts w:ascii="Arial" w:eastAsia="宋体" w:hAnsi="Arial" w:cs="Arial"/>
          <w:kern w:val="0"/>
          <w:sz w:val="20"/>
          <w:szCs w:val="20"/>
        </w:rPr>
        <w:t>但达峰时间</w:t>
      </w:r>
      <w:proofErr w:type="gramEnd"/>
      <w:r w:rsidRPr="00D218BC">
        <w:rPr>
          <w:rFonts w:ascii="Arial" w:eastAsia="宋体" w:hAnsi="Arial" w:cs="Arial"/>
          <w:kern w:val="0"/>
          <w:sz w:val="20"/>
          <w:szCs w:val="20"/>
        </w:rPr>
        <w:t>分别延迟</w:t>
      </w:r>
      <w:r w:rsidRPr="00D218BC">
        <w:rPr>
          <w:rFonts w:ascii="Arial" w:eastAsia="宋体" w:hAnsi="Arial" w:cs="Arial"/>
          <w:kern w:val="0"/>
          <w:sz w:val="20"/>
          <w:szCs w:val="20"/>
        </w:rPr>
        <w:t>3</w:t>
      </w:r>
      <w:r w:rsidRPr="00D218BC">
        <w:rPr>
          <w:rFonts w:ascii="Arial" w:eastAsia="宋体" w:hAnsi="Arial" w:cs="Arial"/>
          <w:kern w:val="0"/>
          <w:sz w:val="20"/>
          <w:szCs w:val="20"/>
        </w:rPr>
        <w:t>小时和</w:t>
      </w:r>
      <w:r w:rsidRPr="00D218BC">
        <w:rPr>
          <w:rFonts w:ascii="Arial" w:eastAsia="宋体" w:hAnsi="Arial" w:cs="Arial"/>
          <w:kern w:val="0"/>
          <w:sz w:val="20"/>
          <w:szCs w:val="20"/>
        </w:rPr>
        <w:t>12</w:t>
      </w:r>
      <w:r w:rsidRPr="00D218BC">
        <w:rPr>
          <w:rFonts w:ascii="Arial" w:eastAsia="宋体" w:hAnsi="Arial" w:cs="Arial"/>
          <w:kern w:val="0"/>
          <w:sz w:val="20"/>
          <w:szCs w:val="20"/>
        </w:rPr>
        <w:t>小时。</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【注意事项】</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用药警示</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治疗期间，应监测精神分裂症阳性和阴性症状的缓解情况及药物的不良反应。注意患者是否出现锥体外系症状和迟发性运动障碍的早期征象</w:t>
      </w:r>
      <w:r w:rsidRPr="00D218BC">
        <w:rPr>
          <w:rFonts w:ascii="Arial" w:eastAsia="宋体" w:hAnsi="Arial" w:cs="Arial"/>
          <w:kern w:val="0"/>
          <w:sz w:val="20"/>
          <w:szCs w:val="20"/>
        </w:rPr>
        <w:t>(</w:t>
      </w:r>
      <w:r w:rsidRPr="00D218BC">
        <w:rPr>
          <w:rFonts w:ascii="Arial" w:eastAsia="宋体" w:hAnsi="Arial" w:cs="Arial"/>
          <w:kern w:val="0"/>
          <w:sz w:val="20"/>
          <w:szCs w:val="20"/>
        </w:rPr>
        <w:t>如舌</w:t>
      </w:r>
      <w:proofErr w:type="gramStart"/>
      <w:r w:rsidRPr="00D218BC">
        <w:rPr>
          <w:rFonts w:ascii="Arial" w:eastAsia="宋体" w:hAnsi="Arial" w:cs="Arial"/>
          <w:kern w:val="0"/>
          <w:sz w:val="20"/>
          <w:szCs w:val="20"/>
        </w:rPr>
        <w:t>蠕虫样动</w:t>
      </w:r>
      <w:proofErr w:type="gramEnd"/>
      <w:r w:rsidRPr="00D218BC">
        <w:rPr>
          <w:rFonts w:ascii="Arial" w:eastAsia="宋体" w:hAnsi="Arial" w:cs="Arial"/>
          <w:kern w:val="0"/>
          <w:sz w:val="20"/>
          <w:szCs w:val="20"/>
        </w:rPr>
        <w:t>)</w:t>
      </w:r>
      <w:r w:rsidRPr="00D218BC">
        <w:rPr>
          <w:rFonts w:ascii="Arial" w:eastAsia="宋体" w:hAnsi="Arial" w:cs="Arial"/>
          <w:kern w:val="0"/>
          <w:sz w:val="20"/>
          <w:szCs w:val="20"/>
        </w:rPr>
        <w:t>。此外，还应注意监测顽固性呕吐、嗜睡、体位性眩晕、心悸、排尿障碍、情绪改变、性功能障碍、皮疹等。</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应监测糖尿病患者的高血糖症状和体征</w:t>
      </w:r>
      <w:r w:rsidRPr="00D218BC">
        <w:rPr>
          <w:rFonts w:ascii="Arial" w:eastAsia="宋体" w:hAnsi="Arial" w:cs="Arial"/>
          <w:kern w:val="0"/>
          <w:sz w:val="20"/>
          <w:szCs w:val="20"/>
        </w:rPr>
        <w:t>(</w:t>
      </w:r>
      <w:r w:rsidRPr="00D218BC">
        <w:rPr>
          <w:rFonts w:ascii="Arial" w:eastAsia="宋体" w:hAnsi="Arial" w:cs="Arial"/>
          <w:kern w:val="0"/>
          <w:sz w:val="20"/>
          <w:szCs w:val="20"/>
        </w:rPr>
        <w:t>如多饮、多尿、多食和软弱无力</w:t>
      </w:r>
      <w:r w:rsidRPr="00D218BC">
        <w:rPr>
          <w:rFonts w:ascii="Arial" w:eastAsia="宋体" w:hAnsi="Arial" w:cs="Arial"/>
          <w:kern w:val="0"/>
          <w:sz w:val="20"/>
          <w:szCs w:val="20"/>
        </w:rPr>
        <w:t>)</w:t>
      </w:r>
      <w:r w:rsidRPr="00D218BC">
        <w:rPr>
          <w:rFonts w:ascii="Arial" w:eastAsia="宋体" w:hAnsi="Arial" w:cs="Arial"/>
          <w:kern w:val="0"/>
          <w:sz w:val="20"/>
          <w:szCs w:val="20"/>
        </w:rPr>
        <w:t>，以避免血糖控制情况恶化。</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lastRenderedPageBreak/>
        <w:t>3.</w:t>
      </w:r>
      <w:r w:rsidRPr="00D218BC">
        <w:rPr>
          <w:rFonts w:ascii="Arial" w:eastAsia="宋体" w:hAnsi="Arial" w:cs="Arial"/>
          <w:kern w:val="0"/>
          <w:sz w:val="20"/>
          <w:szCs w:val="20"/>
        </w:rPr>
        <w:t>用药后可出现嗜睡，不宜驾驶或操作机械。</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不良反应的处理方法</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一旦出现迟发性运动障碍应立即停药。</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用药前后及用药时应当检查或监测</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定期检查血常规。</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定期检查血压和心率，尤其是对心血管疾病患者。</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3.</w:t>
      </w:r>
      <w:r w:rsidRPr="00D218BC">
        <w:rPr>
          <w:rFonts w:ascii="Arial" w:eastAsia="宋体" w:hAnsi="Arial" w:cs="Arial"/>
          <w:kern w:val="0"/>
          <w:sz w:val="20"/>
          <w:szCs w:val="20"/>
        </w:rPr>
        <w:t>对糖尿病易患者</w:t>
      </w:r>
      <w:r w:rsidRPr="00D218BC">
        <w:rPr>
          <w:rFonts w:ascii="Arial" w:eastAsia="宋体" w:hAnsi="Arial" w:cs="Arial"/>
          <w:kern w:val="0"/>
          <w:sz w:val="20"/>
          <w:szCs w:val="20"/>
        </w:rPr>
        <w:t>(</w:t>
      </w:r>
      <w:r w:rsidRPr="00D218BC">
        <w:rPr>
          <w:rFonts w:ascii="Arial" w:eastAsia="宋体" w:hAnsi="Arial" w:cs="Arial"/>
          <w:kern w:val="0"/>
          <w:sz w:val="20"/>
          <w:szCs w:val="20"/>
        </w:rPr>
        <w:t>如肥胖、有家族糖尿病史</w:t>
      </w:r>
      <w:r w:rsidRPr="00D218BC">
        <w:rPr>
          <w:rFonts w:ascii="Arial" w:eastAsia="宋体" w:hAnsi="Arial" w:cs="Arial"/>
          <w:kern w:val="0"/>
          <w:sz w:val="20"/>
          <w:szCs w:val="20"/>
        </w:rPr>
        <w:t>)</w:t>
      </w:r>
      <w:r w:rsidRPr="00D218BC">
        <w:rPr>
          <w:rFonts w:ascii="Arial" w:eastAsia="宋体" w:hAnsi="Arial" w:cs="Arial"/>
          <w:kern w:val="0"/>
          <w:sz w:val="20"/>
          <w:szCs w:val="20"/>
        </w:rPr>
        <w:t>，应在开始治疗前和治疗期间定期进行空腹血糖检测。</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4.</w:t>
      </w:r>
      <w:r w:rsidRPr="00D218BC">
        <w:rPr>
          <w:rFonts w:ascii="Arial" w:eastAsia="宋体" w:hAnsi="Arial" w:cs="Arial"/>
          <w:kern w:val="0"/>
          <w:sz w:val="20"/>
          <w:szCs w:val="20"/>
        </w:rPr>
        <w:t>应于治疗前、治疗第</w:t>
      </w:r>
      <w:r w:rsidRPr="00D218BC">
        <w:rPr>
          <w:rFonts w:ascii="Arial" w:eastAsia="宋体" w:hAnsi="Arial" w:cs="Arial"/>
          <w:kern w:val="0"/>
          <w:sz w:val="20"/>
          <w:szCs w:val="20"/>
        </w:rPr>
        <w:t>4</w:t>
      </w:r>
      <w:r w:rsidRPr="00D218BC">
        <w:rPr>
          <w:rFonts w:ascii="Arial" w:eastAsia="宋体" w:hAnsi="Arial" w:cs="Arial"/>
          <w:kern w:val="0"/>
          <w:sz w:val="20"/>
          <w:szCs w:val="20"/>
        </w:rPr>
        <w:t>周、第</w:t>
      </w:r>
      <w:r w:rsidRPr="00D218BC">
        <w:rPr>
          <w:rFonts w:ascii="Arial" w:eastAsia="宋体" w:hAnsi="Arial" w:cs="Arial"/>
          <w:kern w:val="0"/>
          <w:sz w:val="20"/>
          <w:szCs w:val="20"/>
        </w:rPr>
        <w:t>8</w:t>
      </w:r>
      <w:r w:rsidRPr="00D218BC">
        <w:rPr>
          <w:rFonts w:ascii="Arial" w:eastAsia="宋体" w:hAnsi="Arial" w:cs="Arial"/>
          <w:kern w:val="0"/>
          <w:sz w:val="20"/>
          <w:szCs w:val="20"/>
        </w:rPr>
        <w:t>周、第</w:t>
      </w:r>
      <w:r w:rsidRPr="00D218BC">
        <w:rPr>
          <w:rFonts w:ascii="Arial" w:eastAsia="宋体" w:hAnsi="Arial" w:cs="Arial"/>
          <w:kern w:val="0"/>
          <w:sz w:val="20"/>
          <w:szCs w:val="20"/>
        </w:rPr>
        <w:t>12</w:t>
      </w:r>
      <w:r w:rsidRPr="00D218BC">
        <w:rPr>
          <w:rFonts w:ascii="Arial" w:eastAsia="宋体" w:hAnsi="Arial" w:cs="Arial"/>
          <w:kern w:val="0"/>
          <w:sz w:val="20"/>
          <w:szCs w:val="20"/>
        </w:rPr>
        <w:t>周监测体重，然后每季度监测</w:t>
      </w:r>
      <w:r w:rsidRPr="00D218BC">
        <w:rPr>
          <w:rFonts w:ascii="Arial" w:eastAsia="宋体" w:hAnsi="Arial" w:cs="Arial"/>
          <w:kern w:val="0"/>
          <w:sz w:val="20"/>
          <w:szCs w:val="20"/>
        </w:rPr>
        <w:t>1</w:t>
      </w:r>
      <w:r w:rsidRPr="00D218BC">
        <w:rPr>
          <w:rFonts w:ascii="Arial" w:eastAsia="宋体" w:hAnsi="Arial" w:cs="Arial"/>
          <w:kern w:val="0"/>
          <w:sz w:val="20"/>
          <w:szCs w:val="20"/>
        </w:rPr>
        <w:t>次。对体重较初始重量增加大于或等于</w:t>
      </w:r>
      <w:r w:rsidRPr="00D218BC">
        <w:rPr>
          <w:rFonts w:ascii="Arial" w:eastAsia="宋体" w:hAnsi="Arial" w:cs="Arial"/>
          <w:kern w:val="0"/>
          <w:sz w:val="20"/>
          <w:szCs w:val="20"/>
        </w:rPr>
        <w:t>5%</w:t>
      </w:r>
      <w:r w:rsidRPr="00D218BC">
        <w:rPr>
          <w:rFonts w:ascii="Arial" w:eastAsia="宋体" w:hAnsi="Arial" w:cs="Arial"/>
          <w:kern w:val="0"/>
          <w:sz w:val="20"/>
          <w:szCs w:val="20"/>
        </w:rPr>
        <w:t>者，考虑更换其他不同的抗精神病药物。</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5.</w:t>
      </w:r>
      <w:r w:rsidRPr="00D218BC">
        <w:rPr>
          <w:rFonts w:ascii="Arial" w:eastAsia="宋体" w:hAnsi="Arial" w:cs="Arial"/>
          <w:kern w:val="0"/>
          <w:sz w:val="20"/>
          <w:szCs w:val="20"/>
        </w:rPr>
        <w:t>监测生命体征、精神状况、异常不自主运动评定量表</w:t>
      </w:r>
      <w:r w:rsidRPr="00D218BC">
        <w:rPr>
          <w:rFonts w:ascii="Arial" w:eastAsia="宋体" w:hAnsi="Arial" w:cs="Arial"/>
          <w:kern w:val="0"/>
          <w:sz w:val="20"/>
          <w:szCs w:val="20"/>
        </w:rPr>
        <w:t>(AIMS)</w:t>
      </w:r>
      <w:r w:rsidRPr="00D218BC">
        <w:rPr>
          <w:rFonts w:ascii="Arial" w:eastAsia="宋体" w:hAnsi="Arial" w:cs="Arial"/>
          <w:kern w:val="0"/>
          <w:sz w:val="20"/>
          <w:szCs w:val="20"/>
        </w:rPr>
        <w:t>、</w:t>
      </w:r>
      <w:r w:rsidRPr="00D218BC">
        <w:rPr>
          <w:rFonts w:ascii="Arial" w:eastAsia="宋体" w:hAnsi="Arial" w:cs="Arial"/>
          <w:kern w:val="0"/>
          <w:sz w:val="20"/>
          <w:szCs w:val="20"/>
        </w:rPr>
        <w:t>EPS</w:t>
      </w:r>
      <w:r w:rsidRPr="00D218BC">
        <w:rPr>
          <w:rFonts w:ascii="Arial" w:eastAsia="宋体" w:hAnsi="Arial" w:cs="Arial"/>
          <w:kern w:val="0"/>
          <w:sz w:val="20"/>
          <w:szCs w:val="20"/>
        </w:rPr>
        <w:t>症状。</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【国外专科用药信息参考】</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牙科用药信息</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与牙科治疗有关的主要不良反应事件为：</w:t>
      </w:r>
      <w:r w:rsidRPr="00D218BC">
        <w:rPr>
          <w:rFonts w:ascii="Arial" w:eastAsia="宋体" w:hAnsi="Arial" w:cs="Arial"/>
          <w:kern w:val="0"/>
          <w:sz w:val="20"/>
          <w:szCs w:val="20"/>
        </w:rPr>
        <w:t>EPS(</w:t>
      </w:r>
      <w:r w:rsidRPr="00D218BC">
        <w:rPr>
          <w:rFonts w:ascii="Arial" w:eastAsia="宋体" w:hAnsi="Arial" w:cs="Arial"/>
          <w:kern w:val="0"/>
          <w:sz w:val="20"/>
          <w:szCs w:val="20"/>
        </w:rPr>
        <w:t>与安慰剂组相似</w:t>
      </w:r>
      <w:r w:rsidRPr="00D218BC">
        <w:rPr>
          <w:rFonts w:ascii="Arial" w:eastAsia="宋体" w:hAnsi="Arial" w:cs="Arial"/>
          <w:kern w:val="0"/>
          <w:sz w:val="20"/>
          <w:szCs w:val="20"/>
        </w:rPr>
        <w:t>)</w:t>
      </w:r>
      <w:r w:rsidRPr="00D218BC">
        <w:rPr>
          <w:rFonts w:ascii="Arial" w:eastAsia="宋体" w:hAnsi="Arial" w:cs="Arial"/>
          <w:kern w:val="0"/>
          <w:sz w:val="20"/>
          <w:szCs w:val="20"/>
        </w:rPr>
        <w:t>；口腔干燥以及唾液分泌改变</w:t>
      </w:r>
      <w:r w:rsidRPr="00D218BC">
        <w:rPr>
          <w:rFonts w:ascii="Arial" w:eastAsia="宋体" w:hAnsi="Arial" w:cs="Arial"/>
          <w:kern w:val="0"/>
          <w:sz w:val="20"/>
          <w:szCs w:val="20"/>
        </w:rPr>
        <w:t>(</w:t>
      </w:r>
      <w:r w:rsidRPr="00D218BC">
        <w:rPr>
          <w:rFonts w:ascii="Arial" w:eastAsia="宋体" w:hAnsi="Arial" w:cs="Arial"/>
          <w:kern w:val="0"/>
          <w:sz w:val="20"/>
          <w:szCs w:val="20"/>
        </w:rPr>
        <w:t>停药后唾液分泌恢复正常</w:t>
      </w:r>
      <w:r w:rsidRPr="00D218BC">
        <w:rPr>
          <w:rFonts w:ascii="Arial" w:eastAsia="宋体" w:hAnsi="Arial" w:cs="Arial"/>
          <w:kern w:val="0"/>
          <w:sz w:val="20"/>
          <w:szCs w:val="20"/>
        </w:rPr>
        <w:t>)</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本药引发</w:t>
      </w:r>
      <w:r w:rsidRPr="00D218BC">
        <w:rPr>
          <w:rFonts w:ascii="Arial" w:eastAsia="宋体" w:hAnsi="Arial" w:cs="Arial"/>
          <w:kern w:val="0"/>
          <w:sz w:val="20"/>
          <w:szCs w:val="20"/>
        </w:rPr>
        <w:t>EPS(</w:t>
      </w:r>
      <w:proofErr w:type="gramStart"/>
      <w:r w:rsidRPr="00D218BC">
        <w:rPr>
          <w:rFonts w:ascii="Arial" w:eastAsia="宋体" w:hAnsi="Arial" w:cs="Arial"/>
          <w:kern w:val="0"/>
          <w:sz w:val="20"/>
          <w:szCs w:val="20"/>
        </w:rPr>
        <w:t>如伪帕金</w:t>
      </w:r>
      <w:proofErr w:type="gramEnd"/>
      <w:r w:rsidRPr="00D218BC">
        <w:rPr>
          <w:rFonts w:ascii="Arial" w:eastAsia="宋体" w:hAnsi="Arial" w:cs="Arial"/>
          <w:kern w:val="0"/>
          <w:sz w:val="20"/>
          <w:szCs w:val="20"/>
        </w:rPr>
        <w:t>森症、急性肌张力障碍、静坐不能以及迟发性运动障碍</w:t>
      </w:r>
      <w:r w:rsidRPr="00D218BC">
        <w:rPr>
          <w:rFonts w:ascii="Arial" w:eastAsia="宋体" w:hAnsi="Arial" w:cs="Arial"/>
          <w:kern w:val="0"/>
          <w:sz w:val="20"/>
          <w:szCs w:val="20"/>
        </w:rPr>
        <w:t>)</w:t>
      </w:r>
      <w:r w:rsidRPr="00D218BC">
        <w:rPr>
          <w:rFonts w:ascii="Arial" w:eastAsia="宋体" w:hAnsi="Arial" w:cs="Arial"/>
          <w:kern w:val="0"/>
          <w:sz w:val="20"/>
          <w:szCs w:val="20"/>
        </w:rPr>
        <w:t>的风险低，并且所报告的发生率与安慰剂组相似。</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3.</w:t>
      </w:r>
      <w:r w:rsidRPr="00D218BC">
        <w:rPr>
          <w:rFonts w:ascii="Arial" w:eastAsia="宋体" w:hAnsi="Arial" w:cs="Arial"/>
          <w:kern w:val="0"/>
          <w:sz w:val="20"/>
          <w:szCs w:val="20"/>
        </w:rPr>
        <w:t>本药可能与抗精神病药物恶性综合征</w:t>
      </w:r>
      <w:r w:rsidRPr="00D218BC">
        <w:rPr>
          <w:rFonts w:ascii="Arial" w:eastAsia="宋体" w:hAnsi="Arial" w:cs="Arial"/>
          <w:kern w:val="0"/>
          <w:sz w:val="20"/>
          <w:szCs w:val="20"/>
        </w:rPr>
        <w:t>(NMS)</w:t>
      </w:r>
      <w:r w:rsidRPr="00D218BC">
        <w:rPr>
          <w:rFonts w:ascii="Arial" w:eastAsia="宋体" w:hAnsi="Arial" w:cs="Arial"/>
          <w:kern w:val="0"/>
          <w:sz w:val="20"/>
          <w:szCs w:val="20"/>
        </w:rPr>
        <w:t>相关。</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精神状况信息</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本药为一种用于治疗非典型精神病的药物。当抗精神病的效果逐渐依赖于药物剂量时，不会表现出显著的急性或亚急性</w:t>
      </w:r>
      <w:r w:rsidRPr="00D218BC">
        <w:rPr>
          <w:rFonts w:ascii="Arial" w:eastAsia="宋体" w:hAnsi="Arial" w:cs="Arial"/>
          <w:kern w:val="0"/>
          <w:sz w:val="20"/>
          <w:szCs w:val="20"/>
        </w:rPr>
        <w:t>EPS</w:t>
      </w:r>
      <w:r w:rsidRPr="00D218BC">
        <w:rPr>
          <w:rFonts w:ascii="Arial" w:eastAsia="宋体" w:hAnsi="Arial" w:cs="Arial"/>
          <w:kern w:val="0"/>
          <w:sz w:val="20"/>
          <w:szCs w:val="20"/>
        </w:rPr>
        <w:t>症状。</w:t>
      </w:r>
      <w:proofErr w:type="gramStart"/>
      <w:r w:rsidRPr="00D218BC">
        <w:rPr>
          <w:rFonts w:ascii="Arial" w:eastAsia="宋体" w:hAnsi="Arial" w:cs="Arial"/>
          <w:kern w:val="0"/>
          <w:sz w:val="20"/>
          <w:szCs w:val="20"/>
        </w:rPr>
        <w:t>当用于</w:t>
      </w:r>
      <w:proofErr w:type="gramEnd"/>
      <w:r w:rsidRPr="00D218BC">
        <w:rPr>
          <w:rFonts w:ascii="Arial" w:eastAsia="宋体" w:hAnsi="Arial" w:cs="Arial"/>
          <w:kern w:val="0"/>
          <w:sz w:val="20"/>
          <w:szCs w:val="20"/>
        </w:rPr>
        <w:t>情感性精神障碍治疗时，应注意发生静坐不能的风险。</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护理注意事项</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评估个人或家庭糖尿病史、生命体征、血压、精神状况、自杀意念、</w:t>
      </w:r>
      <w:r w:rsidRPr="00D218BC">
        <w:rPr>
          <w:rFonts w:ascii="Arial" w:eastAsia="宋体" w:hAnsi="Arial" w:cs="Arial"/>
          <w:kern w:val="0"/>
          <w:sz w:val="20"/>
          <w:szCs w:val="20"/>
        </w:rPr>
        <w:t>EPS</w:t>
      </w:r>
      <w:r w:rsidRPr="00D218BC">
        <w:rPr>
          <w:rFonts w:ascii="Arial" w:eastAsia="宋体" w:hAnsi="Arial" w:cs="Arial"/>
          <w:kern w:val="0"/>
          <w:sz w:val="20"/>
          <w:szCs w:val="20"/>
        </w:rPr>
        <w:t>症状。</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lastRenderedPageBreak/>
        <w:t>2.</w:t>
      </w:r>
      <w:r w:rsidRPr="00D218BC">
        <w:rPr>
          <w:rFonts w:ascii="Arial" w:eastAsia="宋体" w:hAnsi="Arial" w:cs="Arial"/>
          <w:kern w:val="0"/>
          <w:sz w:val="20"/>
          <w:szCs w:val="20"/>
        </w:rPr>
        <w:t>治疗前、治疗第</w:t>
      </w:r>
      <w:r w:rsidRPr="00D218BC">
        <w:rPr>
          <w:rFonts w:ascii="Arial" w:eastAsia="宋体" w:hAnsi="Arial" w:cs="Arial"/>
          <w:kern w:val="0"/>
          <w:sz w:val="20"/>
          <w:szCs w:val="20"/>
        </w:rPr>
        <w:t>4</w:t>
      </w:r>
      <w:r w:rsidRPr="00D218BC">
        <w:rPr>
          <w:rFonts w:ascii="Arial" w:eastAsia="宋体" w:hAnsi="Arial" w:cs="Arial"/>
          <w:kern w:val="0"/>
          <w:sz w:val="20"/>
          <w:szCs w:val="20"/>
        </w:rPr>
        <w:t>周、第</w:t>
      </w:r>
      <w:r w:rsidRPr="00D218BC">
        <w:rPr>
          <w:rFonts w:ascii="Arial" w:eastAsia="宋体" w:hAnsi="Arial" w:cs="Arial"/>
          <w:kern w:val="0"/>
          <w:sz w:val="20"/>
          <w:szCs w:val="20"/>
        </w:rPr>
        <w:t>8</w:t>
      </w:r>
      <w:r w:rsidRPr="00D218BC">
        <w:rPr>
          <w:rFonts w:ascii="Arial" w:eastAsia="宋体" w:hAnsi="Arial" w:cs="Arial"/>
          <w:kern w:val="0"/>
          <w:sz w:val="20"/>
          <w:szCs w:val="20"/>
        </w:rPr>
        <w:t>周、第</w:t>
      </w:r>
      <w:r w:rsidRPr="00D218BC">
        <w:rPr>
          <w:rFonts w:ascii="Arial" w:eastAsia="宋体" w:hAnsi="Arial" w:cs="Arial"/>
          <w:kern w:val="0"/>
          <w:sz w:val="20"/>
          <w:szCs w:val="20"/>
        </w:rPr>
        <w:t>12</w:t>
      </w:r>
      <w:r w:rsidRPr="00D218BC">
        <w:rPr>
          <w:rFonts w:ascii="Arial" w:eastAsia="宋体" w:hAnsi="Arial" w:cs="Arial"/>
          <w:kern w:val="0"/>
          <w:sz w:val="20"/>
          <w:szCs w:val="20"/>
        </w:rPr>
        <w:t>周测量</w:t>
      </w:r>
      <w:r w:rsidRPr="00D218BC">
        <w:rPr>
          <w:rFonts w:ascii="Arial" w:eastAsia="宋体" w:hAnsi="Arial" w:cs="Arial"/>
          <w:kern w:val="0"/>
          <w:sz w:val="20"/>
          <w:szCs w:val="20"/>
        </w:rPr>
        <w:t>1</w:t>
      </w:r>
      <w:r w:rsidRPr="00D218BC">
        <w:rPr>
          <w:rFonts w:ascii="Arial" w:eastAsia="宋体" w:hAnsi="Arial" w:cs="Arial"/>
          <w:kern w:val="0"/>
          <w:sz w:val="20"/>
          <w:szCs w:val="20"/>
        </w:rPr>
        <w:t>次体重及腰围，之后每季度测量</w:t>
      </w:r>
      <w:r w:rsidRPr="00D218BC">
        <w:rPr>
          <w:rFonts w:ascii="Arial" w:eastAsia="宋体" w:hAnsi="Arial" w:cs="Arial"/>
          <w:kern w:val="0"/>
          <w:sz w:val="20"/>
          <w:szCs w:val="20"/>
        </w:rPr>
        <w:t>1</w:t>
      </w:r>
      <w:r w:rsidRPr="00D218BC">
        <w:rPr>
          <w:rFonts w:ascii="Arial" w:eastAsia="宋体" w:hAnsi="Arial" w:cs="Arial"/>
          <w:kern w:val="0"/>
          <w:sz w:val="20"/>
          <w:szCs w:val="20"/>
        </w:rPr>
        <w:t>次。对体重较初始重量增加大于或等于</w:t>
      </w:r>
      <w:r w:rsidRPr="00D218BC">
        <w:rPr>
          <w:rFonts w:ascii="Arial" w:eastAsia="宋体" w:hAnsi="Arial" w:cs="Arial"/>
          <w:kern w:val="0"/>
          <w:sz w:val="20"/>
          <w:szCs w:val="20"/>
        </w:rPr>
        <w:t>5%</w:t>
      </w:r>
      <w:r w:rsidRPr="00D218BC">
        <w:rPr>
          <w:rFonts w:ascii="Arial" w:eastAsia="宋体" w:hAnsi="Arial" w:cs="Arial"/>
          <w:kern w:val="0"/>
          <w:sz w:val="20"/>
          <w:szCs w:val="20"/>
        </w:rPr>
        <w:t>者，考虑更换到其他不同的抗精神病药物。</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3.</w:t>
      </w:r>
      <w:r w:rsidRPr="00D218BC">
        <w:rPr>
          <w:rFonts w:ascii="Arial" w:eastAsia="宋体" w:hAnsi="Arial" w:cs="Arial"/>
          <w:kern w:val="0"/>
          <w:sz w:val="20"/>
          <w:szCs w:val="20"/>
        </w:rPr>
        <w:t>治疗前、第</w:t>
      </w:r>
      <w:r w:rsidRPr="00D218BC">
        <w:rPr>
          <w:rFonts w:ascii="Arial" w:eastAsia="宋体" w:hAnsi="Arial" w:cs="Arial"/>
          <w:kern w:val="0"/>
          <w:sz w:val="20"/>
          <w:szCs w:val="20"/>
        </w:rPr>
        <w:t>3</w:t>
      </w:r>
      <w:r w:rsidRPr="00D218BC">
        <w:rPr>
          <w:rFonts w:ascii="Arial" w:eastAsia="宋体" w:hAnsi="Arial" w:cs="Arial"/>
          <w:kern w:val="0"/>
          <w:sz w:val="20"/>
          <w:szCs w:val="20"/>
        </w:rPr>
        <w:t>个月监测血脂、空腹血糖或血红蛋白</w:t>
      </w:r>
      <w:r w:rsidRPr="00D218BC">
        <w:rPr>
          <w:rFonts w:ascii="Arial" w:eastAsia="宋体" w:hAnsi="Arial" w:cs="Arial"/>
          <w:kern w:val="0"/>
          <w:sz w:val="20"/>
          <w:szCs w:val="20"/>
        </w:rPr>
        <w:t>A</w:t>
      </w:r>
      <w:r w:rsidRPr="00D218BC">
        <w:rPr>
          <w:rFonts w:ascii="Arial" w:eastAsia="宋体" w:hAnsi="Arial" w:cs="Arial"/>
          <w:kern w:val="0"/>
          <w:sz w:val="20"/>
          <w:szCs w:val="20"/>
          <w:vertAlign w:val="subscript"/>
        </w:rPr>
        <w:t>1c</w:t>
      </w:r>
      <w:r w:rsidRPr="00D218BC">
        <w:rPr>
          <w:rFonts w:ascii="Arial" w:eastAsia="宋体" w:hAnsi="Arial" w:cs="Arial"/>
          <w:kern w:val="0"/>
          <w:sz w:val="20"/>
          <w:szCs w:val="20"/>
        </w:rPr>
        <w:t>，而后每年检测</w:t>
      </w:r>
      <w:r w:rsidRPr="00D218BC">
        <w:rPr>
          <w:rFonts w:ascii="Arial" w:eastAsia="宋体" w:hAnsi="Arial" w:cs="Arial"/>
          <w:kern w:val="0"/>
          <w:sz w:val="20"/>
          <w:szCs w:val="20"/>
        </w:rPr>
        <w:t>1</w:t>
      </w:r>
      <w:r w:rsidRPr="00D218BC">
        <w:rPr>
          <w:rFonts w:ascii="Arial" w:eastAsia="宋体" w:hAnsi="Arial" w:cs="Arial"/>
          <w:kern w:val="0"/>
          <w:sz w:val="20"/>
          <w:szCs w:val="20"/>
        </w:rPr>
        <w:t>次。</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4.</w:t>
      </w:r>
      <w:r w:rsidRPr="00D218BC">
        <w:rPr>
          <w:rFonts w:ascii="Arial" w:eastAsia="宋体" w:hAnsi="Arial" w:cs="Arial"/>
          <w:kern w:val="0"/>
          <w:sz w:val="20"/>
          <w:szCs w:val="20"/>
        </w:rPr>
        <w:t>在治疗前几个月内定期</w:t>
      </w:r>
      <w:proofErr w:type="gramStart"/>
      <w:r w:rsidRPr="00D218BC">
        <w:rPr>
          <w:rFonts w:ascii="Arial" w:eastAsia="宋体" w:hAnsi="Arial" w:cs="Arial"/>
          <w:kern w:val="0"/>
          <w:sz w:val="20"/>
          <w:szCs w:val="20"/>
        </w:rPr>
        <w:t>监测全</w:t>
      </w:r>
      <w:proofErr w:type="gramEnd"/>
      <w:r w:rsidRPr="00D218BC">
        <w:rPr>
          <w:rFonts w:ascii="Arial" w:eastAsia="宋体" w:hAnsi="Arial" w:cs="Arial"/>
          <w:kern w:val="0"/>
          <w:sz w:val="20"/>
          <w:szCs w:val="20"/>
        </w:rPr>
        <w:t>血细胞计数。</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【药物过量】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过量的处理</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1.</w:t>
      </w:r>
      <w:r w:rsidRPr="00D218BC">
        <w:rPr>
          <w:rFonts w:ascii="Arial" w:eastAsia="宋体" w:hAnsi="Arial" w:cs="Arial"/>
          <w:kern w:val="0"/>
          <w:sz w:val="20"/>
          <w:szCs w:val="20"/>
        </w:rPr>
        <w:t>尚无用药过量的特效拮抗药，过量时应检查心电图，如出现</w:t>
      </w:r>
      <w:r w:rsidRPr="00D218BC">
        <w:rPr>
          <w:rFonts w:ascii="Arial" w:eastAsia="宋体" w:hAnsi="Arial" w:cs="Arial"/>
          <w:kern w:val="0"/>
          <w:sz w:val="20"/>
          <w:szCs w:val="20"/>
        </w:rPr>
        <w:t>QT</w:t>
      </w:r>
      <w:r w:rsidRPr="00D218BC">
        <w:rPr>
          <w:rFonts w:ascii="Arial" w:eastAsia="宋体" w:hAnsi="Arial" w:cs="Arial"/>
          <w:kern w:val="0"/>
          <w:sz w:val="20"/>
          <w:szCs w:val="20"/>
        </w:rPr>
        <w:t>间期延长，应进行严密监测。</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2.</w:t>
      </w:r>
      <w:r w:rsidRPr="00D218BC">
        <w:rPr>
          <w:rFonts w:ascii="Arial" w:eastAsia="宋体" w:hAnsi="Arial" w:cs="Arial"/>
          <w:kern w:val="0"/>
          <w:sz w:val="20"/>
          <w:szCs w:val="20"/>
        </w:rPr>
        <w:t>应采用支持疗法，保持气道通畅和吸氧，并给予对症处理。</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3.</w:t>
      </w:r>
      <w:r w:rsidRPr="00D218BC">
        <w:rPr>
          <w:rFonts w:ascii="Arial" w:eastAsia="宋体" w:hAnsi="Arial" w:cs="Arial"/>
          <w:kern w:val="0"/>
          <w:sz w:val="20"/>
          <w:szCs w:val="20"/>
        </w:rPr>
        <w:t>过量服用后早期使用活性炭有助于防止本药的吸收。单剂量口服</w:t>
      </w:r>
      <w:r w:rsidRPr="00D218BC">
        <w:rPr>
          <w:rFonts w:ascii="Arial" w:eastAsia="宋体" w:hAnsi="Arial" w:cs="Arial"/>
          <w:kern w:val="0"/>
          <w:sz w:val="20"/>
          <w:szCs w:val="20"/>
        </w:rPr>
        <w:t>15mg</w:t>
      </w:r>
      <w:r w:rsidRPr="00D218BC">
        <w:rPr>
          <w:rFonts w:ascii="Arial" w:eastAsia="宋体" w:hAnsi="Arial" w:cs="Arial"/>
          <w:kern w:val="0"/>
          <w:sz w:val="20"/>
          <w:szCs w:val="20"/>
        </w:rPr>
        <w:t>后</w:t>
      </w:r>
      <w:r w:rsidRPr="00D218BC">
        <w:rPr>
          <w:rFonts w:ascii="Arial" w:eastAsia="宋体" w:hAnsi="Arial" w:cs="Arial"/>
          <w:kern w:val="0"/>
          <w:sz w:val="20"/>
          <w:szCs w:val="20"/>
        </w:rPr>
        <w:t>1</w:t>
      </w:r>
      <w:r w:rsidRPr="00D218BC">
        <w:rPr>
          <w:rFonts w:ascii="Arial" w:eastAsia="宋体" w:hAnsi="Arial" w:cs="Arial"/>
          <w:kern w:val="0"/>
          <w:sz w:val="20"/>
          <w:szCs w:val="20"/>
        </w:rPr>
        <w:t>小时，服用</w:t>
      </w:r>
      <w:r w:rsidRPr="00D218BC">
        <w:rPr>
          <w:rFonts w:ascii="Arial" w:eastAsia="宋体" w:hAnsi="Arial" w:cs="Arial"/>
          <w:kern w:val="0"/>
          <w:sz w:val="20"/>
          <w:szCs w:val="20"/>
        </w:rPr>
        <w:t>50g</w:t>
      </w:r>
      <w:r w:rsidRPr="00D218BC">
        <w:rPr>
          <w:rFonts w:ascii="Arial" w:eastAsia="宋体" w:hAnsi="Arial" w:cs="Arial"/>
          <w:kern w:val="0"/>
          <w:sz w:val="20"/>
          <w:szCs w:val="20"/>
        </w:rPr>
        <w:t>活性炭可使平均</w:t>
      </w:r>
      <w:r w:rsidRPr="00D218BC">
        <w:rPr>
          <w:rFonts w:ascii="Arial" w:eastAsia="宋体" w:hAnsi="Arial" w:cs="Arial"/>
          <w:kern w:val="0"/>
          <w:sz w:val="20"/>
          <w:szCs w:val="20"/>
        </w:rPr>
        <w:t>AUC</w:t>
      </w:r>
      <w:proofErr w:type="gramStart"/>
      <w:r w:rsidRPr="00D218BC">
        <w:rPr>
          <w:rFonts w:ascii="Arial" w:eastAsia="宋体" w:hAnsi="Arial" w:cs="Arial"/>
          <w:kern w:val="0"/>
          <w:sz w:val="20"/>
          <w:szCs w:val="20"/>
        </w:rPr>
        <w:t>和血药峰浓度</w:t>
      </w:r>
      <w:proofErr w:type="gramEnd"/>
      <w:r w:rsidRPr="00D218BC">
        <w:rPr>
          <w:rFonts w:ascii="Arial" w:eastAsia="宋体" w:hAnsi="Arial" w:cs="Arial"/>
          <w:kern w:val="0"/>
          <w:sz w:val="20"/>
          <w:szCs w:val="20"/>
        </w:rPr>
        <w:t>下降</w:t>
      </w:r>
      <w:r w:rsidRPr="00D218BC">
        <w:rPr>
          <w:rFonts w:ascii="Arial" w:eastAsia="宋体" w:hAnsi="Arial" w:cs="Arial"/>
          <w:kern w:val="0"/>
          <w:sz w:val="20"/>
          <w:szCs w:val="20"/>
        </w:rPr>
        <w:t>50%</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4.</w:t>
      </w:r>
      <w:r w:rsidRPr="00D218BC">
        <w:rPr>
          <w:rFonts w:ascii="Arial" w:eastAsia="宋体" w:hAnsi="Arial" w:cs="Arial"/>
          <w:kern w:val="0"/>
          <w:sz w:val="20"/>
          <w:szCs w:val="20"/>
        </w:rPr>
        <w:t>血液透析可能无效。</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【药理】</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药效学</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本药为一种非典型的精神抑制药，通过对多巴胺</w:t>
      </w:r>
      <w:r w:rsidRPr="00D218BC">
        <w:rPr>
          <w:rFonts w:ascii="Arial" w:eastAsia="宋体" w:hAnsi="Arial" w:cs="Arial"/>
          <w:kern w:val="0"/>
          <w:sz w:val="20"/>
          <w:szCs w:val="20"/>
        </w:rPr>
        <w:t>D</w:t>
      </w:r>
      <w:r w:rsidRPr="00D218BC">
        <w:rPr>
          <w:rFonts w:ascii="Arial" w:eastAsia="宋体" w:hAnsi="Arial" w:cs="Arial"/>
          <w:kern w:val="0"/>
          <w:sz w:val="20"/>
          <w:szCs w:val="20"/>
          <w:vertAlign w:val="subscript"/>
        </w:rPr>
        <w:t>2</w:t>
      </w:r>
      <w:r w:rsidRPr="00D218BC">
        <w:rPr>
          <w:rFonts w:ascii="Arial" w:eastAsia="宋体" w:hAnsi="Arial" w:cs="Arial"/>
          <w:kern w:val="0"/>
          <w:sz w:val="20"/>
          <w:szCs w:val="20"/>
        </w:rPr>
        <w:t>和</w:t>
      </w:r>
      <w:r w:rsidRPr="00D218BC">
        <w:rPr>
          <w:rFonts w:ascii="Arial" w:eastAsia="宋体" w:hAnsi="Arial" w:cs="Arial"/>
          <w:kern w:val="0"/>
          <w:sz w:val="20"/>
          <w:szCs w:val="20"/>
        </w:rPr>
        <w:t>5-</w:t>
      </w:r>
      <w:r w:rsidRPr="00D218BC">
        <w:rPr>
          <w:rFonts w:ascii="Arial" w:eastAsia="宋体" w:hAnsi="Arial" w:cs="Arial"/>
          <w:kern w:val="0"/>
          <w:sz w:val="20"/>
          <w:szCs w:val="20"/>
        </w:rPr>
        <w:t>羟色胺</w:t>
      </w:r>
      <w:r w:rsidRPr="00D218BC">
        <w:rPr>
          <w:rFonts w:ascii="Arial" w:eastAsia="宋体" w:hAnsi="Arial" w:cs="Arial"/>
          <w:kern w:val="0"/>
          <w:sz w:val="20"/>
          <w:szCs w:val="20"/>
        </w:rPr>
        <w:t>1A</w:t>
      </w:r>
      <w:r w:rsidRPr="00D218BC">
        <w:rPr>
          <w:rFonts w:ascii="Arial" w:eastAsia="宋体" w:hAnsi="Arial" w:cs="Arial"/>
          <w:kern w:val="0"/>
          <w:sz w:val="20"/>
          <w:szCs w:val="20"/>
        </w:rPr>
        <w:t>受体的部分激动作用及对</w:t>
      </w:r>
      <w:r w:rsidRPr="00D218BC">
        <w:rPr>
          <w:rFonts w:ascii="Arial" w:eastAsia="宋体" w:hAnsi="Arial" w:cs="Arial"/>
          <w:kern w:val="0"/>
          <w:sz w:val="20"/>
          <w:szCs w:val="20"/>
        </w:rPr>
        <w:t>5-</w:t>
      </w:r>
      <w:r w:rsidRPr="00D218BC">
        <w:rPr>
          <w:rFonts w:ascii="Arial" w:eastAsia="宋体" w:hAnsi="Arial" w:cs="Arial"/>
          <w:kern w:val="0"/>
          <w:sz w:val="20"/>
          <w:szCs w:val="20"/>
        </w:rPr>
        <w:t>羟色胺</w:t>
      </w:r>
      <w:r w:rsidRPr="00D218BC">
        <w:rPr>
          <w:rFonts w:ascii="Arial" w:eastAsia="宋体" w:hAnsi="Arial" w:cs="Arial"/>
          <w:kern w:val="0"/>
          <w:sz w:val="20"/>
          <w:szCs w:val="20"/>
        </w:rPr>
        <w:t>2A</w:t>
      </w:r>
      <w:r w:rsidRPr="00D218BC">
        <w:rPr>
          <w:rFonts w:ascii="Arial" w:eastAsia="宋体" w:hAnsi="Arial" w:cs="Arial"/>
          <w:kern w:val="0"/>
          <w:sz w:val="20"/>
          <w:szCs w:val="20"/>
        </w:rPr>
        <w:t>受体的拮抗作用而产生抗精神分裂症作用。口服本药一日</w:t>
      </w:r>
      <w:r w:rsidRPr="00D218BC">
        <w:rPr>
          <w:rFonts w:ascii="Arial" w:eastAsia="宋体" w:hAnsi="Arial" w:cs="Arial"/>
          <w:kern w:val="0"/>
          <w:sz w:val="20"/>
          <w:szCs w:val="20"/>
        </w:rPr>
        <w:t>10-30mg</w:t>
      </w:r>
      <w:r w:rsidRPr="00D218BC">
        <w:rPr>
          <w:rFonts w:ascii="Arial" w:eastAsia="宋体" w:hAnsi="Arial" w:cs="Arial"/>
          <w:kern w:val="0"/>
          <w:sz w:val="20"/>
          <w:szCs w:val="20"/>
        </w:rPr>
        <w:t>，</w:t>
      </w:r>
      <w:r w:rsidRPr="00D218BC">
        <w:rPr>
          <w:rFonts w:ascii="Arial" w:eastAsia="宋体" w:hAnsi="Arial" w:cs="Arial"/>
          <w:kern w:val="0"/>
          <w:sz w:val="20"/>
          <w:szCs w:val="20"/>
        </w:rPr>
        <w:t>1</w:t>
      </w:r>
      <w:r w:rsidRPr="00D218BC">
        <w:rPr>
          <w:rFonts w:ascii="Arial" w:eastAsia="宋体" w:hAnsi="Arial" w:cs="Arial"/>
          <w:kern w:val="0"/>
          <w:sz w:val="20"/>
          <w:szCs w:val="20"/>
        </w:rPr>
        <w:t>周后可起效。</w:t>
      </w:r>
      <w:r w:rsidRPr="00D218BC">
        <w:rPr>
          <w:rFonts w:ascii="微软雅黑" w:eastAsia="微软雅黑" w:hAnsi="微软雅黑" w:cs="微软雅黑" w:hint="eastAsia"/>
          <w:kern w:val="0"/>
          <w:sz w:val="20"/>
          <w:szCs w:val="20"/>
        </w:rPr>
        <w:t>Ⅱ</w:t>
      </w:r>
      <w:r w:rsidRPr="00D218BC">
        <w:rPr>
          <w:rFonts w:ascii="Arial" w:eastAsia="宋体" w:hAnsi="Arial" w:cs="Arial"/>
          <w:kern w:val="0"/>
          <w:sz w:val="20"/>
          <w:szCs w:val="20"/>
        </w:rPr>
        <w:t>期临床试验显示，一日服用</w:t>
      </w:r>
      <w:r w:rsidRPr="00D218BC">
        <w:rPr>
          <w:rFonts w:ascii="Arial" w:eastAsia="宋体" w:hAnsi="Arial" w:cs="Arial"/>
          <w:kern w:val="0"/>
          <w:sz w:val="20"/>
          <w:szCs w:val="20"/>
        </w:rPr>
        <w:t>30mg</w:t>
      </w:r>
      <w:r w:rsidRPr="00D218BC">
        <w:rPr>
          <w:rFonts w:ascii="Arial" w:eastAsia="宋体" w:hAnsi="Arial" w:cs="Arial"/>
          <w:kern w:val="0"/>
          <w:sz w:val="20"/>
          <w:szCs w:val="20"/>
        </w:rPr>
        <w:t>，</w:t>
      </w:r>
      <w:r w:rsidRPr="00D218BC">
        <w:rPr>
          <w:rFonts w:ascii="Arial" w:eastAsia="宋体" w:hAnsi="Arial" w:cs="Arial"/>
          <w:kern w:val="0"/>
          <w:sz w:val="20"/>
          <w:szCs w:val="20"/>
        </w:rPr>
        <w:t>1</w:t>
      </w:r>
      <w:r w:rsidRPr="00D218BC">
        <w:rPr>
          <w:rFonts w:ascii="Arial" w:eastAsia="宋体" w:hAnsi="Arial" w:cs="Arial"/>
          <w:kern w:val="0"/>
          <w:sz w:val="20"/>
          <w:szCs w:val="20"/>
        </w:rPr>
        <w:t>周后精神分裂症症状可显著改善</w:t>
      </w:r>
      <w:r w:rsidRPr="00D218BC">
        <w:rPr>
          <w:rFonts w:ascii="Arial" w:eastAsia="宋体" w:hAnsi="Arial" w:cs="Arial"/>
          <w:kern w:val="0"/>
          <w:sz w:val="20"/>
          <w:szCs w:val="20"/>
        </w:rPr>
        <w:t>(</w:t>
      </w:r>
      <w:r w:rsidRPr="00D218BC">
        <w:rPr>
          <w:rFonts w:ascii="Arial" w:eastAsia="宋体" w:hAnsi="Arial" w:cs="Arial"/>
          <w:kern w:val="0"/>
          <w:sz w:val="20"/>
          <w:szCs w:val="20"/>
        </w:rPr>
        <w:t>包括阴性症状</w:t>
      </w:r>
      <w:r w:rsidRPr="00D218BC">
        <w:rPr>
          <w:rFonts w:ascii="Arial" w:eastAsia="宋体" w:hAnsi="Arial" w:cs="Arial"/>
          <w:kern w:val="0"/>
          <w:sz w:val="20"/>
          <w:szCs w:val="20"/>
        </w:rPr>
        <w:t>)</w:t>
      </w:r>
      <w:r w:rsidRPr="00D218BC">
        <w:rPr>
          <w:rFonts w:ascii="Arial" w:eastAsia="宋体" w:hAnsi="Arial" w:cs="Arial"/>
          <w:kern w:val="0"/>
          <w:sz w:val="20"/>
          <w:szCs w:val="20"/>
        </w:rPr>
        <w:t>。与氟哌啶醇比较，本药的耐受性更好。</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药动学</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本药口服吸收良好，绝对生物利用度为</w:t>
      </w:r>
      <w:r w:rsidRPr="00D218BC">
        <w:rPr>
          <w:rFonts w:ascii="Arial" w:eastAsia="宋体" w:hAnsi="Arial" w:cs="Arial"/>
          <w:kern w:val="0"/>
          <w:sz w:val="20"/>
          <w:szCs w:val="20"/>
        </w:rPr>
        <w:t>87%</w:t>
      </w:r>
      <w:r w:rsidRPr="00D218BC">
        <w:rPr>
          <w:rFonts w:ascii="Arial" w:eastAsia="宋体" w:hAnsi="Arial" w:cs="Arial"/>
          <w:kern w:val="0"/>
          <w:sz w:val="20"/>
          <w:szCs w:val="20"/>
        </w:rPr>
        <w:t>。其吸收不受食物影响，达峰时间为</w:t>
      </w:r>
      <w:r w:rsidRPr="00D218BC">
        <w:rPr>
          <w:rFonts w:ascii="Arial" w:eastAsia="宋体" w:hAnsi="Arial" w:cs="Arial"/>
          <w:kern w:val="0"/>
          <w:sz w:val="20"/>
          <w:szCs w:val="20"/>
        </w:rPr>
        <w:t>3-5</w:t>
      </w:r>
      <w:r w:rsidRPr="00D218BC">
        <w:rPr>
          <w:rFonts w:ascii="Arial" w:eastAsia="宋体" w:hAnsi="Arial" w:cs="Arial"/>
          <w:kern w:val="0"/>
          <w:sz w:val="20"/>
          <w:szCs w:val="20"/>
        </w:rPr>
        <w:t>小时，在体内分布广泛，静脉注射后的稳态分布容积为</w:t>
      </w:r>
      <w:r w:rsidRPr="00D218BC">
        <w:rPr>
          <w:rFonts w:ascii="Arial" w:eastAsia="宋体" w:hAnsi="Arial" w:cs="Arial"/>
          <w:kern w:val="0"/>
          <w:sz w:val="20"/>
          <w:szCs w:val="20"/>
        </w:rPr>
        <w:t>404L</w:t>
      </w:r>
      <w:r w:rsidRPr="00D218BC">
        <w:rPr>
          <w:rFonts w:ascii="Arial" w:eastAsia="宋体" w:hAnsi="Arial" w:cs="Arial"/>
          <w:kern w:val="0"/>
          <w:sz w:val="20"/>
          <w:szCs w:val="20"/>
        </w:rPr>
        <w:t>或</w:t>
      </w:r>
      <w:r w:rsidRPr="00D218BC">
        <w:rPr>
          <w:rFonts w:ascii="Arial" w:eastAsia="宋体" w:hAnsi="Arial" w:cs="Arial"/>
          <w:kern w:val="0"/>
          <w:sz w:val="20"/>
          <w:szCs w:val="20"/>
        </w:rPr>
        <w:t>4.9L/kg</w:t>
      </w:r>
      <w:r w:rsidRPr="00D218BC">
        <w:rPr>
          <w:rFonts w:ascii="Arial" w:eastAsia="宋体" w:hAnsi="Arial" w:cs="Arial"/>
          <w:kern w:val="0"/>
          <w:sz w:val="20"/>
          <w:szCs w:val="20"/>
        </w:rPr>
        <w:t>。在治疗浓度下，本药及其主要活性代谢产物</w:t>
      </w:r>
      <w:proofErr w:type="gramStart"/>
      <w:r w:rsidRPr="00D218BC">
        <w:rPr>
          <w:rFonts w:ascii="Arial" w:eastAsia="宋体" w:hAnsi="Arial" w:cs="Arial"/>
          <w:kern w:val="0"/>
          <w:sz w:val="20"/>
          <w:szCs w:val="20"/>
        </w:rPr>
        <w:t>脱氢阿立哌唑</w:t>
      </w:r>
      <w:proofErr w:type="gramEnd"/>
      <w:r w:rsidRPr="00D218BC">
        <w:rPr>
          <w:rFonts w:ascii="Arial" w:eastAsia="宋体" w:hAnsi="Arial" w:cs="Arial"/>
          <w:kern w:val="0"/>
          <w:sz w:val="20"/>
          <w:szCs w:val="20"/>
        </w:rPr>
        <w:t>的血浆蛋白</w:t>
      </w:r>
      <w:r w:rsidRPr="00D218BC">
        <w:rPr>
          <w:rFonts w:ascii="Arial" w:eastAsia="宋体" w:hAnsi="Arial" w:cs="Arial"/>
          <w:kern w:val="0"/>
          <w:sz w:val="20"/>
          <w:szCs w:val="20"/>
        </w:rPr>
        <w:t>(</w:t>
      </w:r>
      <w:r w:rsidRPr="00D218BC">
        <w:rPr>
          <w:rFonts w:ascii="Arial" w:eastAsia="宋体" w:hAnsi="Arial" w:cs="Arial"/>
          <w:kern w:val="0"/>
          <w:sz w:val="20"/>
          <w:szCs w:val="20"/>
        </w:rPr>
        <w:t>主要是白蛋白</w:t>
      </w:r>
      <w:r w:rsidRPr="00D218BC">
        <w:rPr>
          <w:rFonts w:ascii="Arial" w:eastAsia="宋体" w:hAnsi="Arial" w:cs="Arial"/>
          <w:kern w:val="0"/>
          <w:sz w:val="20"/>
          <w:szCs w:val="20"/>
        </w:rPr>
        <w:t>)</w:t>
      </w:r>
      <w:r w:rsidRPr="00D218BC">
        <w:rPr>
          <w:rFonts w:ascii="Arial" w:eastAsia="宋体" w:hAnsi="Arial" w:cs="Arial"/>
          <w:kern w:val="0"/>
          <w:sz w:val="20"/>
          <w:szCs w:val="20"/>
        </w:rPr>
        <w:t>结合率超过</w:t>
      </w:r>
      <w:r w:rsidRPr="00D218BC">
        <w:rPr>
          <w:rFonts w:ascii="Arial" w:eastAsia="宋体" w:hAnsi="Arial" w:cs="Arial"/>
          <w:kern w:val="0"/>
          <w:sz w:val="20"/>
          <w:szCs w:val="20"/>
        </w:rPr>
        <w:t>99%</w:t>
      </w:r>
      <w:r w:rsidRPr="00D218BC">
        <w:rPr>
          <w:rFonts w:ascii="Arial" w:eastAsia="宋体" w:hAnsi="Arial" w:cs="Arial"/>
          <w:kern w:val="0"/>
          <w:sz w:val="20"/>
          <w:szCs w:val="20"/>
        </w:rPr>
        <w:t>。本药主要经三种生物转化途径代谢：脱氢化、羟基化和</w:t>
      </w:r>
      <w:r w:rsidRPr="00D218BC">
        <w:rPr>
          <w:rFonts w:ascii="Arial" w:eastAsia="宋体" w:hAnsi="Arial" w:cs="Arial"/>
          <w:kern w:val="0"/>
          <w:sz w:val="20"/>
          <w:szCs w:val="20"/>
        </w:rPr>
        <w:t>N-</w:t>
      </w:r>
      <w:r w:rsidRPr="00D218BC">
        <w:rPr>
          <w:rFonts w:ascii="Arial" w:eastAsia="宋体" w:hAnsi="Arial" w:cs="Arial"/>
          <w:kern w:val="0"/>
          <w:sz w:val="20"/>
          <w:szCs w:val="20"/>
        </w:rPr>
        <w:t>脱烷基化。</w:t>
      </w:r>
      <w:r w:rsidRPr="00D218BC">
        <w:rPr>
          <w:rFonts w:ascii="Arial" w:eastAsia="宋体" w:hAnsi="Arial" w:cs="Arial"/>
          <w:kern w:val="0"/>
          <w:sz w:val="20"/>
          <w:szCs w:val="20"/>
        </w:rPr>
        <w:t>CYP 3A4</w:t>
      </w:r>
      <w:r w:rsidRPr="00D218BC">
        <w:rPr>
          <w:rFonts w:ascii="Arial" w:eastAsia="宋体" w:hAnsi="Arial" w:cs="Arial"/>
          <w:kern w:val="0"/>
          <w:sz w:val="20"/>
          <w:szCs w:val="20"/>
        </w:rPr>
        <w:t>和</w:t>
      </w:r>
      <w:r w:rsidRPr="00D218BC">
        <w:rPr>
          <w:rFonts w:ascii="Arial" w:eastAsia="宋体" w:hAnsi="Arial" w:cs="Arial"/>
          <w:kern w:val="0"/>
          <w:sz w:val="20"/>
          <w:szCs w:val="20"/>
        </w:rPr>
        <w:t>CYP 2D6</w:t>
      </w:r>
      <w:r w:rsidRPr="00D218BC">
        <w:rPr>
          <w:rFonts w:ascii="Arial" w:eastAsia="宋体" w:hAnsi="Arial" w:cs="Arial"/>
          <w:kern w:val="0"/>
          <w:sz w:val="20"/>
          <w:szCs w:val="20"/>
        </w:rPr>
        <w:t>主要参与脱氢和羟基化，</w:t>
      </w:r>
      <w:r w:rsidRPr="00D218BC">
        <w:rPr>
          <w:rFonts w:ascii="Arial" w:eastAsia="宋体" w:hAnsi="Arial" w:cs="Arial"/>
          <w:kern w:val="0"/>
          <w:sz w:val="20"/>
          <w:szCs w:val="20"/>
        </w:rPr>
        <w:t>CYP 3A4</w:t>
      </w:r>
      <w:r w:rsidRPr="00D218BC">
        <w:rPr>
          <w:rFonts w:ascii="Arial" w:eastAsia="宋体" w:hAnsi="Arial" w:cs="Arial"/>
          <w:kern w:val="0"/>
          <w:sz w:val="20"/>
          <w:szCs w:val="20"/>
        </w:rPr>
        <w:t>参与催化脱烷基化。本药在体循环中是主要的药物成分，稳态时，</w:t>
      </w:r>
      <w:proofErr w:type="gramStart"/>
      <w:r w:rsidRPr="00D218BC">
        <w:rPr>
          <w:rFonts w:ascii="Arial" w:eastAsia="宋体" w:hAnsi="Arial" w:cs="Arial"/>
          <w:kern w:val="0"/>
          <w:sz w:val="20"/>
          <w:szCs w:val="20"/>
        </w:rPr>
        <w:t>脱氢阿立哌唑</w:t>
      </w:r>
      <w:proofErr w:type="gramEnd"/>
      <w:r w:rsidRPr="00D218BC">
        <w:rPr>
          <w:rFonts w:ascii="Arial" w:eastAsia="宋体" w:hAnsi="Arial" w:cs="Arial"/>
          <w:kern w:val="0"/>
          <w:sz w:val="20"/>
          <w:szCs w:val="20"/>
        </w:rPr>
        <w:t>占血浆中本药</w:t>
      </w:r>
      <w:r w:rsidRPr="00D218BC">
        <w:rPr>
          <w:rFonts w:ascii="Arial" w:eastAsia="宋体" w:hAnsi="Arial" w:cs="Arial"/>
          <w:kern w:val="0"/>
          <w:sz w:val="20"/>
          <w:szCs w:val="20"/>
        </w:rPr>
        <w:t>AUC</w:t>
      </w:r>
      <w:r w:rsidRPr="00D218BC">
        <w:rPr>
          <w:rFonts w:ascii="Arial" w:eastAsia="宋体" w:hAnsi="Arial" w:cs="Arial"/>
          <w:kern w:val="0"/>
          <w:sz w:val="20"/>
          <w:szCs w:val="20"/>
        </w:rPr>
        <w:t>的</w:t>
      </w:r>
      <w:r w:rsidRPr="00D218BC">
        <w:rPr>
          <w:rFonts w:ascii="Arial" w:eastAsia="宋体" w:hAnsi="Arial" w:cs="Arial"/>
          <w:kern w:val="0"/>
          <w:sz w:val="20"/>
          <w:szCs w:val="20"/>
        </w:rPr>
        <w:t>40%</w:t>
      </w:r>
      <w:r w:rsidRPr="00D218BC">
        <w:rPr>
          <w:rFonts w:ascii="Arial" w:eastAsia="宋体" w:hAnsi="Arial" w:cs="Arial"/>
          <w:kern w:val="0"/>
          <w:sz w:val="20"/>
          <w:szCs w:val="20"/>
        </w:rPr>
        <w:t>。本药和</w:t>
      </w:r>
      <w:proofErr w:type="gramStart"/>
      <w:r w:rsidRPr="00D218BC">
        <w:rPr>
          <w:rFonts w:ascii="Arial" w:eastAsia="宋体" w:hAnsi="Arial" w:cs="Arial"/>
          <w:kern w:val="0"/>
          <w:sz w:val="20"/>
          <w:szCs w:val="20"/>
        </w:rPr>
        <w:t>脱氢阿立哌唑</w:t>
      </w:r>
      <w:proofErr w:type="gramEnd"/>
      <w:r w:rsidRPr="00D218BC">
        <w:rPr>
          <w:rFonts w:ascii="Arial" w:eastAsia="宋体" w:hAnsi="Arial" w:cs="Arial"/>
          <w:kern w:val="0"/>
          <w:sz w:val="20"/>
          <w:szCs w:val="20"/>
        </w:rPr>
        <w:t>的消除半衰期分别为</w:t>
      </w:r>
      <w:r w:rsidRPr="00D218BC">
        <w:rPr>
          <w:rFonts w:ascii="Arial" w:eastAsia="宋体" w:hAnsi="Arial" w:cs="Arial"/>
          <w:kern w:val="0"/>
          <w:sz w:val="20"/>
          <w:szCs w:val="20"/>
        </w:rPr>
        <w:t>75</w:t>
      </w:r>
      <w:r w:rsidRPr="00D218BC">
        <w:rPr>
          <w:rFonts w:ascii="Arial" w:eastAsia="宋体" w:hAnsi="Arial" w:cs="Arial"/>
          <w:kern w:val="0"/>
          <w:sz w:val="20"/>
          <w:szCs w:val="20"/>
        </w:rPr>
        <w:t>小时和</w:t>
      </w:r>
      <w:r w:rsidRPr="00D218BC">
        <w:rPr>
          <w:rFonts w:ascii="Arial" w:eastAsia="宋体" w:hAnsi="Arial" w:cs="Arial"/>
          <w:kern w:val="0"/>
          <w:sz w:val="20"/>
          <w:szCs w:val="20"/>
        </w:rPr>
        <w:t>94</w:t>
      </w:r>
      <w:r w:rsidRPr="00D218BC">
        <w:rPr>
          <w:rFonts w:ascii="Arial" w:eastAsia="宋体" w:hAnsi="Arial" w:cs="Arial"/>
          <w:kern w:val="0"/>
          <w:sz w:val="20"/>
          <w:szCs w:val="20"/>
        </w:rPr>
        <w:t>小时。大多数患者在给药后</w:t>
      </w:r>
      <w:r w:rsidRPr="00D218BC">
        <w:rPr>
          <w:rFonts w:ascii="Arial" w:eastAsia="宋体" w:hAnsi="Arial" w:cs="Arial"/>
          <w:kern w:val="0"/>
          <w:sz w:val="20"/>
          <w:szCs w:val="20"/>
        </w:rPr>
        <w:t>14</w:t>
      </w:r>
      <w:r w:rsidRPr="00D218BC">
        <w:rPr>
          <w:rFonts w:ascii="Arial" w:eastAsia="宋体" w:hAnsi="Arial" w:cs="Arial"/>
          <w:kern w:val="0"/>
          <w:sz w:val="20"/>
          <w:szCs w:val="20"/>
        </w:rPr>
        <w:t>日内达到两种活性成分的稳态浓度，稳态时，本药的药动学与给药剂量成正比。口服单剂量</w:t>
      </w:r>
      <w:r w:rsidRPr="00D218BC">
        <w:rPr>
          <w:rFonts w:ascii="Arial" w:eastAsia="宋体" w:hAnsi="Arial" w:cs="Arial"/>
          <w:kern w:val="0"/>
          <w:sz w:val="20"/>
          <w:szCs w:val="20"/>
        </w:rPr>
        <w:t>[</w:t>
      </w:r>
      <w:r w:rsidRPr="00D218BC">
        <w:rPr>
          <w:rFonts w:ascii="Arial" w:eastAsia="宋体" w:hAnsi="Arial" w:cs="Arial"/>
          <w:kern w:val="0"/>
          <w:sz w:val="20"/>
          <w:szCs w:val="20"/>
          <w:vertAlign w:val="superscript"/>
        </w:rPr>
        <w:t>14</w:t>
      </w:r>
      <w:r w:rsidRPr="00D218BC">
        <w:rPr>
          <w:rFonts w:ascii="Arial" w:eastAsia="宋体" w:hAnsi="Arial" w:cs="Arial"/>
          <w:kern w:val="0"/>
          <w:sz w:val="20"/>
          <w:szCs w:val="20"/>
        </w:rPr>
        <w:t>C]</w:t>
      </w:r>
      <w:r w:rsidRPr="00D218BC">
        <w:rPr>
          <w:rFonts w:ascii="Arial" w:eastAsia="宋体" w:hAnsi="Arial" w:cs="Arial"/>
          <w:kern w:val="0"/>
          <w:sz w:val="20"/>
          <w:szCs w:val="20"/>
        </w:rPr>
        <w:t>标记的本药后，在尿液和粪便中分别回收了大约</w:t>
      </w:r>
      <w:r w:rsidRPr="00D218BC">
        <w:rPr>
          <w:rFonts w:ascii="Arial" w:eastAsia="宋体" w:hAnsi="Arial" w:cs="Arial"/>
          <w:kern w:val="0"/>
          <w:sz w:val="20"/>
          <w:szCs w:val="20"/>
        </w:rPr>
        <w:t>25%</w:t>
      </w:r>
      <w:r w:rsidRPr="00D218BC">
        <w:rPr>
          <w:rFonts w:ascii="Arial" w:eastAsia="宋体" w:hAnsi="Arial" w:cs="Arial"/>
          <w:kern w:val="0"/>
          <w:sz w:val="20"/>
          <w:szCs w:val="20"/>
        </w:rPr>
        <w:t>和</w:t>
      </w:r>
      <w:r w:rsidRPr="00D218BC">
        <w:rPr>
          <w:rFonts w:ascii="Arial" w:eastAsia="宋体" w:hAnsi="Arial" w:cs="Arial"/>
          <w:kern w:val="0"/>
          <w:sz w:val="20"/>
          <w:szCs w:val="20"/>
        </w:rPr>
        <w:t>55%</w:t>
      </w:r>
      <w:r w:rsidRPr="00D218BC">
        <w:rPr>
          <w:rFonts w:ascii="Arial" w:eastAsia="宋体" w:hAnsi="Arial" w:cs="Arial"/>
          <w:kern w:val="0"/>
          <w:sz w:val="20"/>
          <w:szCs w:val="20"/>
        </w:rPr>
        <w:t>的放射活</w:t>
      </w:r>
      <w:r w:rsidRPr="00D218BC">
        <w:rPr>
          <w:rFonts w:ascii="Arial" w:eastAsia="宋体" w:hAnsi="Arial" w:cs="Arial"/>
          <w:kern w:val="0"/>
          <w:sz w:val="20"/>
          <w:szCs w:val="20"/>
        </w:rPr>
        <w:lastRenderedPageBreak/>
        <w:t>性。</w:t>
      </w:r>
      <w:r w:rsidRPr="00D218BC">
        <w:rPr>
          <w:rFonts w:ascii="Arial" w:eastAsia="宋体" w:hAnsi="Arial" w:cs="Arial"/>
          <w:kern w:val="0"/>
          <w:sz w:val="20"/>
          <w:szCs w:val="20"/>
        </w:rPr>
        <w:t>18%</w:t>
      </w:r>
      <w:r w:rsidRPr="00D218BC">
        <w:rPr>
          <w:rFonts w:ascii="Arial" w:eastAsia="宋体" w:hAnsi="Arial" w:cs="Arial"/>
          <w:kern w:val="0"/>
          <w:sz w:val="20"/>
          <w:szCs w:val="20"/>
        </w:rPr>
        <w:t>以原药经粪便排出，</w:t>
      </w:r>
      <w:r w:rsidRPr="00D218BC">
        <w:rPr>
          <w:rFonts w:ascii="Arial" w:eastAsia="宋体" w:hAnsi="Arial" w:cs="Arial"/>
          <w:kern w:val="0"/>
          <w:sz w:val="20"/>
          <w:szCs w:val="20"/>
        </w:rPr>
        <w:t>1%</w:t>
      </w:r>
      <w:r w:rsidRPr="00D218BC">
        <w:rPr>
          <w:rFonts w:ascii="Arial" w:eastAsia="宋体" w:hAnsi="Arial" w:cs="Arial"/>
          <w:kern w:val="0"/>
          <w:sz w:val="20"/>
          <w:szCs w:val="20"/>
        </w:rPr>
        <w:t>以原药经尿液排出。本药药动学不随患者的年龄、性别、种族、吸烟状况、肝功能、肾功能等改变而变化。</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遗传、生殖毒性与致癌性</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遗传毒性</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在有或无代谢活化时，本药及其代谢物</w:t>
      </w:r>
      <w:r w:rsidRPr="00D218BC">
        <w:rPr>
          <w:rFonts w:ascii="Arial" w:eastAsia="宋体" w:hAnsi="Arial" w:cs="Arial"/>
          <w:kern w:val="0"/>
          <w:sz w:val="20"/>
          <w:szCs w:val="20"/>
        </w:rPr>
        <w:t>(2,3-DCPP)</w:t>
      </w:r>
      <w:r w:rsidRPr="00D218BC">
        <w:rPr>
          <w:rFonts w:ascii="Arial" w:eastAsia="宋体" w:hAnsi="Arial" w:cs="Arial"/>
          <w:kern w:val="0"/>
          <w:sz w:val="20"/>
          <w:szCs w:val="20"/>
        </w:rPr>
        <w:t>在</w:t>
      </w:r>
      <w:r w:rsidRPr="00D218BC">
        <w:rPr>
          <w:rFonts w:ascii="Arial" w:eastAsia="宋体" w:hAnsi="Arial" w:cs="Arial"/>
          <w:kern w:val="0"/>
          <w:sz w:val="20"/>
          <w:szCs w:val="20"/>
        </w:rPr>
        <w:t>CHL</w:t>
      </w:r>
      <w:r w:rsidRPr="00D218BC">
        <w:rPr>
          <w:rFonts w:ascii="Arial" w:eastAsia="宋体" w:hAnsi="Arial" w:cs="Arial"/>
          <w:kern w:val="0"/>
          <w:sz w:val="20"/>
          <w:szCs w:val="20"/>
        </w:rPr>
        <w:t>细胞体外染色体畸变试验中呈现基因裂变作用，</w:t>
      </w:r>
      <w:r w:rsidRPr="00D218BC">
        <w:rPr>
          <w:rFonts w:ascii="Arial" w:eastAsia="宋体" w:hAnsi="Arial" w:cs="Arial"/>
          <w:kern w:val="0"/>
          <w:sz w:val="20"/>
          <w:szCs w:val="20"/>
        </w:rPr>
        <w:t>2,3-DCPP</w:t>
      </w:r>
      <w:r w:rsidRPr="00D218BC">
        <w:rPr>
          <w:rFonts w:ascii="Arial" w:eastAsia="宋体" w:hAnsi="Arial" w:cs="Arial"/>
          <w:kern w:val="0"/>
          <w:sz w:val="20"/>
          <w:szCs w:val="20"/>
        </w:rPr>
        <w:t>在无代谢活化时使畸变数目增加。阿立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在体外细菌回复突变试验、细菌</w:t>
      </w:r>
      <w:r w:rsidRPr="00D218BC">
        <w:rPr>
          <w:rFonts w:ascii="Arial" w:eastAsia="宋体" w:hAnsi="Arial" w:cs="Arial"/>
          <w:kern w:val="0"/>
          <w:sz w:val="20"/>
          <w:szCs w:val="20"/>
        </w:rPr>
        <w:t>DNA</w:t>
      </w:r>
      <w:r w:rsidRPr="00D218BC">
        <w:rPr>
          <w:rFonts w:ascii="Arial" w:eastAsia="宋体" w:hAnsi="Arial" w:cs="Arial"/>
          <w:kern w:val="0"/>
          <w:sz w:val="20"/>
          <w:szCs w:val="20"/>
        </w:rPr>
        <w:t>修复试验、小鼠淋巴细胞正向基因突变试验、程序外</w:t>
      </w:r>
      <w:r w:rsidRPr="00D218BC">
        <w:rPr>
          <w:rFonts w:ascii="Arial" w:eastAsia="宋体" w:hAnsi="Arial" w:cs="Arial"/>
          <w:kern w:val="0"/>
          <w:sz w:val="20"/>
          <w:szCs w:val="20"/>
        </w:rPr>
        <w:t>DNA</w:t>
      </w:r>
      <w:r w:rsidRPr="00D218BC">
        <w:rPr>
          <w:rFonts w:ascii="Arial" w:eastAsia="宋体" w:hAnsi="Arial" w:cs="Arial"/>
          <w:kern w:val="0"/>
          <w:sz w:val="20"/>
          <w:szCs w:val="20"/>
        </w:rPr>
        <w:t>合成试验结果为阴性。</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生殖毒性</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经口给予本药后，</w:t>
      </w:r>
      <w:proofErr w:type="gramStart"/>
      <w:r w:rsidRPr="00D218BC">
        <w:rPr>
          <w:rFonts w:ascii="Arial" w:eastAsia="宋体" w:hAnsi="Arial" w:cs="Arial"/>
          <w:kern w:val="0"/>
          <w:sz w:val="20"/>
          <w:szCs w:val="20"/>
        </w:rPr>
        <w:t>雌大鼠</w:t>
      </w:r>
      <w:proofErr w:type="gramEnd"/>
      <w:r w:rsidRPr="00D218BC">
        <w:rPr>
          <w:rFonts w:ascii="Arial" w:eastAsia="宋体" w:hAnsi="Arial" w:cs="Arial"/>
          <w:kern w:val="0"/>
          <w:sz w:val="20"/>
          <w:szCs w:val="20"/>
        </w:rPr>
        <w:t>动情周期紊乱及黄体增加，雄大鼠前列腺萎缩和精子生成障碍，但均未见对生育力的损害。动物研究还显示本药有发育毒性作用，在大鼠和家兔中可能有致畸作用。</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致癌性</w:t>
      </w:r>
      <w:r w:rsidRPr="00D218BC">
        <w:rPr>
          <w:rFonts w:ascii="Arial" w:eastAsia="宋体" w:hAnsi="Arial" w:cs="Arial"/>
          <w:kern w:val="0"/>
          <w:sz w:val="20"/>
          <w:szCs w:val="20"/>
        </w:rPr>
        <w:t xml:space="preserve">  </w:t>
      </w:r>
      <w:r w:rsidRPr="00D218BC">
        <w:rPr>
          <w:rFonts w:ascii="Arial" w:eastAsia="宋体" w:hAnsi="Arial" w:cs="Arial"/>
          <w:kern w:val="0"/>
          <w:sz w:val="20"/>
          <w:szCs w:val="20"/>
        </w:rPr>
        <w:t>在为期</w:t>
      </w:r>
      <w:r w:rsidRPr="00D218BC">
        <w:rPr>
          <w:rFonts w:ascii="Arial" w:eastAsia="宋体" w:hAnsi="Arial" w:cs="Arial"/>
          <w:kern w:val="0"/>
          <w:sz w:val="20"/>
          <w:szCs w:val="20"/>
        </w:rPr>
        <w:t>2</w:t>
      </w:r>
      <w:r w:rsidRPr="00D218BC">
        <w:rPr>
          <w:rFonts w:ascii="Arial" w:eastAsia="宋体" w:hAnsi="Arial" w:cs="Arial"/>
          <w:kern w:val="0"/>
          <w:sz w:val="20"/>
          <w:szCs w:val="20"/>
        </w:rPr>
        <w:t>年的大鼠、小鼠致癌性研究中，雄性大小鼠未见肿瘤生成。雌性小鼠垂体腺瘤和乳腺癌、腺</w:t>
      </w:r>
      <w:proofErr w:type="gramStart"/>
      <w:r w:rsidRPr="00D218BC">
        <w:rPr>
          <w:rFonts w:ascii="Arial" w:eastAsia="宋体" w:hAnsi="Arial" w:cs="Arial"/>
          <w:kern w:val="0"/>
          <w:sz w:val="20"/>
          <w:szCs w:val="20"/>
        </w:rPr>
        <w:t>棘</w:t>
      </w:r>
      <w:proofErr w:type="gramEnd"/>
      <w:r w:rsidRPr="00D218BC">
        <w:rPr>
          <w:rFonts w:ascii="Arial" w:eastAsia="宋体" w:hAnsi="Arial" w:cs="Arial"/>
          <w:kern w:val="0"/>
          <w:sz w:val="20"/>
          <w:szCs w:val="20"/>
        </w:rPr>
        <w:t>皮癌的发生率增加。乳腺纤维腺瘤、肾上腺皮质癌及混合肾上腺皮质腺瘤</w:t>
      </w:r>
      <w:r w:rsidRPr="00D218BC">
        <w:rPr>
          <w:rFonts w:ascii="Arial" w:eastAsia="宋体" w:hAnsi="Arial" w:cs="Arial"/>
          <w:kern w:val="0"/>
          <w:sz w:val="20"/>
          <w:szCs w:val="20"/>
        </w:rPr>
        <w:t>(</w:t>
      </w:r>
      <w:r w:rsidRPr="00D218BC">
        <w:rPr>
          <w:rFonts w:ascii="Arial" w:eastAsia="宋体" w:hAnsi="Arial" w:cs="Arial"/>
          <w:kern w:val="0"/>
          <w:sz w:val="20"/>
          <w:szCs w:val="20"/>
        </w:rPr>
        <w:t>或</w:t>
      </w:r>
      <w:r w:rsidRPr="00D218BC">
        <w:rPr>
          <w:rFonts w:ascii="Arial" w:eastAsia="宋体" w:hAnsi="Arial" w:cs="Arial"/>
          <w:kern w:val="0"/>
          <w:sz w:val="20"/>
          <w:szCs w:val="20"/>
        </w:rPr>
        <w:t>)</w:t>
      </w:r>
      <w:r w:rsidRPr="00D218BC">
        <w:rPr>
          <w:rFonts w:ascii="Arial" w:eastAsia="宋体" w:hAnsi="Arial" w:cs="Arial"/>
          <w:kern w:val="0"/>
          <w:sz w:val="20"/>
          <w:szCs w:val="20"/>
        </w:rPr>
        <w:t>癌的发生率也会增加。</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【制剂与规格】</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片</w:t>
      </w:r>
      <w:r w:rsidRPr="00D218BC">
        <w:rPr>
          <w:rFonts w:ascii="Arial" w:eastAsia="宋体" w:hAnsi="Arial" w:cs="Arial"/>
          <w:kern w:val="0"/>
          <w:sz w:val="20"/>
          <w:szCs w:val="20"/>
        </w:rPr>
        <w:t xml:space="preserve">  (1)2mg</w:t>
      </w:r>
      <w:r w:rsidRPr="00D218BC">
        <w:rPr>
          <w:rFonts w:ascii="Arial" w:eastAsia="宋体" w:hAnsi="Arial" w:cs="Arial"/>
          <w:kern w:val="0"/>
          <w:sz w:val="20"/>
          <w:szCs w:val="20"/>
        </w:rPr>
        <w:t>。</w:t>
      </w:r>
      <w:r w:rsidRPr="00D218BC">
        <w:rPr>
          <w:rFonts w:ascii="Arial" w:eastAsia="宋体" w:hAnsi="Arial" w:cs="Arial"/>
          <w:kern w:val="0"/>
          <w:sz w:val="20"/>
          <w:szCs w:val="20"/>
        </w:rPr>
        <w:t>(2)5mg</w:t>
      </w:r>
      <w:r w:rsidRPr="00D218BC">
        <w:rPr>
          <w:rFonts w:ascii="Arial" w:eastAsia="宋体" w:hAnsi="Arial" w:cs="Arial"/>
          <w:kern w:val="0"/>
          <w:sz w:val="20"/>
          <w:szCs w:val="20"/>
        </w:rPr>
        <w:t>。</w:t>
      </w:r>
      <w:r w:rsidRPr="00D218BC">
        <w:rPr>
          <w:rFonts w:ascii="Arial" w:eastAsia="宋体" w:hAnsi="Arial" w:cs="Arial"/>
          <w:kern w:val="0"/>
          <w:sz w:val="20"/>
          <w:szCs w:val="20"/>
        </w:rPr>
        <w:t>(3)10mg</w:t>
      </w:r>
      <w:r w:rsidRPr="00D218BC">
        <w:rPr>
          <w:rFonts w:ascii="Arial" w:eastAsia="宋体" w:hAnsi="Arial" w:cs="Arial"/>
          <w:kern w:val="0"/>
          <w:sz w:val="20"/>
          <w:szCs w:val="20"/>
        </w:rPr>
        <w:t>。</w:t>
      </w:r>
      <w:r w:rsidRPr="00D218BC">
        <w:rPr>
          <w:rFonts w:ascii="Arial" w:eastAsia="宋体" w:hAnsi="Arial" w:cs="Arial"/>
          <w:kern w:val="0"/>
          <w:sz w:val="20"/>
          <w:szCs w:val="20"/>
        </w:rPr>
        <w:t>(4)15mg</w:t>
      </w:r>
      <w:r w:rsidRPr="00D218BC">
        <w:rPr>
          <w:rFonts w:ascii="Arial" w:eastAsia="宋体" w:hAnsi="Arial" w:cs="Arial"/>
          <w:kern w:val="0"/>
          <w:sz w:val="20"/>
          <w:szCs w:val="20"/>
        </w:rPr>
        <w:t>。</w:t>
      </w:r>
      <w:r w:rsidRPr="00D218BC">
        <w:rPr>
          <w:rFonts w:ascii="Arial" w:eastAsia="宋体" w:hAnsi="Arial" w:cs="Arial"/>
          <w:kern w:val="0"/>
          <w:sz w:val="20"/>
          <w:szCs w:val="20"/>
        </w:rPr>
        <w:t>(5)20mg</w:t>
      </w:r>
      <w:r w:rsidRPr="00D218BC">
        <w:rPr>
          <w:rFonts w:ascii="Arial" w:eastAsia="宋体" w:hAnsi="Arial" w:cs="Arial"/>
          <w:kern w:val="0"/>
          <w:sz w:val="20"/>
          <w:szCs w:val="20"/>
        </w:rPr>
        <w:t>。</w:t>
      </w:r>
      <w:r w:rsidRPr="00D218BC">
        <w:rPr>
          <w:rFonts w:ascii="Arial" w:eastAsia="宋体" w:hAnsi="Arial" w:cs="Arial"/>
          <w:kern w:val="0"/>
          <w:sz w:val="20"/>
          <w:szCs w:val="20"/>
        </w:rPr>
        <w:t>(6)30mg</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口腔崩解片</w:t>
      </w:r>
      <w:r w:rsidRPr="00D218BC">
        <w:rPr>
          <w:rFonts w:ascii="Arial" w:eastAsia="宋体" w:hAnsi="Arial" w:cs="Arial"/>
          <w:kern w:val="0"/>
          <w:sz w:val="20"/>
          <w:szCs w:val="20"/>
        </w:rPr>
        <w:t xml:space="preserve">  (1)5mg</w:t>
      </w:r>
      <w:r w:rsidRPr="00D218BC">
        <w:rPr>
          <w:rFonts w:ascii="Arial" w:eastAsia="宋体" w:hAnsi="Arial" w:cs="Arial"/>
          <w:kern w:val="0"/>
          <w:sz w:val="20"/>
          <w:szCs w:val="20"/>
        </w:rPr>
        <w:t>。</w:t>
      </w:r>
      <w:r w:rsidRPr="00D218BC">
        <w:rPr>
          <w:rFonts w:ascii="Arial" w:eastAsia="宋体" w:hAnsi="Arial" w:cs="Arial"/>
          <w:kern w:val="0"/>
          <w:sz w:val="20"/>
          <w:szCs w:val="20"/>
        </w:rPr>
        <w:t>(2)10mg</w:t>
      </w:r>
      <w:r w:rsidRPr="00D218BC">
        <w:rPr>
          <w:rFonts w:ascii="Arial" w:eastAsia="宋体" w:hAnsi="Arial" w:cs="Arial"/>
          <w:kern w:val="0"/>
          <w:sz w:val="20"/>
          <w:szCs w:val="20"/>
        </w:rPr>
        <w:t>。</w:t>
      </w:r>
      <w:r w:rsidRPr="00D218BC">
        <w:rPr>
          <w:rFonts w:ascii="Arial" w:eastAsia="宋体" w:hAnsi="Arial" w:cs="Arial"/>
          <w:kern w:val="0"/>
          <w:sz w:val="20"/>
          <w:szCs w:val="20"/>
        </w:rPr>
        <w:t>(3)15mg</w:t>
      </w:r>
      <w:r w:rsidRPr="00D218BC">
        <w:rPr>
          <w:rFonts w:ascii="Arial" w:eastAsia="宋体" w:hAnsi="Arial" w:cs="Arial"/>
          <w:kern w:val="0"/>
          <w:sz w:val="20"/>
          <w:szCs w:val="20"/>
        </w:rPr>
        <w:t>。</w:t>
      </w:r>
      <w:r w:rsidRPr="00D218BC">
        <w:rPr>
          <w:rFonts w:ascii="Arial" w:eastAsia="宋体" w:hAnsi="Arial" w:cs="Arial"/>
          <w:kern w:val="0"/>
          <w:sz w:val="20"/>
          <w:szCs w:val="20"/>
        </w:rPr>
        <w:t>(4)20mg</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胶囊</w:t>
      </w:r>
      <w:r w:rsidRPr="00D218BC">
        <w:rPr>
          <w:rFonts w:ascii="Arial" w:eastAsia="宋体" w:hAnsi="Arial" w:cs="Arial"/>
          <w:kern w:val="0"/>
          <w:sz w:val="20"/>
          <w:szCs w:val="20"/>
        </w:rPr>
        <w:t xml:space="preserve">  5mg</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口服液</w:t>
      </w:r>
      <w:r w:rsidRPr="00D218BC">
        <w:rPr>
          <w:rFonts w:ascii="Arial" w:eastAsia="宋体" w:hAnsi="Arial" w:cs="Arial"/>
          <w:kern w:val="0"/>
          <w:sz w:val="20"/>
          <w:szCs w:val="20"/>
        </w:rPr>
        <w:t xml:space="preserve">  150ml</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阿立</w:t>
      </w:r>
      <w:proofErr w:type="gramStart"/>
      <w:r w:rsidRPr="00D218BC">
        <w:rPr>
          <w:rFonts w:ascii="Arial" w:eastAsia="宋体" w:hAnsi="Arial" w:cs="Arial"/>
          <w:kern w:val="0"/>
          <w:sz w:val="20"/>
          <w:szCs w:val="20"/>
        </w:rPr>
        <w:t>哌唑</w:t>
      </w:r>
      <w:proofErr w:type="gramEnd"/>
      <w:r w:rsidRPr="00D218BC">
        <w:rPr>
          <w:rFonts w:ascii="Arial" w:eastAsia="宋体" w:hAnsi="Arial" w:cs="Arial"/>
          <w:kern w:val="0"/>
          <w:sz w:val="20"/>
          <w:szCs w:val="20"/>
        </w:rPr>
        <w:t>注射液</w:t>
      </w:r>
      <w:r w:rsidRPr="00D218BC">
        <w:rPr>
          <w:rFonts w:ascii="Arial" w:eastAsia="宋体" w:hAnsi="Arial" w:cs="Arial"/>
          <w:kern w:val="0"/>
          <w:sz w:val="20"/>
          <w:szCs w:val="20"/>
        </w:rPr>
        <w:t xml:space="preserve">  1.3ml:9.75mg</w:t>
      </w:r>
      <w:r w:rsidRPr="00D218BC">
        <w:rPr>
          <w:rFonts w:ascii="Arial" w:eastAsia="宋体" w:hAnsi="Arial" w:cs="Arial"/>
          <w:kern w:val="0"/>
          <w:sz w:val="20"/>
          <w:szCs w:val="20"/>
        </w:rPr>
        <w:t>。</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b/>
          <w:bCs/>
          <w:kern w:val="0"/>
          <w:sz w:val="20"/>
          <w:szCs w:val="20"/>
        </w:rPr>
        <w:t>【贮藏】</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片剂：密封干燥处保存。</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口腔崩解片：密封保存。</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胶囊：密封，干燥处保存。</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t>口服液：</w:t>
      </w:r>
      <w:r w:rsidRPr="00D218BC">
        <w:rPr>
          <w:rFonts w:ascii="Arial" w:eastAsia="宋体" w:hAnsi="Arial" w:cs="Arial"/>
          <w:kern w:val="0"/>
          <w:sz w:val="20"/>
          <w:szCs w:val="20"/>
        </w:rPr>
        <w:t>25</w:t>
      </w: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(15-30</w:t>
      </w: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w:t>
      </w:r>
      <w:r w:rsidRPr="00D218BC">
        <w:rPr>
          <w:rFonts w:ascii="Arial" w:eastAsia="宋体" w:hAnsi="Arial" w:cs="Arial"/>
          <w:kern w:val="0"/>
          <w:sz w:val="20"/>
          <w:szCs w:val="20"/>
        </w:rPr>
        <w:t>，密封保存。</w:t>
      </w:r>
    </w:p>
    <w:p w:rsidR="00D218BC" w:rsidRPr="00D218BC" w:rsidRDefault="00D218BC" w:rsidP="00D218BC">
      <w:pPr>
        <w:widowControl/>
        <w:spacing w:before="150" w:after="150" w:line="336" w:lineRule="auto"/>
        <w:jc w:val="left"/>
        <w:rPr>
          <w:rFonts w:ascii="Arial" w:eastAsia="宋体" w:hAnsi="Arial" w:cs="Arial"/>
          <w:kern w:val="0"/>
          <w:sz w:val="20"/>
          <w:szCs w:val="20"/>
        </w:rPr>
      </w:pPr>
      <w:r w:rsidRPr="00D218BC">
        <w:rPr>
          <w:rFonts w:ascii="Arial" w:eastAsia="宋体" w:hAnsi="Arial" w:cs="Arial"/>
          <w:kern w:val="0"/>
          <w:sz w:val="20"/>
          <w:szCs w:val="20"/>
        </w:rPr>
        <w:lastRenderedPageBreak/>
        <w:t>注射液：</w:t>
      </w:r>
      <w:r w:rsidRPr="00D218BC">
        <w:rPr>
          <w:rFonts w:ascii="Arial" w:eastAsia="宋体" w:hAnsi="Arial" w:cs="Arial"/>
          <w:kern w:val="0"/>
          <w:sz w:val="20"/>
          <w:szCs w:val="20"/>
        </w:rPr>
        <w:t>25</w:t>
      </w: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(15-30</w:t>
      </w:r>
      <w:r w:rsidRPr="00D218BC">
        <w:rPr>
          <w:rFonts w:ascii="微软雅黑" w:eastAsia="微软雅黑" w:hAnsi="微软雅黑" w:cs="微软雅黑" w:hint="eastAsia"/>
          <w:kern w:val="0"/>
          <w:sz w:val="20"/>
          <w:szCs w:val="20"/>
        </w:rPr>
        <w:t>℃</w:t>
      </w:r>
      <w:r w:rsidRPr="00D218BC">
        <w:rPr>
          <w:rFonts w:ascii="Arial" w:eastAsia="宋体" w:hAnsi="Arial" w:cs="Arial"/>
          <w:kern w:val="0"/>
          <w:sz w:val="20"/>
          <w:szCs w:val="20"/>
        </w:rPr>
        <w:t>)</w:t>
      </w:r>
      <w:r w:rsidRPr="00D218BC">
        <w:rPr>
          <w:rFonts w:ascii="Arial" w:eastAsia="宋体" w:hAnsi="Arial" w:cs="Arial"/>
          <w:kern w:val="0"/>
          <w:sz w:val="20"/>
          <w:szCs w:val="20"/>
        </w:rPr>
        <w:t>，避光保存。</w:t>
      </w:r>
    </w:p>
    <w:p w:rsidR="00D218BC" w:rsidRPr="00D218BC" w:rsidRDefault="00D218BC" w:rsidP="00D218BC">
      <w:pPr>
        <w:widowControl/>
        <w:jc w:val="center"/>
        <w:rPr>
          <w:rFonts w:ascii="Arial" w:eastAsia="宋体" w:hAnsi="Arial" w:cs="Arial"/>
          <w:kern w:val="0"/>
          <w:sz w:val="20"/>
          <w:szCs w:val="20"/>
        </w:rPr>
      </w:pPr>
      <w:r w:rsidRPr="00D218BC">
        <w:rPr>
          <w:rFonts w:ascii="Arial" w:eastAsia="宋体" w:hAnsi="Arial" w:cs="Arial"/>
          <w:kern w:val="0"/>
          <w:sz w:val="20"/>
          <w:szCs w:val="20"/>
        </w:rPr>
        <w:t>使用</w:t>
      </w:r>
      <w:proofErr w:type="spellStart"/>
      <w:r w:rsidRPr="00D218BC">
        <w:rPr>
          <w:rFonts w:ascii="Arial" w:eastAsia="宋体" w:hAnsi="Arial" w:cs="Arial"/>
          <w:kern w:val="0"/>
          <w:sz w:val="20"/>
          <w:szCs w:val="20"/>
        </w:rPr>
        <w:t>UpToDate</w:t>
      </w:r>
      <w:proofErr w:type="spellEnd"/>
      <w:r w:rsidRPr="00D218BC">
        <w:rPr>
          <w:rFonts w:ascii="Arial" w:eastAsia="宋体" w:hAnsi="Arial" w:cs="Arial"/>
          <w:kern w:val="0"/>
          <w:sz w:val="20"/>
          <w:szCs w:val="20"/>
        </w:rPr>
        <w:t>临床顾问须遵循</w:t>
      </w:r>
      <w:hyperlink r:id="rId4" w:tgtFrame="_blank" w:history="1">
        <w:r w:rsidRPr="00D218BC">
          <w:rPr>
            <w:rFonts w:ascii="Arial" w:eastAsia="宋体" w:hAnsi="Arial" w:cs="Arial"/>
            <w:color w:val="336633"/>
            <w:kern w:val="0"/>
            <w:sz w:val="20"/>
            <w:szCs w:val="20"/>
            <w:u w:val="single"/>
          </w:rPr>
          <w:t>用户协议</w:t>
        </w:r>
      </w:hyperlink>
      <w:r w:rsidRPr="00D218BC">
        <w:rPr>
          <w:rFonts w:ascii="Arial" w:eastAsia="宋体" w:hAnsi="Arial" w:cs="Arial"/>
          <w:kern w:val="0"/>
          <w:sz w:val="20"/>
          <w:szCs w:val="20"/>
        </w:rPr>
        <w:t>。</w:t>
      </w:r>
      <w:r w:rsidRPr="00D218BC">
        <w:rPr>
          <w:rFonts w:ascii="Arial" w:eastAsia="宋体" w:hAnsi="Arial" w:cs="Arial"/>
          <w:kern w:val="0"/>
          <w:sz w:val="20"/>
          <w:szCs w:val="20"/>
        </w:rPr>
        <w:t xml:space="preserve"> </w:t>
      </w:r>
    </w:p>
    <w:p w:rsidR="00D218BC" w:rsidRPr="00D218BC" w:rsidRDefault="00D218BC" w:rsidP="00D218BC">
      <w:pPr>
        <w:widowControl/>
        <w:jc w:val="left"/>
        <w:rPr>
          <w:rFonts w:ascii="Arial" w:eastAsia="宋体" w:hAnsi="Arial" w:cs="Arial"/>
          <w:kern w:val="0"/>
          <w:sz w:val="20"/>
          <w:szCs w:val="20"/>
        </w:rPr>
      </w:pPr>
      <w:r w:rsidRPr="00D218BC">
        <w:rPr>
          <w:rFonts w:ascii="Arial" w:eastAsia="宋体" w:hAnsi="Arial" w:cs="Arial"/>
          <w:kern w:val="0"/>
          <w:sz w:val="20"/>
          <w:szCs w:val="20"/>
        </w:rPr>
        <w:t>专题</w:t>
      </w:r>
      <w:r w:rsidRPr="00D218BC">
        <w:rPr>
          <w:rFonts w:ascii="Arial" w:eastAsia="宋体" w:hAnsi="Arial" w:cs="Arial"/>
          <w:kern w:val="0"/>
          <w:sz w:val="20"/>
          <w:szCs w:val="20"/>
        </w:rPr>
        <w:t xml:space="preserve"> 92433 </w:t>
      </w:r>
      <w:r w:rsidRPr="00D218BC">
        <w:rPr>
          <w:rFonts w:ascii="Arial" w:eastAsia="宋体" w:hAnsi="Arial" w:cs="Arial"/>
          <w:kern w:val="0"/>
          <w:sz w:val="20"/>
          <w:szCs w:val="20"/>
        </w:rPr>
        <w:t>版本</w:t>
      </w:r>
      <w:r w:rsidRPr="00D218BC">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C3"/>
    <w:rsid w:val="0048715B"/>
    <w:rsid w:val="00792049"/>
    <w:rsid w:val="00D218BC"/>
    <w:rsid w:val="00F92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3EC95-F577-457D-829F-B42FA8B1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D218BC"/>
    <w:rPr>
      <w:b/>
      <w:bCs/>
    </w:rPr>
  </w:style>
  <w:style w:type="character" w:customStyle="1" w:styleId="h22">
    <w:name w:val="h22"/>
    <w:basedOn w:val="a0"/>
    <w:rsid w:val="00D218BC"/>
    <w:rPr>
      <w:b/>
      <w:bCs/>
    </w:rPr>
  </w:style>
  <w:style w:type="character" w:customStyle="1" w:styleId="nowrap1">
    <w:name w:val="nowrap1"/>
    <w:basedOn w:val="a0"/>
    <w:rsid w:val="00D21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895111">
      <w:bodyDiv w:val="1"/>
      <w:marLeft w:val="0"/>
      <w:marRight w:val="0"/>
      <w:marTop w:val="0"/>
      <w:marBottom w:val="0"/>
      <w:divBdr>
        <w:top w:val="none" w:sz="0" w:space="0" w:color="auto"/>
        <w:left w:val="none" w:sz="0" w:space="0" w:color="auto"/>
        <w:bottom w:val="none" w:sz="0" w:space="0" w:color="auto"/>
        <w:right w:val="none" w:sz="0" w:space="0" w:color="auto"/>
      </w:divBdr>
      <w:divsChild>
        <w:div w:id="182672262">
          <w:marLeft w:val="0"/>
          <w:marRight w:val="0"/>
          <w:marTop w:val="0"/>
          <w:marBottom w:val="0"/>
          <w:divBdr>
            <w:top w:val="none" w:sz="0" w:space="0" w:color="auto"/>
            <w:left w:val="none" w:sz="0" w:space="0" w:color="auto"/>
            <w:bottom w:val="none" w:sz="0" w:space="0" w:color="auto"/>
            <w:right w:val="none" w:sz="0" w:space="0" w:color="auto"/>
          </w:divBdr>
          <w:divsChild>
            <w:div w:id="136145154">
              <w:marLeft w:val="0"/>
              <w:marRight w:val="0"/>
              <w:marTop w:val="0"/>
              <w:marBottom w:val="0"/>
              <w:divBdr>
                <w:top w:val="none" w:sz="0" w:space="0" w:color="auto"/>
                <w:left w:val="none" w:sz="0" w:space="0" w:color="auto"/>
                <w:bottom w:val="none" w:sz="0" w:space="0" w:color="auto"/>
                <w:right w:val="none" w:sz="0" w:space="0" w:color="auto"/>
              </w:divBdr>
              <w:divsChild>
                <w:div w:id="431049220">
                  <w:marLeft w:val="450"/>
                  <w:marRight w:val="900"/>
                  <w:marTop w:val="450"/>
                  <w:marBottom w:val="450"/>
                  <w:divBdr>
                    <w:top w:val="none" w:sz="0" w:space="0" w:color="auto"/>
                    <w:left w:val="none" w:sz="0" w:space="0" w:color="auto"/>
                    <w:bottom w:val="none" w:sz="0" w:space="0" w:color="auto"/>
                    <w:right w:val="none" w:sz="0" w:space="0" w:color="auto"/>
                  </w:divBdr>
                  <w:divsChild>
                    <w:div w:id="1998922377">
                      <w:marLeft w:val="0"/>
                      <w:marRight w:val="0"/>
                      <w:marTop w:val="0"/>
                      <w:marBottom w:val="0"/>
                      <w:divBdr>
                        <w:top w:val="none" w:sz="0" w:space="0" w:color="auto"/>
                        <w:left w:val="none" w:sz="0" w:space="0" w:color="auto"/>
                        <w:bottom w:val="none" w:sz="0" w:space="0" w:color="auto"/>
                        <w:right w:val="none" w:sz="0" w:space="0" w:color="auto"/>
                      </w:divBdr>
                    </w:div>
                    <w:div w:id="1814368293">
                      <w:marLeft w:val="0"/>
                      <w:marRight w:val="0"/>
                      <w:marTop w:val="0"/>
                      <w:marBottom w:val="0"/>
                      <w:divBdr>
                        <w:top w:val="none" w:sz="0" w:space="0" w:color="auto"/>
                        <w:left w:val="none" w:sz="0" w:space="0" w:color="auto"/>
                        <w:bottom w:val="none" w:sz="0" w:space="0" w:color="auto"/>
                        <w:right w:val="none" w:sz="0" w:space="0" w:color="auto"/>
                      </w:divBdr>
                    </w:div>
                    <w:div w:id="1558663763">
                      <w:marLeft w:val="0"/>
                      <w:marRight w:val="0"/>
                      <w:marTop w:val="480"/>
                      <w:marBottom w:val="480"/>
                      <w:divBdr>
                        <w:top w:val="none" w:sz="0" w:space="0" w:color="auto"/>
                        <w:left w:val="none" w:sz="0" w:space="0" w:color="auto"/>
                        <w:bottom w:val="none" w:sz="0" w:space="0" w:color="auto"/>
                        <w:right w:val="none" w:sz="0" w:space="0" w:color="auto"/>
                      </w:divBdr>
                    </w:div>
                    <w:div w:id="994146927">
                      <w:marLeft w:val="0"/>
                      <w:marRight w:val="0"/>
                      <w:marTop w:val="0"/>
                      <w:marBottom w:val="0"/>
                      <w:divBdr>
                        <w:top w:val="none" w:sz="0" w:space="0" w:color="auto"/>
                        <w:left w:val="none" w:sz="0" w:space="0" w:color="auto"/>
                        <w:bottom w:val="none" w:sz="0" w:space="0" w:color="auto"/>
                        <w:right w:val="none" w:sz="0" w:space="0" w:color="auto"/>
                      </w:divBdr>
                      <w:divsChild>
                        <w:div w:id="17946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2015-02-09T05:02:00Z</dcterms:created>
  <dcterms:modified xsi:type="dcterms:W3CDTF">2015-02-09T05:03:00Z</dcterms:modified>
</cp:coreProperties>
</file>