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2B6" w:rsidRPr="005772B6" w:rsidRDefault="005772B6" w:rsidP="005772B6">
      <w:pPr>
        <w:widowControl/>
        <w:jc w:val="left"/>
        <w:rPr>
          <w:rFonts w:ascii="宋体" w:eastAsia="宋体" w:hAnsi="宋体" w:cs="宋体"/>
          <w:b/>
          <w:bCs/>
          <w:color w:val="000000"/>
          <w:kern w:val="0"/>
          <w:sz w:val="20"/>
          <w:szCs w:val="20"/>
        </w:rPr>
      </w:pPr>
      <w:bookmarkStart w:id="0" w:name="_GoBack"/>
      <w:r w:rsidRPr="005772B6">
        <w:rPr>
          <w:rFonts w:ascii="宋体" w:eastAsia="宋体" w:hAnsi="宋体" w:cs="宋体" w:hint="eastAsia"/>
          <w:b/>
          <w:bCs/>
          <w:color w:val="000000"/>
          <w:kern w:val="0"/>
          <w:sz w:val="20"/>
          <w:szCs w:val="20"/>
        </w:rPr>
        <w:t>多巴胺</w:t>
      </w:r>
    </w:p>
    <w:bookmarkEnd w:id="0"/>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文章版本号：2</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最后发布时间：2014-4-15 9:46:24</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【特别警示】</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为防止药液外渗导致局部组织缺血性腐烂和坏死，应尽快给予甲磺酸</w:t>
      </w:r>
      <w:proofErr w:type="gramStart"/>
      <w:r w:rsidRPr="005772B6">
        <w:rPr>
          <w:rFonts w:ascii="宋体" w:eastAsia="宋体" w:hAnsi="宋体" w:cs="宋体" w:hint="eastAsia"/>
          <w:color w:val="000000"/>
          <w:kern w:val="0"/>
          <w:sz w:val="20"/>
          <w:szCs w:val="20"/>
        </w:rPr>
        <w:t>酚</w:t>
      </w:r>
      <w:proofErr w:type="gramEnd"/>
      <w:r w:rsidRPr="005772B6">
        <w:rPr>
          <w:rFonts w:ascii="宋体" w:eastAsia="宋体" w:hAnsi="宋体" w:cs="宋体" w:hint="eastAsia"/>
          <w:color w:val="000000"/>
          <w:kern w:val="0"/>
          <w:sz w:val="20"/>
          <w:szCs w:val="20"/>
        </w:rPr>
        <w:t>妥拉明5-10mg(用10-15ml生理盐水稀释)进行局部浸润注射，在12小时内即可出现明显的局部充血改变。(FDA药品说明书-盐酸多巴胺注射液)</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【药物名称】</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中文通用名称：多巴胺</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英文通用名称：Dopamine</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其他名称：3-羟酪胺、儿茶酚乙胺、雅多博明、</w:t>
      </w:r>
      <w:proofErr w:type="gramStart"/>
      <w:r w:rsidRPr="005772B6">
        <w:rPr>
          <w:rFonts w:ascii="宋体" w:eastAsia="宋体" w:hAnsi="宋体" w:cs="宋体" w:hint="eastAsia"/>
          <w:color w:val="000000"/>
          <w:kern w:val="0"/>
          <w:sz w:val="20"/>
          <w:szCs w:val="20"/>
        </w:rPr>
        <w:t>诱</w:t>
      </w:r>
      <w:proofErr w:type="gramEnd"/>
      <w:r w:rsidRPr="005772B6">
        <w:rPr>
          <w:rFonts w:ascii="宋体" w:eastAsia="宋体" w:hAnsi="宋体" w:cs="宋体" w:hint="eastAsia"/>
          <w:color w:val="000000"/>
          <w:kern w:val="0"/>
          <w:sz w:val="20"/>
          <w:szCs w:val="20"/>
        </w:rPr>
        <w:t>托平、</w:t>
      </w:r>
      <w:proofErr w:type="spellStart"/>
      <w:r w:rsidRPr="005772B6">
        <w:rPr>
          <w:rFonts w:ascii="宋体" w:eastAsia="宋体" w:hAnsi="宋体" w:cs="宋体" w:hint="eastAsia"/>
          <w:color w:val="000000"/>
          <w:kern w:val="0"/>
          <w:sz w:val="20"/>
          <w:szCs w:val="20"/>
        </w:rPr>
        <w:t>Catabon</w:t>
      </w:r>
      <w:proofErr w:type="spellEnd"/>
      <w:r w:rsidRPr="005772B6">
        <w:rPr>
          <w:rFonts w:ascii="宋体" w:eastAsia="宋体" w:hAnsi="宋体" w:cs="宋体" w:hint="eastAsia"/>
          <w:color w:val="000000"/>
          <w:kern w:val="0"/>
          <w:sz w:val="20"/>
          <w:szCs w:val="20"/>
        </w:rPr>
        <w:t>、</w:t>
      </w:r>
      <w:proofErr w:type="spellStart"/>
      <w:r w:rsidRPr="005772B6">
        <w:rPr>
          <w:rFonts w:ascii="宋体" w:eastAsia="宋体" w:hAnsi="宋体" w:cs="宋体" w:hint="eastAsia"/>
          <w:color w:val="000000"/>
          <w:kern w:val="0"/>
          <w:sz w:val="20"/>
          <w:szCs w:val="20"/>
        </w:rPr>
        <w:t>Dopaminum</w:t>
      </w:r>
      <w:proofErr w:type="spellEnd"/>
      <w:r w:rsidRPr="005772B6">
        <w:rPr>
          <w:rFonts w:ascii="宋体" w:eastAsia="宋体" w:hAnsi="宋体" w:cs="宋体" w:hint="eastAsia"/>
          <w:color w:val="000000"/>
          <w:kern w:val="0"/>
          <w:sz w:val="20"/>
          <w:szCs w:val="20"/>
        </w:rPr>
        <w:t>、</w:t>
      </w:r>
      <w:proofErr w:type="spellStart"/>
      <w:r w:rsidRPr="005772B6">
        <w:rPr>
          <w:rFonts w:ascii="宋体" w:eastAsia="宋体" w:hAnsi="宋体" w:cs="宋体" w:hint="eastAsia"/>
          <w:color w:val="000000"/>
          <w:kern w:val="0"/>
          <w:sz w:val="20"/>
          <w:szCs w:val="20"/>
        </w:rPr>
        <w:t>Dopastat</w:t>
      </w:r>
      <w:proofErr w:type="spellEnd"/>
      <w:r w:rsidRPr="005772B6">
        <w:rPr>
          <w:rFonts w:ascii="宋体" w:eastAsia="宋体" w:hAnsi="宋体" w:cs="宋体" w:hint="eastAsia"/>
          <w:color w:val="000000"/>
          <w:kern w:val="0"/>
          <w:sz w:val="20"/>
          <w:szCs w:val="20"/>
        </w:rPr>
        <w:t>。</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【药理分类】</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心血管系统用药&gt;&gt;血管活性药&gt;&gt;抗休克血管活性药</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【临床应用】</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CFDA说明书适应症</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1.用于心肌梗死、创伤、内毒素败血症、心脏手术、肾衰竭、充血性心力衰竭等引起的休克综合征。</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2.用于补充血容量疗效不佳的休克，尤其有少尿及周围血管阻力正常或较低的休克。</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3.由于本药可增加心排血量，也可用于洋地黄及利尿药无效的心功能不全。</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其他临床应用参考</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1.用于严重低血压。</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2.用于有症状的心动过缓或对阿托品、安置起搏器无效的心脏传导阻滞。</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【用法与用量】</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成人</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◆常规剂量</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·一般用法</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1.静脉滴注  (1)开始时1-5μg/(kg·min)，每10-30分钟增加1-4μg/(kg·min)，直至出现满意疗效。(2)危重患者可先按5μg/(kg·min)滴注，然后按5-10μg/(kg·min)递增直至20-50μg/(kg·min)，以达到满意效应。或本药20mg加入5%葡萄糖注射液200-300ml中静滴，开始时按75-100μg/min滴入，以后根据血压情况可加快速度或加大浓度，但最大剂量不超过500μg/min。</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·休克</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lastRenderedPageBreak/>
        <w:t>1.静脉滴注  开始剂量为5μg/(kg·min)，逐渐增至5-10μg/(kg·min)，最大剂量为20μg/(kg·min)。停药时应逐渐减量，防止低血压再度发生。</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·闭塞性血管病变</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1.静脉滴注  静</w:t>
      </w:r>
      <w:proofErr w:type="gramStart"/>
      <w:r w:rsidRPr="005772B6">
        <w:rPr>
          <w:rFonts w:ascii="宋体" w:eastAsia="宋体" w:hAnsi="宋体" w:cs="宋体" w:hint="eastAsia"/>
          <w:color w:val="000000"/>
          <w:kern w:val="0"/>
          <w:sz w:val="20"/>
          <w:szCs w:val="20"/>
        </w:rPr>
        <w:t>滴开始</w:t>
      </w:r>
      <w:proofErr w:type="gramEnd"/>
      <w:r w:rsidRPr="005772B6">
        <w:rPr>
          <w:rFonts w:ascii="宋体" w:eastAsia="宋体" w:hAnsi="宋体" w:cs="宋体" w:hint="eastAsia"/>
          <w:color w:val="000000"/>
          <w:kern w:val="0"/>
          <w:sz w:val="20"/>
          <w:szCs w:val="20"/>
        </w:rPr>
        <w:t>时1μg/(kg·min)，渐增至5-10μg/(kg·min)，直至20μg/(kg·min)，以达到最满意效应。</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·短时间治疗慢性顽固性心力衰竭</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1.静脉滴注  开始剂量为0.5-2μg/(kg·min)，然后逐渐增加剂量直至尿量增加。多数患者给予1-3μg/(kg·min)即可生效。</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【国外用法用量参考】</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成人</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◆常规剂量</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·一般用法</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1.静脉滴注  初始剂量为2-5μg/(kg·min)，按5-10μg/(kg·min)增加剂量，最大剂量为50μg/(kg·min)。</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◆肾功能不全时剂量</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血流量充足但尿量不足的患者</w:t>
      </w:r>
      <w:proofErr w:type="gramStart"/>
      <w:r w:rsidRPr="005772B6">
        <w:rPr>
          <w:rFonts w:ascii="宋体" w:eastAsia="宋体" w:hAnsi="宋体" w:cs="宋体" w:hint="eastAsia"/>
          <w:color w:val="000000"/>
          <w:kern w:val="0"/>
          <w:sz w:val="20"/>
          <w:szCs w:val="20"/>
        </w:rPr>
        <w:t>本药需减量</w:t>
      </w:r>
      <w:proofErr w:type="gramEnd"/>
      <w:r w:rsidRPr="005772B6">
        <w:rPr>
          <w:rFonts w:ascii="宋体" w:eastAsia="宋体" w:hAnsi="宋体" w:cs="宋体" w:hint="eastAsia"/>
          <w:color w:val="000000"/>
          <w:kern w:val="0"/>
          <w:sz w:val="20"/>
          <w:szCs w:val="20"/>
        </w:rPr>
        <w:t>。如患者对本药无反应且尿量未增加，需停用本药(用药24小时后逐渐减少剂量)。</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◆其他疾病时剂量</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1.烧伤患者：烧伤患者本药代谢改变，此类患者需增加剂量。</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2.先兆子痫患者：先兆子痫且少尿患者本药推荐剂量为1-5μg/(kg·min)。</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儿童</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◆常规剂量</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·严重低血压</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1.静脉滴注  初始剂量为2-5μg/(kg·min)，按5-10μg/(kg·min)增加剂量，最大剂量为30μg/(kg·min)。</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【给药说明】</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给药方式说明</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静脉给药  (1)应选用粗大的静脉作静注或静滴，同时防止药液外渗而导致局部组织缺血性腐烂和坏死；如发现输入部位的皮肤变色，应更改静注或静滴部位，并将</w:t>
      </w:r>
      <w:proofErr w:type="gramStart"/>
      <w:r w:rsidRPr="005772B6">
        <w:rPr>
          <w:rFonts w:ascii="宋体" w:eastAsia="宋体" w:hAnsi="宋体" w:cs="宋体" w:hint="eastAsia"/>
          <w:color w:val="000000"/>
          <w:kern w:val="0"/>
          <w:sz w:val="20"/>
          <w:szCs w:val="20"/>
        </w:rPr>
        <w:t>酚</w:t>
      </w:r>
      <w:proofErr w:type="gramEnd"/>
      <w:r w:rsidRPr="005772B6">
        <w:rPr>
          <w:rFonts w:ascii="宋体" w:eastAsia="宋体" w:hAnsi="宋体" w:cs="宋体" w:hint="eastAsia"/>
          <w:color w:val="000000"/>
          <w:kern w:val="0"/>
          <w:sz w:val="20"/>
          <w:szCs w:val="20"/>
        </w:rPr>
        <w:t>妥拉明5-10mg用生理盐水稀释后在渗漏部位浸润注射，在12小时内即可出现明显的局部充血改变。(2)静脉滴注时，应根据血压、心率、尿量、外周血管灌注以及异位搏动出现与否等控制滴速和时间。当休克纠正后即应减慢滴速；遇有外周血管过度收缩而引起舒张压不成比例升高以至脉压减小或出现尿量减少、心率增快甚至心律失常时，滴</w:t>
      </w:r>
      <w:proofErr w:type="gramStart"/>
      <w:r w:rsidRPr="005772B6">
        <w:rPr>
          <w:rFonts w:ascii="宋体" w:eastAsia="宋体" w:hAnsi="宋体" w:cs="宋体" w:hint="eastAsia"/>
          <w:color w:val="000000"/>
          <w:kern w:val="0"/>
          <w:sz w:val="20"/>
          <w:szCs w:val="20"/>
        </w:rPr>
        <w:t>速必须</w:t>
      </w:r>
      <w:proofErr w:type="gramEnd"/>
      <w:r w:rsidRPr="005772B6">
        <w:rPr>
          <w:rFonts w:ascii="宋体" w:eastAsia="宋体" w:hAnsi="宋体" w:cs="宋体" w:hint="eastAsia"/>
          <w:color w:val="000000"/>
          <w:kern w:val="0"/>
          <w:sz w:val="20"/>
          <w:szCs w:val="20"/>
        </w:rPr>
        <w:t>减慢或暂停滴注。</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注射液的配制</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lastRenderedPageBreak/>
        <w:t>在静脉滴注前必须稀释，稀释液的浓度取决于剂量及个体需要的液体量。若不需扩容，可用0.8mg/ml溶液；如有液体潴留，则可用1.6-3.2mg/ml溶液。本药中、小剂量对外周血管阻力无作用，用于处理低心排血量引起的低血压；较大剂量则用于提高外周血管阻力以纠正低血压。</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【禁忌症】</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1.对本药过敏者。</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2.环丙烷麻醉者。</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3.快速型心律失常者(如心室颤动)(国外资料)。</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【慎用】</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1.肢端循环不良患者。</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2.频繁的室性心律失常患者。</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3.闭塞性血管病[包括动脉栓塞、动脉粥样硬化、血栓闭塞性脉管炎、糖尿病性动脉内膜炎、雷诺病、冻伤(如冻疮)等]患者或有既往史者。</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4.心绞痛患者(国外资料)。</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【特殊人群】</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儿童</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本药在儿童中的应用尚无充分研究。</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老人</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本药在老年人中的应用尚无充分研究。</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妊娠期妇女</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1.对人体的研究尚不充分，妊娠期妇女用药须权衡利弊。</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2.美国食品药品管理局(FDA)对本药的妊娠安全性分级为C级。</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哺乳期妇女</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本药是否随乳汁分泌尚不明确，但在哺乳期妇女中应用尚未发生问题。</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特殊疾病状态</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嗜铬细胞瘤患者：嗜铬细胞瘤患者不宜使用本药。</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【不良反应】</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1.心血管系统  常见胸痛、心悸、心律失常(尤其是大剂量时)、心搏快而有力。少见心率减慢。有引起血压升高或下降的报道。</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2.呼吸系统  常见呼吸困难。</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3.泌尿生殖系统  有引起氮质血症的报道。有使用多巴胺受体激动药治疗帕金森后出现性欲增强、性欲亢进的报道，尤其在高剂量时，降低剂量或停药后一般可逆转。</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4.神经系统  少见头痛。</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lastRenderedPageBreak/>
        <w:t>5.胃肠道  少见恶心、呕吐。</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6.其他  常见全身软弱无力。长期大剂量或小剂量用于周围血管病患者，可出现手足疼痛或手足发冷，周围血管长期收缩可能导致局部组织坏死或坏疽。有使用多巴胺受体激动药治疗帕金森后出现病理性赌博的报道，尤其在高剂量时，降低剂量或停药后一般可逆转。</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【药物相互作用】</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药物-药物相互作用</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1.其他正性肌力药、血管扩张药、心脏活性药：</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结果：合用可产生比单用本药更有益的血流动力学效应。</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2.单胺氧化酶抑制药：</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结果：合用可增强和延长本药效应。</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机制：本</w:t>
      </w:r>
      <w:proofErr w:type="gramStart"/>
      <w:r w:rsidRPr="005772B6">
        <w:rPr>
          <w:rFonts w:ascii="宋体" w:eastAsia="宋体" w:hAnsi="宋体" w:cs="宋体" w:hint="eastAsia"/>
          <w:color w:val="000000"/>
          <w:kern w:val="0"/>
          <w:sz w:val="20"/>
          <w:szCs w:val="20"/>
        </w:rPr>
        <w:t>药通过</w:t>
      </w:r>
      <w:proofErr w:type="gramEnd"/>
      <w:r w:rsidRPr="005772B6">
        <w:rPr>
          <w:rFonts w:ascii="宋体" w:eastAsia="宋体" w:hAnsi="宋体" w:cs="宋体" w:hint="eastAsia"/>
          <w:color w:val="000000"/>
          <w:kern w:val="0"/>
          <w:sz w:val="20"/>
          <w:szCs w:val="20"/>
        </w:rPr>
        <w:t>单胺氧化酶代谢。</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处理：用本药前2-3周曾接受过单胺氧化酶抑制药治疗者，使用本药时，初始剂量至少应减至常用剂量的1/10。</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3.</w:t>
      </w:r>
      <w:proofErr w:type="gramStart"/>
      <w:r w:rsidRPr="005772B6">
        <w:rPr>
          <w:rFonts w:ascii="宋体" w:eastAsia="宋体" w:hAnsi="宋体" w:cs="宋体" w:hint="eastAsia"/>
          <w:color w:val="000000"/>
          <w:kern w:val="0"/>
          <w:sz w:val="20"/>
          <w:szCs w:val="20"/>
        </w:rPr>
        <w:t>胍</w:t>
      </w:r>
      <w:proofErr w:type="gramEnd"/>
      <w:r w:rsidRPr="005772B6">
        <w:rPr>
          <w:rFonts w:ascii="宋体" w:eastAsia="宋体" w:hAnsi="宋体" w:cs="宋体" w:hint="eastAsia"/>
          <w:color w:val="000000"/>
          <w:kern w:val="0"/>
          <w:sz w:val="20"/>
          <w:szCs w:val="20"/>
        </w:rPr>
        <w:t>乙</w:t>
      </w:r>
      <w:proofErr w:type="gramStart"/>
      <w:r w:rsidRPr="005772B6">
        <w:rPr>
          <w:rFonts w:ascii="宋体" w:eastAsia="宋体" w:hAnsi="宋体" w:cs="宋体" w:hint="eastAsia"/>
          <w:color w:val="000000"/>
          <w:kern w:val="0"/>
          <w:sz w:val="20"/>
          <w:szCs w:val="20"/>
        </w:rPr>
        <w:t>啶</w:t>
      </w:r>
      <w:proofErr w:type="gramEnd"/>
      <w:r w:rsidRPr="005772B6">
        <w:rPr>
          <w:rFonts w:ascii="宋体" w:eastAsia="宋体" w:hAnsi="宋体" w:cs="宋体" w:hint="eastAsia"/>
          <w:color w:val="000000"/>
          <w:kern w:val="0"/>
          <w:sz w:val="20"/>
          <w:szCs w:val="20"/>
        </w:rPr>
        <w:t>：</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结果：合用可加强本药的升压效应，减弱</w:t>
      </w:r>
      <w:proofErr w:type="gramStart"/>
      <w:r w:rsidRPr="005772B6">
        <w:rPr>
          <w:rFonts w:ascii="宋体" w:eastAsia="宋体" w:hAnsi="宋体" w:cs="宋体" w:hint="eastAsia"/>
          <w:color w:val="000000"/>
          <w:kern w:val="0"/>
          <w:sz w:val="20"/>
          <w:szCs w:val="20"/>
        </w:rPr>
        <w:t>胍</w:t>
      </w:r>
      <w:proofErr w:type="gramEnd"/>
      <w:r w:rsidRPr="005772B6">
        <w:rPr>
          <w:rFonts w:ascii="宋体" w:eastAsia="宋体" w:hAnsi="宋体" w:cs="宋体" w:hint="eastAsia"/>
          <w:color w:val="000000"/>
          <w:kern w:val="0"/>
          <w:sz w:val="20"/>
          <w:szCs w:val="20"/>
        </w:rPr>
        <w:t>乙</w:t>
      </w:r>
      <w:proofErr w:type="gramStart"/>
      <w:r w:rsidRPr="005772B6">
        <w:rPr>
          <w:rFonts w:ascii="宋体" w:eastAsia="宋体" w:hAnsi="宋体" w:cs="宋体" w:hint="eastAsia"/>
          <w:color w:val="000000"/>
          <w:kern w:val="0"/>
          <w:sz w:val="20"/>
          <w:szCs w:val="20"/>
        </w:rPr>
        <w:t>啶</w:t>
      </w:r>
      <w:proofErr w:type="gramEnd"/>
      <w:r w:rsidRPr="005772B6">
        <w:rPr>
          <w:rFonts w:ascii="宋体" w:eastAsia="宋体" w:hAnsi="宋体" w:cs="宋体" w:hint="eastAsia"/>
          <w:color w:val="000000"/>
          <w:kern w:val="0"/>
          <w:sz w:val="20"/>
          <w:szCs w:val="20"/>
        </w:rPr>
        <w:t>的降压作用，可能导致高血压及心律失常。</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4.三环类抗抑郁药：</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结果：合用可引起心律失常、心动过速、高血压。</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机制：三环类抗抑郁药可增强本药的心血管作用。</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5.利尿药：</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结果：合用可增强利尿作用。</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机制：本药作用于多巴胺受体扩张肾血管，可使肾血流量增加；本药自身还有直接的利尿作用。</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6.全麻药(尤其是环丙烷或卤代碳氢化合物)：</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结果：此类药物可使心肌对本药异常敏感，致室性心律失常。</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7.苯妥英钠：</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结果：与苯妥英钠同时静注可产生低血压与心动过缓。</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处理：如用本药时需用苯妥</w:t>
      </w:r>
      <w:proofErr w:type="gramStart"/>
      <w:r w:rsidRPr="005772B6">
        <w:rPr>
          <w:rFonts w:ascii="宋体" w:eastAsia="宋体" w:hAnsi="宋体" w:cs="宋体" w:hint="eastAsia"/>
          <w:color w:val="000000"/>
          <w:kern w:val="0"/>
          <w:sz w:val="20"/>
          <w:szCs w:val="20"/>
        </w:rPr>
        <w:t>英钠抗惊厥</w:t>
      </w:r>
      <w:proofErr w:type="gramEnd"/>
      <w:r w:rsidRPr="005772B6">
        <w:rPr>
          <w:rFonts w:ascii="宋体" w:eastAsia="宋体" w:hAnsi="宋体" w:cs="宋体" w:hint="eastAsia"/>
          <w:color w:val="000000"/>
          <w:kern w:val="0"/>
          <w:sz w:val="20"/>
          <w:szCs w:val="20"/>
        </w:rPr>
        <w:t>治疗，则需考虑两药交替使用。</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8.β-肾上腺素受体阻断药：</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结果：β-肾上腺素受体阻断药可拮抗本药对心脏的β</w:t>
      </w:r>
      <w:r w:rsidRPr="005772B6">
        <w:rPr>
          <w:rFonts w:ascii="宋体" w:eastAsia="宋体" w:hAnsi="宋体" w:cs="宋体" w:hint="eastAsia"/>
          <w:color w:val="000000"/>
          <w:kern w:val="0"/>
          <w:sz w:val="20"/>
          <w:szCs w:val="20"/>
          <w:vertAlign w:val="subscript"/>
        </w:rPr>
        <w:t>1</w:t>
      </w:r>
      <w:r w:rsidRPr="005772B6">
        <w:rPr>
          <w:rFonts w:ascii="宋体" w:eastAsia="宋体" w:hAnsi="宋体" w:cs="宋体" w:hint="eastAsia"/>
          <w:color w:val="000000"/>
          <w:kern w:val="0"/>
          <w:sz w:val="20"/>
          <w:szCs w:val="20"/>
        </w:rPr>
        <w:t>受体作用。</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9.硝酸酯类药：</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结果：合用可减弱硝酸酯的抗心绞痛作用及本药的升压效应。</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10.α-肾上腺素受体阻断药(如</w:t>
      </w:r>
      <w:proofErr w:type="gramStart"/>
      <w:r w:rsidRPr="005772B6">
        <w:rPr>
          <w:rFonts w:ascii="宋体" w:eastAsia="宋体" w:hAnsi="宋体" w:cs="宋体" w:hint="eastAsia"/>
          <w:color w:val="000000"/>
          <w:kern w:val="0"/>
          <w:sz w:val="20"/>
          <w:szCs w:val="20"/>
        </w:rPr>
        <w:t>酚苄</w:t>
      </w:r>
      <w:proofErr w:type="gramEnd"/>
      <w:r w:rsidRPr="005772B6">
        <w:rPr>
          <w:rFonts w:ascii="宋体" w:eastAsia="宋体" w:hAnsi="宋体" w:cs="宋体" w:hint="eastAsia"/>
          <w:color w:val="000000"/>
          <w:kern w:val="0"/>
          <w:sz w:val="20"/>
          <w:szCs w:val="20"/>
        </w:rPr>
        <w:t>明、</w:t>
      </w:r>
      <w:proofErr w:type="gramStart"/>
      <w:r w:rsidRPr="005772B6">
        <w:rPr>
          <w:rFonts w:ascii="宋体" w:eastAsia="宋体" w:hAnsi="宋体" w:cs="宋体" w:hint="eastAsia"/>
          <w:color w:val="000000"/>
          <w:kern w:val="0"/>
          <w:sz w:val="20"/>
          <w:szCs w:val="20"/>
        </w:rPr>
        <w:t>酚</w:t>
      </w:r>
      <w:proofErr w:type="gramEnd"/>
      <w:r w:rsidRPr="005772B6">
        <w:rPr>
          <w:rFonts w:ascii="宋体" w:eastAsia="宋体" w:hAnsi="宋体" w:cs="宋体" w:hint="eastAsia"/>
          <w:color w:val="000000"/>
          <w:kern w:val="0"/>
          <w:sz w:val="20"/>
          <w:szCs w:val="20"/>
        </w:rPr>
        <w:t>妥拉明、妥拉</w:t>
      </w:r>
      <w:proofErr w:type="gramStart"/>
      <w:r w:rsidRPr="005772B6">
        <w:rPr>
          <w:rFonts w:ascii="宋体" w:eastAsia="宋体" w:hAnsi="宋体" w:cs="宋体" w:hint="eastAsia"/>
          <w:color w:val="000000"/>
          <w:kern w:val="0"/>
          <w:sz w:val="20"/>
          <w:szCs w:val="20"/>
        </w:rPr>
        <w:t>唑</w:t>
      </w:r>
      <w:proofErr w:type="gramEnd"/>
      <w:r w:rsidRPr="005772B6">
        <w:rPr>
          <w:rFonts w:ascii="宋体" w:eastAsia="宋体" w:hAnsi="宋体" w:cs="宋体" w:hint="eastAsia"/>
          <w:color w:val="000000"/>
          <w:kern w:val="0"/>
          <w:sz w:val="20"/>
          <w:szCs w:val="20"/>
        </w:rPr>
        <w:t>林)：</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lastRenderedPageBreak/>
        <w:t>结果：大剂量本药与此类药物合用，后者的扩血管效应可被本药的周围血管收缩作用拮抗。</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11.硝普钠、异丙肾上腺素、多巴</w:t>
      </w:r>
      <w:proofErr w:type="gramStart"/>
      <w:r w:rsidRPr="005772B6">
        <w:rPr>
          <w:rFonts w:ascii="宋体" w:eastAsia="宋体" w:hAnsi="宋体" w:cs="宋体" w:hint="eastAsia"/>
          <w:color w:val="000000"/>
          <w:kern w:val="0"/>
          <w:sz w:val="20"/>
          <w:szCs w:val="20"/>
        </w:rPr>
        <w:t>酚</w:t>
      </w:r>
      <w:proofErr w:type="gramEnd"/>
      <w:r w:rsidRPr="005772B6">
        <w:rPr>
          <w:rFonts w:ascii="宋体" w:eastAsia="宋体" w:hAnsi="宋体" w:cs="宋体" w:hint="eastAsia"/>
          <w:color w:val="000000"/>
          <w:kern w:val="0"/>
          <w:sz w:val="20"/>
          <w:szCs w:val="20"/>
        </w:rPr>
        <w:t>丁胺：</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结果：合用可引起心排血量的改变。</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处理：合用时应注意。</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【注意事项】</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用药警示</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1.应用本药治疗前必须纠正低血容量及酸中毒。</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2.在静脉滴注时，血压若继续下降或剂量调整后仍无改善，应停用本药，并改用更强的血管收缩药。</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3.突然停药可产生严重低血压，故停药时应逐渐递减。</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交叉过敏</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对其他拟交感类</w:t>
      </w:r>
      <w:proofErr w:type="gramStart"/>
      <w:r w:rsidRPr="005772B6">
        <w:rPr>
          <w:rFonts w:ascii="宋体" w:eastAsia="宋体" w:hAnsi="宋体" w:cs="宋体" w:hint="eastAsia"/>
          <w:color w:val="000000"/>
          <w:kern w:val="0"/>
          <w:sz w:val="20"/>
          <w:szCs w:val="20"/>
        </w:rPr>
        <w:t>药高度</w:t>
      </w:r>
      <w:proofErr w:type="gramEnd"/>
      <w:r w:rsidRPr="005772B6">
        <w:rPr>
          <w:rFonts w:ascii="宋体" w:eastAsia="宋体" w:hAnsi="宋体" w:cs="宋体" w:hint="eastAsia"/>
          <w:color w:val="000000"/>
          <w:kern w:val="0"/>
          <w:sz w:val="20"/>
          <w:szCs w:val="20"/>
        </w:rPr>
        <w:t>敏感的患者，也可能对本药过敏。</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用药前后及用药时应当检查或监测</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应监测患者血压、心电图、心排血量、尿量。</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高警讯药物</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美国安全用药规范研究院(ISMP)将本药定为高警讯药物，使用不当将给患者带来严重危害。</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制剂注意事项</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亚硫酸钠：本</w:t>
      </w:r>
      <w:proofErr w:type="gramStart"/>
      <w:r w:rsidRPr="005772B6">
        <w:rPr>
          <w:rFonts w:ascii="宋体" w:eastAsia="宋体" w:hAnsi="宋体" w:cs="宋体" w:hint="eastAsia"/>
          <w:color w:val="000000"/>
          <w:kern w:val="0"/>
          <w:sz w:val="20"/>
          <w:szCs w:val="20"/>
        </w:rPr>
        <w:t>药部分</w:t>
      </w:r>
      <w:proofErr w:type="gramEnd"/>
      <w:r w:rsidRPr="005772B6">
        <w:rPr>
          <w:rFonts w:ascii="宋体" w:eastAsia="宋体" w:hAnsi="宋体" w:cs="宋体" w:hint="eastAsia"/>
          <w:color w:val="000000"/>
          <w:kern w:val="0"/>
          <w:sz w:val="20"/>
          <w:szCs w:val="20"/>
        </w:rPr>
        <w:t>制剂可能含有亚硫酸钠。</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【国外专科用药信息参考】</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精神状况信息</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对精神障碍治疗的影响：单胺氧化酶抑制药可增强本药的作用。</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心血管注意事项</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1.本药为治疗低血压最常见的药物，具有收缩外周血管的作用，常与多巴</w:t>
      </w:r>
      <w:proofErr w:type="gramStart"/>
      <w:r w:rsidRPr="005772B6">
        <w:rPr>
          <w:rFonts w:ascii="宋体" w:eastAsia="宋体" w:hAnsi="宋体" w:cs="宋体" w:hint="eastAsia"/>
          <w:color w:val="000000"/>
          <w:kern w:val="0"/>
          <w:sz w:val="20"/>
          <w:szCs w:val="20"/>
        </w:rPr>
        <w:t>酚</w:t>
      </w:r>
      <w:proofErr w:type="gramEnd"/>
      <w:r w:rsidRPr="005772B6">
        <w:rPr>
          <w:rFonts w:ascii="宋体" w:eastAsia="宋体" w:hAnsi="宋体" w:cs="宋体" w:hint="eastAsia"/>
          <w:color w:val="000000"/>
          <w:kern w:val="0"/>
          <w:sz w:val="20"/>
          <w:szCs w:val="20"/>
        </w:rPr>
        <w:t>丁</w:t>
      </w:r>
      <w:proofErr w:type="gramStart"/>
      <w:r w:rsidRPr="005772B6">
        <w:rPr>
          <w:rFonts w:ascii="宋体" w:eastAsia="宋体" w:hAnsi="宋体" w:cs="宋体" w:hint="eastAsia"/>
          <w:color w:val="000000"/>
          <w:kern w:val="0"/>
          <w:sz w:val="20"/>
          <w:szCs w:val="20"/>
        </w:rPr>
        <w:t>胺联合</w:t>
      </w:r>
      <w:proofErr w:type="gramEnd"/>
      <w:r w:rsidRPr="005772B6">
        <w:rPr>
          <w:rFonts w:ascii="宋体" w:eastAsia="宋体" w:hAnsi="宋体" w:cs="宋体" w:hint="eastAsia"/>
          <w:color w:val="000000"/>
          <w:kern w:val="0"/>
          <w:sz w:val="20"/>
          <w:szCs w:val="20"/>
        </w:rPr>
        <w:t>应用以降低多巴</w:t>
      </w:r>
      <w:proofErr w:type="gramStart"/>
      <w:r w:rsidRPr="005772B6">
        <w:rPr>
          <w:rFonts w:ascii="宋体" w:eastAsia="宋体" w:hAnsi="宋体" w:cs="宋体" w:hint="eastAsia"/>
          <w:color w:val="000000"/>
          <w:kern w:val="0"/>
          <w:sz w:val="20"/>
          <w:szCs w:val="20"/>
        </w:rPr>
        <w:t>酚</w:t>
      </w:r>
      <w:proofErr w:type="gramEnd"/>
      <w:r w:rsidRPr="005772B6">
        <w:rPr>
          <w:rFonts w:ascii="宋体" w:eastAsia="宋体" w:hAnsi="宋体" w:cs="宋体" w:hint="eastAsia"/>
          <w:color w:val="000000"/>
          <w:kern w:val="0"/>
          <w:sz w:val="20"/>
          <w:szCs w:val="20"/>
        </w:rPr>
        <w:t>丁胺诱发血管舒张的低血压效应。低血压患者未纠正低血容量前不得使用本药或多巴</w:t>
      </w:r>
      <w:proofErr w:type="gramStart"/>
      <w:r w:rsidRPr="005772B6">
        <w:rPr>
          <w:rFonts w:ascii="宋体" w:eastAsia="宋体" w:hAnsi="宋体" w:cs="宋体" w:hint="eastAsia"/>
          <w:color w:val="000000"/>
          <w:kern w:val="0"/>
          <w:sz w:val="20"/>
          <w:szCs w:val="20"/>
        </w:rPr>
        <w:t>酚</w:t>
      </w:r>
      <w:proofErr w:type="gramEnd"/>
      <w:r w:rsidRPr="005772B6">
        <w:rPr>
          <w:rFonts w:ascii="宋体" w:eastAsia="宋体" w:hAnsi="宋体" w:cs="宋体" w:hint="eastAsia"/>
          <w:color w:val="000000"/>
          <w:kern w:val="0"/>
          <w:sz w:val="20"/>
          <w:szCs w:val="20"/>
        </w:rPr>
        <w:t>丁胺。</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2.本药可作用于颈动脉体的多巴胺受体，抑制其化学感受器反射，还可抑制心力衰竭患者的呼吸并引起肺血管分流，减少每分通气量和血氧饱和度，对呼吸功能障碍患者不利。</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护理注意事项</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1.应监测血压、心电图、心率、中心静脉压、右房压、血糖、肾功能、尿量；如安装肺动脉导管应监测心脏指数、肺毛细血管楔压、全身血管阻力、肺血管阻力。</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2.应持续监测心脏、血流动力学情况，住院患者应频繁监测静脉滴注部位。</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【药物过量】</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lastRenderedPageBreak/>
        <w:t>过量的表现</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过量或静滴速度过快可出现呼吸急促、心动过速甚至诱发心律失常、头痛和血压升高。</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过量的处理</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药物过量时应停药，必要时给予α-肾上腺素受体阻断药。</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【药理】</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药效学</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本药是交感神经递质的生物合成前体，也是中枢神经递质之一。可以激动交感神经系统的肾上腺素受体和位于肾、肠系膜、冠状动脉、脑动脉的多巴胺受体而发挥作用，其临床效应与剂量相关：(1)小剂量时(每分钟0.5-2μg/kg)，主要作用于多巴胺受体，扩张肾及肠系膜血管，从而使肾血流量及肾小球滤过率增加，尿量及钠排泄量增加。(2)中等剂量时(每分钟2-10μg/kg)，能直接激动β</w:t>
      </w:r>
      <w:r w:rsidRPr="005772B6">
        <w:rPr>
          <w:rFonts w:ascii="宋体" w:eastAsia="宋体" w:hAnsi="宋体" w:cs="宋体" w:hint="eastAsia"/>
          <w:color w:val="000000"/>
          <w:kern w:val="0"/>
          <w:sz w:val="20"/>
          <w:szCs w:val="20"/>
          <w:vertAlign w:val="subscript"/>
        </w:rPr>
        <w:t>1</w:t>
      </w:r>
      <w:r w:rsidRPr="005772B6">
        <w:rPr>
          <w:rFonts w:ascii="宋体" w:eastAsia="宋体" w:hAnsi="宋体" w:cs="宋体" w:hint="eastAsia"/>
          <w:color w:val="000000"/>
          <w:kern w:val="0"/>
          <w:sz w:val="20"/>
          <w:szCs w:val="20"/>
        </w:rPr>
        <w:t>受体并间接促使去甲肾上腺素自贮藏部位释放，对心肌产生正性应力作用，使心肌收缩力及心搏出量增加，从而使心排血量加大、收缩压升高、脉压增大、舒张压无变化或有轻度升高。此时，周围血管阻力常无改变，冠脉血流及心肌氧</w:t>
      </w:r>
      <w:proofErr w:type="gramStart"/>
      <w:r w:rsidRPr="005772B6">
        <w:rPr>
          <w:rFonts w:ascii="宋体" w:eastAsia="宋体" w:hAnsi="宋体" w:cs="宋体" w:hint="eastAsia"/>
          <w:color w:val="000000"/>
          <w:kern w:val="0"/>
          <w:sz w:val="20"/>
          <w:szCs w:val="20"/>
        </w:rPr>
        <w:t>耗得到</w:t>
      </w:r>
      <w:proofErr w:type="gramEnd"/>
      <w:r w:rsidRPr="005772B6">
        <w:rPr>
          <w:rFonts w:ascii="宋体" w:eastAsia="宋体" w:hAnsi="宋体" w:cs="宋体" w:hint="eastAsia"/>
          <w:color w:val="000000"/>
          <w:kern w:val="0"/>
          <w:sz w:val="20"/>
          <w:szCs w:val="20"/>
        </w:rPr>
        <w:t>改善。(3)大剂量时(每分钟大于10μg/kg)，能激动α受体，导致周围血管阻力增加，肾血管收缩，肾血流量及尿量反而减少。由于心排血量及周围血管阻力增加，致使收缩压及舒张压均增高。</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药动学</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本药口服无效，故一般静脉给药。静注5分钟内起效，并持续5-10分钟，作用时间的长短与用量无关。静脉滴注后在体内分布广泛，但不易通过血-脑脊液屏障。在体内较快通过单胺氧化酶、</w:t>
      </w:r>
      <w:proofErr w:type="gramStart"/>
      <w:r w:rsidRPr="005772B6">
        <w:rPr>
          <w:rFonts w:ascii="宋体" w:eastAsia="宋体" w:hAnsi="宋体" w:cs="宋体" w:hint="eastAsia"/>
          <w:color w:val="000000"/>
          <w:kern w:val="0"/>
          <w:sz w:val="20"/>
          <w:szCs w:val="20"/>
        </w:rPr>
        <w:t>儿茶酚氧位甲基转移酶</w:t>
      </w:r>
      <w:proofErr w:type="gramEnd"/>
      <w:r w:rsidRPr="005772B6">
        <w:rPr>
          <w:rFonts w:ascii="宋体" w:eastAsia="宋体" w:hAnsi="宋体" w:cs="宋体" w:hint="eastAsia"/>
          <w:color w:val="000000"/>
          <w:kern w:val="0"/>
          <w:sz w:val="20"/>
          <w:szCs w:val="20"/>
        </w:rPr>
        <w:t>(COMT)及多巴胺β-羟化酶的作用，在肝、肾及血浆中降解成无活性的化合物，一次用量的25%左右在肾上腺素神经末梢代谢成去甲肾上腺素。本药半衰期约为2分钟左右。经肾排泄，代谢产物约80%在24小时内随尿液排出，尿液内以代谢物为主，极少部分为原形。</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遗传、生殖毒性与致癌性</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◆生殖毒性  动物试验表明，本药无致畸性。本药可降低妊娠鼠的新生鼠仔存活率，且存活的鼠仔有形成白内障的潜在可能。</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【制剂与规格】</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盐酸多巴胺注射液  2ml:20mg。</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注射用盐酸多巴胺  (1)5mg。(2)10mg。(3)20mg。</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盐酸多巴胺葡萄糖注射液  250ml(盐酸多巴胺200mg、葡萄糖12.5g)。</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b/>
          <w:bCs/>
          <w:color w:val="000000"/>
          <w:kern w:val="0"/>
          <w:sz w:val="20"/>
          <w:szCs w:val="20"/>
        </w:rPr>
        <w:t>【贮藏】</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注射液：遮光、密闭保存。</w:t>
      </w:r>
    </w:p>
    <w:p w:rsidR="005772B6" w:rsidRPr="005772B6" w:rsidRDefault="005772B6" w:rsidP="005772B6">
      <w:pPr>
        <w:widowControl/>
        <w:spacing w:before="150" w:after="150" w:line="270" w:lineRule="atLeast"/>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粉针剂：遮光、密闭，在阴凉处保存。</w:t>
      </w:r>
    </w:p>
    <w:p w:rsidR="005772B6" w:rsidRPr="005772B6" w:rsidRDefault="005772B6" w:rsidP="005772B6">
      <w:pPr>
        <w:widowControl/>
        <w:jc w:val="center"/>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使用</w:t>
      </w:r>
      <w:proofErr w:type="spellStart"/>
      <w:r w:rsidRPr="005772B6">
        <w:rPr>
          <w:rFonts w:ascii="宋体" w:eastAsia="宋体" w:hAnsi="宋体" w:cs="宋体" w:hint="eastAsia"/>
          <w:color w:val="000000"/>
          <w:kern w:val="0"/>
          <w:sz w:val="20"/>
          <w:szCs w:val="20"/>
        </w:rPr>
        <w:t>UpToDate</w:t>
      </w:r>
      <w:proofErr w:type="spellEnd"/>
      <w:r w:rsidRPr="005772B6">
        <w:rPr>
          <w:rFonts w:ascii="宋体" w:eastAsia="宋体" w:hAnsi="宋体" w:cs="宋体" w:hint="eastAsia"/>
          <w:color w:val="000000"/>
          <w:kern w:val="0"/>
          <w:sz w:val="20"/>
          <w:szCs w:val="20"/>
        </w:rPr>
        <w:t>临床顾问须遵循</w:t>
      </w:r>
      <w:hyperlink r:id="rId5" w:tgtFrame="_blank" w:history="1">
        <w:r w:rsidRPr="005772B6">
          <w:rPr>
            <w:rFonts w:ascii="宋体" w:eastAsia="宋体" w:hAnsi="宋体" w:cs="宋体" w:hint="eastAsia"/>
            <w:color w:val="336633"/>
            <w:kern w:val="0"/>
            <w:sz w:val="20"/>
            <w:szCs w:val="20"/>
            <w:u w:val="single"/>
          </w:rPr>
          <w:t>用户协议</w:t>
        </w:r>
      </w:hyperlink>
      <w:r w:rsidRPr="005772B6">
        <w:rPr>
          <w:rFonts w:ascii="宋体" w:eastAsia="宋体" w:hAnsi="宋体" w:cs="宋体" w:hint="eastAsia"/>
          <w:color w:val="000000"/>
          <w:kern w:val="0"/>
          <w:sz w:val="20"/>
          <w:szCs w:val="20"/>
        </w:rPr>
        <w:t>。</w:t>
      </w:r>
    </w:p>
    <w:p w:rsidR="005772B6" w:rsidRPr="005772B6" w:rsidRDefault="005772B6" w:rsidP="005772B6">
      <w:pPr>
        <w:widowControl/>
        <w:jc w:val="left"/>
        <w:rPr>
          <w:rFonts w:ascii="宋体" w:eastAsia="宋体" w:hAnsi="宋体" w:cs="宋体" w:hint="eastAsia"/>
          <w:color w:val="000000"/>
          <w:kern w:val="0"/>
          <w:sz w:val="20"/>
          <w:szCs w:val="20"/>
        </w:rPr>
      </w:pPr>
      <w:r w:rsidRPr="005772B6">
        <w:rPr>
          <w:rFonts w:ascii="宋体" w:eastAsia="宋体" w:hAnsi="宋体" w:cs="宋体" w:hint="eastAsia"/>
          <w:color w:val="000000"/>
          <w:kern w:val="0"/>
          <w:sz w:val="20"/>
          <w:szCs w:val="20"/>
        </w:rPr>
        <w:t>专题 92152 版本 1.0</w:t>
      </w:r>
    </w:p>
    <w:p w:rsidR="00F249C2" w:rsidRDefault="00F249C2">
      <w:pPr>
        <w:rPr>
          <w:rFonts w:hint="eastAsia"/>
        </w:rPr>
      </w:pPr>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5EE"/>
    <w:rsid w:val="00004821"/>
    <w:rsid w:val="00066237"/>
    <w:rsid w:val="00073143"/>
    <w:rsid w:val="000B38BF"/>
    <w:rsid w:val="000C08B0"/>
    <w:rsid w:val="000C6442"/>
    <w:rsid w:val="001E5F70"/>
    <w:rsid w:val="001F5F78"/>
    <w:rsid w:val="00223E70"/>
    <w:rsid w:val="00225438"/>
    <w:rsid w:val="00225C91"/>
    <w:rsid w:val="002C6FD3"/>
    <w:rsid w:val="002D752C"/>
    <w:rsid w:val="0031147A"/>
    <w:rsid w:val="0031453D"/>
    <w:rsid w:val="00367A47"/>
    <w:rsid w:val="00375332"/>
    <w:rsid w:val="003A12DC"/>
    <w:rsid w:val="003D0C42"/>
    <w:rsid w:val="003D36E3"/>
    <w:rsid w:val="00425882"/>
    <w:rsid w:val="00445BCB"/>
    <w:rsid w:val="004648F0"/>
    <w:rsid w:val="004B1819"/>
    <w:rsid w:val="004C61DD"/>
    <w:rsid w:val="0051192D"/>
    <w:rsid w:val="00516203"/>
    <w:rsid w:val="00537B69"/>
    <w:rsid w:val="005772B6"/>
    <w:rsid w:val="00586C73"/>
    <w:rsid w:val="00587BDD"/>
    <w:rsid w:val="005E6210"/>
    <w:rsid w:val="005F4F0C"/>
    <w:rsid w:val="00601536"/>
    <w:rsid w:val="006114AC"/>
    <w:rsid w:val="0065304C"/>
    <w:rsid w:val="006864D1"/>
    <w:rsid w:val="006B2F84"/>
    <w:rsid w:val="006C4B5E"/>
    <w:rsid w:val="006F61A0"/>
    <w:rsid w:val="00734E5A"/>
    <w:rsid w:val="007547FF"/>
    <w:rsid w:val="007622E5"/>
    <w:rsid w:val="007958AE"/>
    <w:rsid w:val="007E5C52"/>
    <w:rsid w:val="007F5F90"/>
    <w:rsid w:val="008765A8"/>
    <w:rsid w:val="00906984"/>
    <w:rsid w:val="00917C91"/>
    <w:rsid w:val="009746BA"/>
    <w:rsid w:val="009913E6"/>
    <w:rsid w:val="00A27205"/>
    <w:rsid w:val="00AA5520"/>
    <w:rsid w:val="00AB4160"/>
    <w:rsid w:val="00AB568E"/>
    <w:rsid w:val="00AC2F02"/>
    <w:rsid w:val="00B40150"/>
    <w:rsid w:val="00B61210"/>
    <w:rsid w:val="00B771D5"/>
    <w:rsid w:val="00BB08DC"/>
    <w:rsid w:val="00BC1217"/>
    <w:rsid w:val="00BD3846"/>
    <w:rsid w:val="00C1018D"/>
    <w:rsid w:val="00C135EE"/>
    <w:rsid w:val="00D01360"/>
    <w:rsid w:val="00D526BA"/>
    <w:rsid w:val="00D710CA"/>
    <w:rsid w:val="00D75272"/>
    <w:rsid w:val="00DA2E11"/>
    <w:rsid w:val="00DA7700"/>
    <w:rsid w:val="00DC298E"/>
    <w:rsid w:val="00E000AF"/>
    <w:rsid w:val="00E70A56"/>
    <w:rsid w:val="00EC5536"/>
    <w:rsid w:val="00ED27D2"/>
    <w:rsid w:val="00ED2D23"/>
    <w:rsid w:val="00EF6F7E"/>
    <w:rsid w:val="00F249C2"/>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772B6"/>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5772B6"/>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5772B6"/>
  </w:style>
  <w:style w:type="character" w:customStyle="1" w:styleId="h2">
    <w:name w:val="h2"/>
    <w:basedOn w:val="a0"/>
    <w:rsid w:val="005772B6"/>
  </w:style>
  <w:style w:type="character" w:customStyle="1" w:styleId="nowrap">
    <w:name w:val="nowrap"/>
    <w:basedOn w:val="a0"/>
    <w:rsid w:val="005772B6"/>
  </w:style>
  <w:style w:type="character" w:styleId="a4">
    <w:name w:val="Hyperlink"/>
    <w:basedOn w:val="a0"/>
    <w:uiPriority w:val="99"/>
    <w:semiHidden/>
    <w:unhideWhenUsed/>
    <w:rsid w:val="005772B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772B6"/>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5772B6"/>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5772B6"/>
  </w:style>
  <w:style w:type="character" w:customStyle="1" w:styleId="h2">
    <w:name w:val="h2"/>
    <w:basedOn w:val="a0"/>
    <w:rsid w:val="005772B6"/>
  </w:style>
  <w:style w:type="character" w:customStyle="1" w:styleId="nowrap">
    <w:name w:val="nowrap"/>
    <w:basedOn w:val="a0"/>
    <w:rsid w:val="005772B6"/>
  </w:style>
  <w:style w:type="character" w:styleId="a4">
    <w:name w:val="Hyperlink"/>
    <w:basedOn w:val="a0"/>
    <w:uiPriority w:val="99"/>
    <w:semiHidden/>
    <w:unhideWhenUsed/>
    <w:rsid w:val="005772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190017">
      <w:bodyDiv w:val="1"/>
      <w:marLeft w:val="0"/>
      <w:marRight w:val="0"/>
      <w:marTop w:val="0"/>
      <w:marBottom w:val="0"/>
      <w:divBdr>
        <w:top w:val="none" w:sz="0" w:space="0" w:color="auto"/>
        <w:left w:val="none" w:sz="0" w:space="0" w:color="auto"/>
        <w:bottom w:val="none" w:sz="0" w:space="0" w:color="auto"/>
        <w:right w:val="none" w:sz="0" w:space="0" w:color="auto"/>
      </w:divBdr>
      <w:divsChild>
        <w:div w:id="1140999590">
          <w:marLeft w:val="0"/>
          <w:marRight w:val="0"/>
          <w:marTop w:val="480"/>
          <w:marBottom w:val="480"/>
          <w:divBdr>
            <w:top w:val="none" w:sz="0" w:space="0" w:color="auto"/>
            <w:left w:val="none" w:sz="0" w:space="0" w:color="auto"/>
            <w:bottom w:val="none" w:sz="0" w:space="0" w:color="auto"/>
            <w:right w:val="none" w:sz="0" w:space="0" w:color="auto"/>
          </w:divBdr>
        </w:div>
        <w:div w:id="25568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687</Words>
  <Characters>3916</Characters>
  <Application>Microsoft Office Word</Application>
  <DocSecurity>0</DocSecurity>
  <Lines>32</Lines>
  <Paragraphs>9</Paragraphs>
  <ScaleCrop>false</ScaleCrop>
  <Company>China</Company>
  <LinksUpToDate>false</LinksUpToDate>
  <CharactersWithSpaces>4594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2015-02-09T03:30:00Z</dcterms:created>
  <dcterms:modified xsi:type="dcterms:W3CDTF">2015-02-09T03:30:00Z</dcterms:modified>
</cp:coreProperties>
</file>