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24B" w:rsidRPr="0072024B" w:rsidRDefault="0072024B" w:rsidP="0072024B">
      <w:pPr>
        <w:widowControl/>
        <w:jc w:val="left"/>
        <w:rPr>
          <w:rFonts w:ascii="宋体" w:eastAsia="宋体" w:hAnsi="宋体" w:cs="宋体"/>
          <w:b/>
          <w:bCs/>
          <w:color w:val="000000"/>
          <w:kern w:val="0"/>
          <w:sz w:val="20"/>
          <w:szCs w:val="20"/>
        </w:rPr>
      </w:pPr>
      <w:bookmarkStart w:id="0" w:name="_GoBack"/>
      <w:proofErr w:type="gramStart"/>
      <w:r w:rsidRPr="0072024B">
        <w:rPr>
          <w:rFonts w:ascii="宋体" w:eastAsia="宋体" w:hAnsi="宋体" w:cs="宋体" w:hint="eastAsia"/>
          <w:b/>
          <w:bCs/>
          <w:color w:val="000000"/>
          <w:kern w:val="0"/>
          <w:sz w:val="20"/>
          <w:szCs w:val="20"/>
        </w:rPr>
        <w:t>呋</w:t>
      </w:r>
      <w:proofErr w:type="gramEnd"/>
      <w:r w:rsidRPr="0072024B">
        <w:rPr>
          <w:rFonts w:ascii="宋体" w:eastAsia="宋体" w:hAnsi="宋体" w:cs="宋体" w:hint="eastAsia"/>
          <w:b/>
          <w:bCs/>
          <w:color w:val="000000"/>
          <w:kern w:val="0"/>
          <w:sz w:val="20"/>
          <w:szCs w:val="20"/>
        </w:rPr>
        <w:t>塞米</w:t>
      </w:r>
      <w:bookmarkEnd w:id="0"/>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文章版本号：2</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最后发布时间：2014-4-15 9:46:48</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【特别警示】</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本药是一种过量给药能导致水电解质严重紊乱的利尿药。因此，用药过程中应严密监测并应根据患者需求个性化剂量。(FDA药品说明书-</w:t>
      </w:r>
      <w:proofErr w:type="gramStart"/>
      <w:r w:rsidRPr="0072024B">
        <w:rPr>
          <w:rFonts w:ascii="宋体" w:eastAsia="宋体" w:hAnsi="宋体" w:cs="宋体" w:hint="eastAsia"/>
          <w:color w:val="000000"/>
          <w:kern w:val="0"/>
          <w:sz w:val="20"/>
          <w:szCs w:val="20"/>
        </w:rPr>
        <w:t>呋</w:t>
      </w:r>
      <w:proofErr w:type="gramEnd"/>
      <w:r w:rsidRPr="0072024B">
        <w:rPr>
          <w:rFonts w:ascii="宋体" w:eastAsia="宋体" w:hAnsi="宋体" w:cs="宋体" w:hint="eastAsia"/>
          <w:color w:val="000000"/>
          <w:kern w:val="0"/>
          <w:sz w:val="20"/>
          <w:szCs w:val="20"/>
        </w:rPr>
        <w:t>塞米片)</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【药物名称】</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中文通用名称：</w:t>
      </w:r>
      <w:proofErr w:type="gramStart"/>
      <w:r w:rsidRPr="0072024B">
        <w:rPr>
          <w:rFonts w:ascii="宋体" w:eastAsia="宋体" w:hAnsi="宋体" w:cs="宋体" w:hint="eastAsia"/>
          <w:color w:val="000000"/>
          <w:kern w:val="0"/>
          <w:sz w:val="20"/>
          <w:szCs w:val="20"/>
        </w:rPr>
        <w:t>呋</w:t>
      </w:r>
      <w:proofErr w:type="gramEnd"/>
      <w:r w:rsidRPr="0072024B">
        <w:rPr>
          <w:rFonts w:ascii="宋体" w:eastAsia="宋体" w:hAnsi="宋体" w:cs="宋体" w:hint="eastAsia"/>
          <w:color w:val="000000"/>
          <w:kern w:val="0"/>
          <w:sz w:val="20"/>
          <w:szCs w:val="20"/>
        </w:rPr>
        <w:t>塞米</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英文通用名称：Furosemide</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其他名称：阿西亚、艾格、呋喃苯胺酸、腹安酸、利尿磺胺、利尿灵、速尿、速尿灵、</w:t>
      </w:r>
      <w:proofErr w:type="spellStart"/>
      <w:r w:rsidRPr="0072024B">
        <w:rPr>
          <w:rFonts w:ascii="宋体" w:eastAsia="宋体" w:hAnsi="宋体" w:cs="宋体" w:hint="eastAsia"/>
          <w:color w:val="000000"/>
          <w:kern w:val="0"/>
          <w:sz w:val="20"/>
          <w:szCs w:val="20"/>
        </w:rPr>
        <w:t>Frusemide</w:t>
      </w:r>
      <w:proofErr w:type="spellEnd"/>
      <w:r w:rsidRPr="0072024B">
        <w:rPr>
          <w:rFonts w:ascii="宋体" w:eastAsia="宋体" w:hAnsi="宋体" w:cs="宋体" w:hint="eastAsia"/>
          <w:color w:val="000000"/>
          <w:kern w:val="0"/>
          <w:sz w:val="20"/>
          <w:szCs w:val="20"/>
        </w:rPr>
        <w:t>、</w:t>
      </w:r>
      <w:proofErr w:type="spellStart"/>
      <w:r w:rsidRPr="0072024B">
        <w:rPr>
          <w:rFonts w:ascii="宋体" w:eastAsia="宋体" w:hAnsi="宋体" w:cs="宋体" w:hint="eastAsia"/>
          <w:color w:val="000000"/>
          <w:kern w:val="0"/>
          <w:sz w:val="20"/>
          <w:szCs w:val="20"/>
        </w:rPr>
        <w:t>Furosemidum</w:t>
      </w:r>
      <w:proofErr w:type="spellEnd"/>
      <w:r w:rsidRPr="0072024B">
        <w:rPr>
          <w:rFonts w:ascii="宋体" w:eastAsia="宋体" w:hAnsi="宋体" w:cs="宋体" w:hint="eastAsia"/>
          <w:color w:val="000000"/>
          <w:kern w:val="0"/>
          <w:sz w:val="20"/>
          <w:szCs w:val="20"/>
        </w:rPr>
        <w:t>、</w:t>
      </w:r>
      <w:proofErr w:type="spellStart"/>
      <w:r w:rsidRPr="0072024B">
        <w:rPr>
          <w:rFonts w:ascii="宋体" w:eastAsia="宋体" w:hAnsi="宋体" w:cs="宋体" w:hint="eastAsia"/>
          <w:color w:val="000000"/>
          <w:kern w:val="0"/>
          <w:sz w:val="20"/>
          <w:szCs w:val="20"/>
        </w:rPr>
        <w:t>Fursemide</w:t>
      </w:r>
      <w:proofErr w:type="spellEnd"/>
      <w:r w:rsidRPr="0072024B">
        <w:rPr>
          <w:rFonts w:ascii="宋体" w:eastAsia="宋体" w:hAnsi="宋体" w:cs="宋体" w:hint="eastAsia"/>
          <w:color w:val="000000"/>
          <w:kern w:val="0"/>
          <w:sz w:val="20"/>
          <w:szCs w:val="20"/>
        </w:rPr>
        <w:t>、Lasix。</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【药理分类】</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泌尿系统用药&gt;&gt;利尿药与脱水药&gt;&gt;利尿药&gt;&gt;</w:t>
      </w:r>
      <w:proofErr w:type="gramStart"/>
      <w:r w:rsidRPr="0072024B">
        <w:rPr>
          <w:rFonts w:ascii="宋体" w:eastAsia="宋体" w:hAnsi="宋体" w:cs="宋体" w:hint="eastAsia"/>
          <w:color w:val="000000"/>
          <w:kern w:val="0"/>
          <w:sz w:val="20"/>
          <w:szCs w:val="20"/>
        </w:rPr>
        <w:t>袢</w:t>
      </w:r>
      <w:proofErr w:type="gramEnd"/>
      <w:r w:rsidRPr="0072024B">
        <w:rPr>
          <w:rFonts w:ascii="宋体" w:eastAsia="宋体" w:hAnsi="宋体" w:cs="宋体" w:hint="eastAsia"/>
          <w:color w:val="000000"/>
          <w:kern w:val="0"/>
          <w:sz w:val="20"/>
          <w:szCs w:val="20"/>
        </w:rPr>
        <w:t>利尿药</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【临床应用】</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CFDA说明书适应症</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用于水肿性疾病，包括充血性心力衰竭、肝硬化、肾脏疾病(肾炎、肾病及多种原因所致的急、慢性肾衰竭)，尤其是在其他利尿药效果不佳时，应用本药可能有效。本药也可与其他药物合用于治疗急性肺水肿和急性脑水肿等。</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2.用于高血压。本药不作为治疗原发性高血压的首选药物，但当</w:t>
      </w:r>
      <w:proofErr w:type="gramStart"/>
      <w:r w:rsidRPr="0072024B">
        <w:rPr>
          <w:rFonts w:ascii="宋体" w:eastAsia="宋体" w:hAnsi="宋体" w:cs="宋体" w:hint="eastAsia"/>
          <w:color w:val="000000"/>
          <w:kern w:val="0"/>
          <w:sz w:val="20"/>
          <w:szCs w:val="20"/>
        </w:rPr>
        <w:t>噻嗪</w:t>
      </w:r>
      <w:proofErr w:type="gramEnd"/>
      <w:r w:rsidRPr="0072024B">
        <w:rPr>
          <w:rFonts w:ascii="宋体" w:eastAsia="宋体" w:hAnsi="宋体" w:cs="宋体" w:hint="eastAsia"/>
          <w:color w:val="000000"/>
          <w:kern w:val="0"/>
          <w:sz w:val="20"/>
          <w:szCs w:val="20"/>
        </w:rPr>
        <w:t>类药物疗效不佳，尤其当伴有肾功能不全或出现高血压危象时，本药尤为适用。</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3.用于预防急性肾衰竭。多种原因(失水、休克、中毒、麻醉意外及循环功能不全等)</w:t>
      </w:r>
      <w:proofErr w:type="gramStart"/>
      <w:r w:rsidRPr="0072024B">
        <w:rPr>
          <w:rFonts w:ascii="宋体" w:eastAsia="宋体" w:hAnsi="宋体" w:cs="宋体" w:hint="eastAsia"/>
          <w:color w:val="000000"/>
          <w:kern w:val="0"/>
          <w:sz w:val="20"/>
          <w:szCs w:val="20"/>
        </w:rPr>
        <w:t>导致肾血流</w:t>
      </w:r>
      <w:proofErr w:type="gramEnd"/>
      <w:r w:rsidRPr="0072024B">
        <w:rPr>
          <w:rFonts w:ascii="宋体" w:eastAsia="宋体" w:hAnsi="宋体" w:cs="宋体" w:hint="eastAsia"/>
          <w:color w:val="000000"/>
          <w:kern w:val="0"/>
          <w:sz w:val="20"/>
          <w:szCs w:val="20"/>
        </w:rPr>
        <w:t>灌注不足时，在纠正血容量不足的同时及时应用本药，可减少急性肾小管坏死的风险。</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4.用于高钾血症及高钙血症。</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5.用于稀释性低钠血症，尤其是当血钠浓度低于120mmol/L时。</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6.用于抗利尿激素分泌异常综合征(SIADH)。</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7.用于急性药物、毒物中毒，如巴比妥类药物中毒等。</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【用法与用量】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成人</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◆常规剂量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·水肿性疾病</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1.口服给药  起始剂量为一次20-40mg，一日1次，必要时6-8小时后追加20-40mg，直至出现满意利尿效果。一日最大剂量可达600mg，但一般应控制在100mg以内，分2-3次服用。部分患者可减少至一次20-40mg，隔日1次(或一日20-40mg，每周连续服药2-4日)。</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lastRenderedPageBreak/>
        <w:t>2.静脉注射  (1)一般剂量：起始剂量为20-40mg，必要时每2小时追加剂量，直至出现满意疗效。维持用药阶段可分次给药。(2)急性左心衰竭：起始剂量为40mg，必要时每1小时追加80mg，直至出现满意疗效。(3)慢性肾功能不全：一日剂量一般为40-120mg。</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3.静脉滴注  急性肾衰竭：以本药200-400mg加入氯化钠注射液100ml中，滴注速度不超过4mg/min。有效者可按原剂量重复应用或酌情调整剂量，一日总量不超过1g。利尿效果差时不宜再增加剂量，以免出现肾毒性，对急性肾衰竭功能恢复不利。</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·高血压</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1.口服给药  起始剂量为一日40-80mg，分2次服用，并酌情调整剂量。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2.静脉注射  高血压危象：起始剂量为40-80mg，伴急性左心衰竭或急性肾衰竭时，可酌情增加用量。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·高钙血症</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1.口服给药  一日80-120mg，分1-3次服用。</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2.静脉注射  一次20-80mg。</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儿童</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◆常规剂量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·水肿性疾病</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1.口服给药  起始剂量为2mg/kg，必要时每4-6小时追加1-2mg/kg。</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2.静脉注射  起始剂量为1mg/kg，必要时每2小时追加1mg/kg。一日最大剂量可达6mg/kg。</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【国外用法用量参考】</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成人</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◆常规剂量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·水肿性疾病(充血性心力衰竭引起的水肿、肾衰竭引起的水肿、其他原因引起的水肿)</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1.口服给药  起始剂量为一次20-80mg，可每6-8小时重复给药1次，最大剂量为一日600mg。维持剂量可在起始剂量基础上每6-8小时增加20-40mg，一日1次或一日2次，最大剂量为一日600mg。</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2.静脉给药  起始剂量为一次20-40mg，静脉给药1-2分钟。2小时后可重复使用相同剂量，或可增加剂量20mg，直至取得期望效应。给药可一日1次或一日2次。静脉滴注给药时应控制静脉滴注速率不得超过4mg/min。</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3.肌内注射  起始剂量为一次20-40mg。2小时后可重复使用相同剂量，或可增加20mg，直至取得期望效应。给药可一日1次或一日2次。</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·急性肺水肿辅助治疗</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1.静脉给药  一次40mg，静脉给药1-2分钟。1小时后可增加剂量至一次80mg，静脉给药1-2分钟。</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·高血压</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lastRenderedPageBreak/>
        <w:t>1.口服给药  起始剂量为一日80mg，分2次服用。</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◆肾功能不全时剂量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本药用于肾衰竭患者诱导利尿时可能需要比常规剂量更高的剂量。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◆肝功能不全时剂量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肝硬化患者及合并肝功能不全者可能需要调整剂量。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◆老年人剂量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老年患者无需调整剂量。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◆透析时剂量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透析患者无需调整剂量。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◆其他疾病时剂量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囊性纤维化患者：临床试验发现此类患者用药临床效应会增加，因此此类患者可能需要使用较低的起始剂量。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儿童</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◆常规剂量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·水肿性疾病(充血性心力衰竭引起的水肿、肾衰竭引起的水肿、其他原因引起的水肿)</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1.口服给药  (1)胎龄小于29周的早产儿，一次1-2mg/kg，每24小时1次。可增加剂量至一次6mg/kg。(2)胎龄大于29周的早产儿，一次1-2mg/kg，每12-24小时1次。(3)新生儿，一次1-3mg/kg，视需要可每8小时1次。(4)婴儿和儿童，初始剂量为一次2mg/kg，不早于前次给药6-8小时后可在起始剂量基础上增加1-2mg/kg给药。最大剂量为一次6mg/kg。</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2.静脉给药  (1)胎龄小于29周的早产儿，一次1mg/kg，每24小时1次。(2)胎龄小于29周的早产儿，一次1mg/kg，每12-24小时1次。(3)新生儿，一次1-3mg/kg，静脉给药3分钟，可每8小时重复使用相同剂量。(4)婴儿和儿童，起始剂量为一次1mg/kg，不早于前次给药2小时后可在起始剂量基础上增加1mg/kg给药。最大剂量为24小时内6mg/kg。</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3.肌内注射  用法用量同“静脉给药”项。</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·急性肺水肿的辅助治疗</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1.静脉给药  婴儿和儿童，起始剂量为一次1mg/kg，不早于前次给药2小时后可在起始剂量基础上增加1mg/kg给药。最大剂量为24小时内6mg/kg。</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2.肌内注射  用法用量同“静脉给药”项。</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◆肾功能不全时剂量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本药用于肾衰竭患者诱导利尿时可能需要比常规剂量更高的剂量。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◆肝功能不全时剂量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肝硬化患者及肝功能不全者可能需要调整剂量。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◆透析时剂量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lastRenderedPageBreak/>
        <w:t>透析患者无需调整剂量。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【给药说明】</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给药方式说明</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1.口服给药  如一日用药1次，则应早晨给药，以免夜间排尿次数增多。</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2.静脉给药  一般情况下不采用静脉注射给药，但在紧急情况下或患者不能口服时，可静脉注射(不主张肌内注射)。常规剂量静脉注射时间应超过1-2分钟，大剂量静脉滴注时不超过4mg/min。静脉用量为口服量的1/2时即可达到同样疗效。</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注射液的配制</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本药注射液为碱性较高的钠盐注射液，静脉注射时宜用氯化钠注射液稀释，而不宜用葡萄糖注射液稀释。</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【禁忌症】</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1.有本药过敏史者(国外资料)。</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2.低钾血症患者。</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3.肝性脑病患者。</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【慎用】</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1.无尿或严重肾功能损害者。</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2.糖尿病患者。</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3.高尿酸血症或有痛风病史者。</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4.严重肝功能损害者(因水、电解质紊乱可诱发肝性脑病)。</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5.急性心肌梗死者(过度利尿可促发休克)。</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6.胰腺炎或有胰腺炎病史者。</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7.有低钾血症倾向(尤其是应用洋地黄类药物或有室性心律失常者)者。</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8.红斑狼疮患者(因本药可加重病情或诱发狼疮活动)。</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9.前列腺肥大者。</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10.哺乳期妇女。</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11.老年患者。</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【特殊人群】</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儿童</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本药在新生儿体内半衰期明显延长，故新生儿用药间期应延长。</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老人</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老年人应用本药时发生低血压、电解质紊乱、血栓形成和肾功能损害的风险增加，故应慎用。</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lastRenderedPageBreak/>
        <w:t>妊娠期妇女</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1.动物试验表明本药可致流产、</w:t>
      </w:r>
      <w:proofErr w:type="gramStart"/>
      <w:r w:rsidRPr="0072024B">
        <w:rPr>
          <w:rFonts w:ascii="宋体" w:eastAsia="宋体" w:hAnsi="宋体" w:cs="宋体" w:hint="eastAsia"/>
          <w:color w:val="000000"/>
          <w:kern w:val="0"/>
          <w:sz w:val="20"/>
          <w:szCs w:val="20"/>
        </w:rPr>
        <w:t>胎仔肾盂积水</w:t>
      </w:r>
      <w:proofErr w:type="gramEnd"/>
      <w:r w:rsidRPr="0072024B">
        <w:rPr>
          <w:rFonts w:ascii="宋体" w:eastAsia="宋体" w:hAnsi="宋体" w:cs="宋体" w:hint="eastAsia"/>
          <w:color w:val="000000"/>
          <w:kern w:val="0"/>
          <w:sz w:val="20"/>
          <w:szCs w:val="20"/>
        </w:rPr>
        <w:t>、</w:t>
      </w:r>
      <w:proofErr w:type="gramStart"/>
      <w:r w:rsidRPr="0072024B">
        <w:rPr>
          <w:rFonts w:ascii="宋体" w:eastAsia="宋体" w:hAnsi="宋体" w:cs="宋体" w:hint="eastAsia"/>
          <w:color w:val="000000"/>
          <w:kern w:val="0"/>
          <w:sz w:val="20"/>
          <w:szCs w:val="20"/>
        </w:rPr>
        <w:t>胎仔死亡率</w:t>
      </w:r>
      <w:proofErr w:type="gramEnd"/>
      <w:r w:rsidRPr="0072024B">
        <w:rPr>
          <w:rFonts w:ascii="宋体" w:eastAsia="宋体" w:hAnsi="宋体" w:cs="宋体" w:hint="eastAsia"/>
          <w:color w:val="000000"/>
          <w:kern w:val="0"/>
          <w:sz w:val="20"/>
          <w:szCs w:val="20"/>
        </w:rPr>
        <w:t>升高。本药可通过胎盘屏障，妊娠期妇女(尤其是妊娠早期)应尽量避免使用。且本药对妊娠高血压综合征无预防作用。</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2.美国食品药品管理局(FDA)对本药的妊娠安全性分级为C级。</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哺乳期妇女</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本药可随乳汁排泄，哺乳期妇女应慎用。</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【不良反应】</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1.心血管系统  直立性低血压、休克、心律失常。</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2.代谢/内分泌系统  水、电解质紊乱(尤其是大剂量或长期应用时)较常见，如低钾血症、低氯血症、低氯性碱中毒、低钠血症、低钙血症。高血糖症较少见，可致血糖升高、尿糖阳性，尤其是糖尿病或糖尿病前期患者，可使原有糖尿病加重。</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3.呼吸系统  有哮喘加重的个案报道。</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4.肌肉骨骼系统  肌肉酸痛。较少见肌肉强直。</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5.泌尿生殖系统  高尿酸血症较少见，过度脱水可使血尿酸和尿素氮水平暂时性升高。在高钙血症时用本药，可引起肾结石。有本药静脉滴注致肾区疼痛的个案报道。</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6.神经系统  少见头晕、头痛、指</w:t>
      </w:r>
      <w:proofErr w:type="gramStart"/>
      <w:r w:rsidRPr="0072024B">
        <w:rPr>
          <w:rFonts w:ascii="宋体" w:eastAsia="宋体" w:hAnsi="宋体" w:cs="宋体" w:hint="eastAsia"/>
          <w:color w:val="000000"/>
          <w:kern w:val="0"/>
          <w:sz w:val="20"/>
          <w:szCs w:val="20"/>
        </w:rPr>
        <w:t>趾</w:t>
      </w:r>
      <w:proofErr w:type="gramEnd"/>
      <w:r w:rsidRPr="0072024B">
        <w:rPr>
          <w:rFonts w:ascii="宋体" w:eastAsia="宋体" w:hAnsi="宋体" w:cs="宋体" w:hint="eastAsia"/>
          <w:color w:val="000000"/>
          <w:kern w:val="0"/>
          <w:sz w:val="20"/>
          <w:szCs w:val="20"/>
        </w:rPr>
        <w:t>感觉异常。</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7.肝脏  肝功能损害较少见。</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8.胃肠道  口渴、食欲减退、恶心、呕吐、腹痛、腹泻、胰腺炎等较少见。长期应用还可致胃及十二指肠溃疡。</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9.血液  可使骨髓抑制而导致粒细胞减少、血小板减少性紫癜和再生障碍性贫血，但较少见。</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10.眼  少见视物模糊、黄视症、光敏感。</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11.耳  耳鸣、听力障碍多见于大剂量静脉快速注射本药时(注射速度大于4-15mg/min)，多为暂时性，少数为不可逆性(尤其是与其他有耳毒性的药物合用时)。</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12.过敏反应  少见过敏反应(包括皮疹、间质性肾炎，重者可致心脏停搏)。有本药静脉注射致过敏性休克的个案报道。</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13.其他  特发性水肿加重、乏力。</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【药物相互作用】</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药物-药物相互作用</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1.多巴胺：</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结果：合用可使本药利尿作用增强。</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2.</w:t>
      </w:r>
      <w:proofErr w:type="gramStart"/>
      <w:r w:rsidRPr="0072024B">
        <w:rPr>
          <w:rFonts w:ascii="宋体" w:eastAsia="宋体" w:hAnsi="宋体" w:cs="宋体" w:hint="eastAsia"/>
          <w:color w:val="000000"/>
          <w:kern w:val="0"/>
          <w:sz w:val="20"/>
          <w:szCs w:val="20"/>
        </w:rPr>
        <w:t>氯贝丁</w:t>
      </w:r>
      <w:proofErr w:type="gramEnd"/>
      <w:r w:rsidRPr="0072024B">
        <w:rPr>
          <w:rFonts w:ascii="宋体" w:eastAsia="宋体" w:hAnsi="宋体" w:cs="宋体" w:hint="eastAsia"/>
          <w:color w:val="000000"/>
          <w:kern w:val="0"/>
          <w:sz w:val="20"/>
          <w:szCs w:val="20"/>
        </w:rPr>
        <w:t>酯：</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结果：合用可使两药的作用均增强，并可出现肌肉酸痛、强直。</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lastRenderedPageBreak/>
        <w:t>3.降压药：</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结果：合用可增强降压药的作用。</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处理：降压药的用量应适当减少。</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4.两性霉素、氨基糖苷类、头孢菌素：</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结果：合用可使肾毒性和耳毒性增加，尤其是原有肾功能损害时。</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5.锂剂：</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结果：合用可使肾毒性明显增加。</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处理：尽量避免合用。</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6.抗组胺药物：</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结果：合用可使耳毒性增加，易出现耳鸣、头晕、眩晕。</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7.碳酸氢钠：</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结果：合用可使发生低氯性碱中毒的风险增加。</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8.巴比妥类药物、麻醉药：</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结果：合用易引起直立性低血压。</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9.卡托普利：</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结果：合用偶可致肾功能恶化。</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10.非去极化</w:t>
      </w:r>
      <w:proofErr w:type="gramStart"/>
      <w:r w:rsidRPr="0072024B">
        <w:rPr>
          <w:rFonts w:ascii="宋体" w:eastAsia="宋体" w:hAnsi="宋体" w:cs="宋体" w:hint="eastAsia"/>
          <w:color w:val="000000"/>
          <w:kern w:val="0"/>
          <w:sz w:val="20"/>
          <w:szCs w:val="20"/>
        </w:rPr>
        <w:t>肌松药</w:t>
      </w:r>
      <w:proofErr w:type="gramEnd"/>
      <w:r w:rsidRPr="0072024B">
        <w:rPr>
          <w:rFonts w:ascii="宋体" w:eastAsia="宋体" w:hAnsi="宋体" w:cs="宋体" w:hint="eastAsia"/>
          <w:color w:val="000000"/>
          <w:kern w:val="0"/>
          <w:sz w:val="20"/>
          <w:szCs w:val="20"/>
        </w:rPr>
        <w:t>：</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结果：本药可增强此类药物的作用(如氯化筒箭毒碱)。</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机制：血钾浓度下降。</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处理：手术中如用筒箭毒</w:t>
      </w:r>
      <w:proofErr w:type="gramStart"/>
      <w:r w:rsidRPr="0072024B">
        <w:rPr>
          <w:rFonts w:ascii="宋体" w:eastAsia="宋体" w:hAnsi="宋体" w:cs="宋体" w:hint="eastAsia"/>
          <w:color w:val="000000"/>
          <w:kern w:val="0"/>
          <w:sz w:val="20"/>
          <w:szCs w:val="20"/>
        </w:rPr>
        <w:t>碱作为肌松药</w:t>
      </w:r>
      <w:proofErr w:type="gramEnd"/>
      <w:r w:rsidRPr="0072024B">
        <w:rPr>
          <w:rFonts w:ascii="宋体" w:eastAsia="宋体" w:hAnsi="宋体" w:cs="宋体" w:hint="eastAsia"/>
          <w:color w:val="000000"/>
          <w:kern w:val="0"/>
          <w:sz w:val="20"/>
          <w:szCs w:val="20"/>
        </w:rPr>
        <w:t>，则应于术前1周停用本药。</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11.阿司匹林：</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结果：合用可使阿司匹林排泄减少。</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机制：本药与阿司匹林相互竞争肾小管分泌。</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12.水合氯醛：</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结果：使用水合</w:t>
      </w:r>
      <w:proofErr w:type="gramStart"/>
      <w:r w:rsidRPr="0072024B">
        <w:rPr>
          <w:rFonts w:ascii="宋体" w:eastAsia="宋体" w:hAnsi="宋体" w:cs="宋体" w:hint="eastAsia"/>
          <w:color w:val="000000"/>
          <w:kern w:val="0"/>
          <w:sz w:val="20"/>
          <w:szCs w:val="20"/>
        </w:rPr>
        <w:t>氯醛后静脉注射</w:t>
      </w:r>
      <w:proofErr w:type="gramEnd"/>
      <w:r w:rsidRPr="0072024B">
        <w:rPr>
          <w:rFonts w:ascii="宋体" w:eastAsia="宋体" w:hAnsi="宋体" w:cs="宋体" w:hint="eastAsia"/>
          <w:color w:val="000000"/>
          <w:kern w:val="0"/>
          <w:sz w:val="20"/>
          <w:szCs w:val="20"/>
        </w:rPr>
        <w:t>本药，可致出汗、面色潮红和血压升高。</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机制：合用后甲状腺素由结合状态转为游离状态增多，从而导致分解代谢增强。</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13.肾上腺皮质激素、促皮质素、雌激素：</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结果：以上药物能降低本药的利尿作用，并增加电解质紊乱(尤其是低钾血症)的发生率。</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14.非</w:t>
      </w:r>
      <w:proofErr w:type="gramStart"/>
      <w:r w:rsidRPr="0072024B">
        <w:rPr>
          <w:rFonts w:ascii="宋体" w:eastAsia="宋体" w:hAnsi="宋体" w:cs="宋体" w:hint="eastAsia"/>
          <w:color w:val="000000"/>
          <w:kern w:val="0"/>
          <w:sz w:val="20"/>
          <w:szCs w:val="20"/>
        </w:rPr>
        <w:t>甾</w:t>
      </w:r>
      <w:proofErr w:type="gramEnd"/>
      <w:r w:rsidRPr="0072024B">
        <w:rPr>
          <w:rFonts w:ascii="宋体" w:eastAsia="宋体" w:hAnsi="宋体" w:cs="宋体" w:hint="eastAsia"/>
          <w:color w:val="000000"/>
          <w:kern w:val="0"/>
          <w:sz w:val="20"/>
          <w:szCs w:val="20"/>
        </w:rPr>
        <w:t>体类解热镇痛药：</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结果：此类药物能降低本药的利尿作用，增加发生肾损害的风险。</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lastRenderedPageBreak/>
        <w:t>机制：本药抑制前列腺素合成、减少肾血流量。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15.拟交感神经药物、抗惊厥药物：</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结果：合用可使本药利尿作用减弱。</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16.苯妥英钠：</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结果：合用可降低本药的利尿效应达50%。</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17.丙</w:t>
      </w:r>
      <w:proofErr w:type="gramStart"/>
      <w:r w:rsidRPr="0072024B">
        <w:rPr>
          <w:rFonts w:ascii="宋体" w:eastAsia="宋体" w:hAnsi="宋体" w:cs="宋体" w:hint="eastAsia"/>
          <w:color w:val="000000"/>
          <w:kern w:val="0"/>
          <w:sz w:val="20"/>
          <w:szCs w:val="20"/>
        </w:rPr>
        <w:t>磺</w:t>
      </w:r>
      <w:proofErr w:type="gramEnd"/>
      <w:r w:rsidRPr="0072024B">
        <w:rPr>
          <w:rFonts w:ascii="宋体" w:eastAsia="宋体" w:hAnsi="宋体" w:cs="宋体" w:hint="eastAsia"/>
          <w:color w:val="000000"/>
          <w:kern w:val="0"/>
          <w:sz w:val="20"/>
          <w:szCs w:val="20"/>
        </w:rPr>
        <w:t>舒：</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结果：丙</w:t>
      </w:r>
      <w:proofErr w:type="gramStart"/>
      <w:r w:rsidRPr="0072024B">
        <w:rPr>
          <w:rFonts w:ascii="宋体" w:eastAsia="宋体" w:hAnsi="宋体" w:cs="宋体" w:hint="eastAsia"/>
          <w:color w:val="000000"/>
          <w:kern w:val="0"/>
          <w:sz w:val="20"/>
          <w:szCs w:val="20"/>
        </w:rPr>
        <w:t>磺</w:t>
      </w:r>
      <w:proofErr w:type="gramEnd"/>
      <w:r w:rsidRPr="0072024B">
        <w:rPr>
          <w:rFonts w:ascii="宋体" w:eastAsia="宋体" w:hAnsi="宋体" w:cs="宋体" w:hint="eastAsia"/>
          <w:color w:val="000000"/>
          <w:kern w:val="0"/>
          <w:sz w:val="20"/>
          <w:szCs w:val="20"/>
        </w:rPr>
        <w:t>舒可减弱本药的利尿作用。</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18.治疗痛风的药物：</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结果：合用可减弱此类药物的作用。</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机制：本药可使尿酸排泄减少、血尿酸升高。</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处理：合用时此类药物的剂量应适当调整。</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19.降血糖药：</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结果：本药可降低此类药物的疗效。</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20.抗凝药、抗</w:t>
      </w:r>
      <w:proofErr w:type="gramStart"/>
      <w:r w:rsidRPr="0072024B">
        <w:rPr>
          <w:rFonts w:ascii="宋体" w:eastAsia="宋体" w:hAnsi="宋体" w:cs="宋体" w:hint="eastAsia"/>
          <w:color w:val="000000"/>
          <w:kern w:val="0"/>
          <w:sz w:val="20"/>
          <w:szCs w:val="20"/>
        </w:rPr>
        <w:t>纤</w:t>
      </w:r>
      <w:proofErr w:type="gramEnd"/>
      <w:r w:rsidRPr="0072024B">
        <w:rPr>
          <w:rFonts w:ascii="宋体" w:eastAsia="宋体" w:hAnsi="宋体" w:cs="宋体" w:hint="eastAsia"/>
          <w:color w:val="000000"/>
          <w:kern w:val="0"/>
          <w:sz w:val="20"/>
          <w:szCs w:val="20"/>
        </w:rPr>
        <w:t>溶药：</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结果：本药可降低以上药物的作用。</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机制：利尿后血容量下降、血中凝血因子浓度升高以及肝脏血液供应改善、肝脏合成凝血因子增多。</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药物-酒精/尼古丁相互作用</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酒精：</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结果：饮酒及使用含酒精的制剂能增强本药的利尿和降压作用。</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药物-食物相互作用</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味精：</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结果：合用可协同排钾，导致低钾、低钠血症。</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【注意事项】</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用药警示</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1.少尿或无尿患者应用本</w:t>
      </w:r>
      <w:proofErr w:type="gramStart"/>
      <w:r w:rsidRPr="0072024B">
        <w:rPr>
          <w:rFonts w:ascii="宋体" w:eastAsia="宋体" w:hAnsi="宋体" w:cs="宋体" w:hint="eastAsia"/>
          <w:color w:val="000000"/>
          <w:kern w:val="0"/>
          <w:sz w:val="20"/>
          <w:szCs w:val="20"/>
        </w:rPr>
        <w:t>药最大</w:t>
      </w:r>
      <w:proofErr w:type="gramEnd"/>
      <w:r w:rsidRPr="0072024B">
        <w:rPr>
          <w:rFonts w:ascii="宋体" w:eastAsia="宋体" w:hAnsi="宋体" w:cs="宋体" w:hint="eastAsia"/>
          <w:color w:val="000000"/>
          <w:kern w:val="0"/>
          <w:sz w:val="20"/>
          <w:szCs w:val="20"/>
        </w:rPr>
        <w:t>剂量后24小时仍无效时，应停药。</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2.肝肾功能同时受损者，本药更易在体内蓄积，容易出现不良反应。</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3.药物剂量应个体化，从最小有效剂量开始，然后根据利尿反应调整剂量，以减少水、电解质紊乱等不良反应的发生。</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4.本药与洋地黄类强心苷合用时应补钾。已超量服用洋地黄者禁用本药。</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交叉过敏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lastRenderedPageBreak/>
        <w:t>对磺胺药或</w:t>
      </w:r>
      <w:proofErr w:type="gramStart"/>
      <w:r w:rsidRPr="0072024B">
        <w:rPr>
          <w:rFonts w:ascii="宋体" w:eastAsia="宋体" w:hAnsi="宋体" w:cs="宋体" w:hint="eastAsia"/>
          <w:color w:val="000000"/>
          <w:kern w:val="0"/>
          <w:sz w:val="20"/>
          <w:szCs w:val="20"/>
        </w:rPr>
        <w:t>噻嗪</w:t>
      </w:r>
      <w:proofErr w:type="gramEnd"/>
      <w:r w:rsidRPr="0072024B">
        <w:rPr>
          <w:rFonts w:ascii="宋体" w:eastAsia="宋体" w:hAnsi="宋体" w:cs="宋体" w:hint="eastAsia"/>
          <w:color w:val="000000"/>
          <w:kern w:val="0"/>
          <w:sz w:val="20"/>
          <w:szCs w:val="20"/>
        </w:rPr>
        <w:t>类利尿药过敏者，对本药也可能过敏。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不良反应的处理方法</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1.用药期间存在低钾血症或低钾血症倾向时，应注意补充钾盐。</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2.因脱水致血尿素氮升高时，如果</w:t>
      </w:r>
      <w:proofErr w:type="gramStart"/>
      <w:r w:rsidRPr="0072024B">
        <w:rPr>
          <w:rFonts w:ascii="宋体" w:eastAsia="宋体" w:hAnsi="宋体" w:cs="宋体" w:hint="eastAsia"/>
          <w:color w:val="000000"/>
          <w:kern w:val="0"/>
          <w:sz w:val="20"/>
          <w:szCs w:val="20"/>
        </w:rPr>
        <w:t>不</w:t>
      </w:r>
      <w:proofErr w:type="gramEnd"/>
      <w:r w:rsidRPr="0072024B">
        <w:rPr>
          <w:rFonts w:ascii="宋体" w:eastAsia="宋体" w:hAnsi="宋体" w:cs="宋体" w:hint="eastAsia"/>
          <w:color w:val="000000"/>
          <w:kern w:val="0"/>
          <w:sz w:val="20"/>
          <w:szCs w:val="20"/>
        </w:rPr>
        <w:t>伴有血肌酸酐水平升高，则此情况是可逆的，可减量或停药观察。</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3.治疗肾脏疾病水肿，出现血尿素氮升高时，若同时伴有</w:t>
      </w:r>
      <w:proofErr w:type="gramStart"/>
      <w:r w:rsidRPr="0072024B">
        <w:rPr>
          <w:rFonts w:ascii="宋体" w:eastAsia="宋体" w:hAnsi="宋体" w:cs="宋体" w:hint="eastAsia"/>
          <w:color w:val="000000"/>
          <w:kern w:val="0"/>
          <w:sz w:val="20"/>
          <w:szCs w:val="20"/>
        </w:rPr>
        <w:t>其他肾</w:t>
      </w:r>
      <w:proofErr w:type="gramEnd"/>
      <w:r w:rsidRPr="0072024B">
        <w:rPr>
          <w:rFonts w:ascii="宋体" w:eastAsia="宋体" w:hAnsi="宋体" w:cs="宋体" w:hint="eastAsia"/>
          <w:color w:val="000000"/>
          <w:kern w:val="0"/>
          <w:sz w:val="20"/>
          <w:szCs w:val="20"/>
        </w:rPr>
        <w:t>功能急剧减退，则须停止用药。</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用药前后及用药时应当检查或监测</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用药期间随访检查：(1)血电解质：尤其是合用洋地黄类药物或皮质激素类药物、肝肾功能损害者。(2)血压：尤其是用于降压、大剂量应用或用于老年人时。(3)肾功能。(4)肝功能。(5)血糖。(6)血尿酸。(7)酸碱平衡情况。(8)听力。</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【国外专科用药信息参考】</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精神状况信息</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1.对精神状态的影响：用药后常引起头晕。</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2.对精神障碍治疗的影响：(1)</w:t>
      </w:r>
      <w:proofErr w:type="gramStart"/>
      <w:r w:rsidRPr="0072024B">
        <w:rPr>
          <w:rFonts w:ascii="宋体" w:eastAsia="宋体" w:hAnsi="宋体" w:cs="宋体" w:hint="eastAsia"/>
          <w:color w:val="000000"/>
          <w:kern w:val="0"/>
          <w:sz w:val="20"/>
          <w:szCs w:val="20"/>
        </w:rPr>
        <w:t>本药常引起</w:t>
      </w:r>
      <w:proofErr w:type="gramEnd"/>
      <w:r w:rsidRPr="0072024B">
        <w:rPr>
          <w:rFonts w:ascii="宋体" w:eastAsia="宋体" w:hAnsi="宋体" w:cs="宋体" w:hint="eastAsia"/>
          <w:color w:val="000000"/>
          <w:kern w:val="0"/>
          <w:sz w:val="20"/>
          <w:szCs w:val="20"/>
        </w:rPr>
        <w:t>直立性低血压，与低效能的抗精神病药物和三环类抗抑郁药合用应谨慎。(2)本药较少引起粒细胞缺乏，与氯氮平和卡马西平合用应谨慎。(3)本药可能降低</w:t>
      </w:r>
      <w:proofErr w:type="gramStart"/>
      <w:r w:rsidRPr="0072024B">
        <w:rPr>
          <w:rFonts w:ascii="宋体" w:eastAsia="宋体" w:hAnsi="宋体" w:cs="宋体" w:hint="eastAsia"/>
          <w:color w:val="000000"/>
          <w:kern w:val="0"/>
          <w:sz w:val="20"/>
          <w:szCs w:val="20"/>
        </w:rPr>
        <w:t>锂</w:t>
      </w:r>
      <w:proofErr w:type="gramEnd"/>
      <w:r w:rsidRPr="0072024B">
        <w:rPr>
          <w:rFonts w:ascii="宋体" w:eastAsia="宋体" w:hAnsi="宋体" w:cs="宋体" w:hint="eastAsia"/>
          <w:color w:val="000000"/>
          <w:kern w:val="0"/>
          <w:sz w:val="20"/>
          <w:szCs w:val="20"/>
        </w:rPr>
        <w:t>清除率而增加血清</w:t>
      </w:r>
      <w:proofErr w:type="gramStart"/>
      <w:r w:rsidRPr="0072024B">
        <w:rPr>
          <w:rFonts w:ascii="宋体" w:eastAsia="宋体" w:hAnsi="宋体" w:cs="宋体" w:hint="eastAsia"/>
          <w:color w:val="000000"/>
          <w:kern w:val="0"/>
          <w:sz w:val="20"/>
          <w:szCs w:val="20"/>
        </w:rPr>
        <w:t>锂</w:t>
      </w:r>
      <w:proofErr w:type="gramEnd"/>
      <w:r w:rsidRPr="0072024B">
        <w:rPr>
          <w:rFonts w:ascii="宋体" w:eastAsia="宋体" w:hAnsi="宋体" w:cs="宋体" w:hint="eastAsia"/>
          <w:color w:val="000000"/>
          <w:kern w:val="0"/>
          <w:sz w:val="20"/>
          <w:szCs w:val="20"/>
        </w:rPr>
        <w:t>水平和毒性风险，与</w:t>
      </w:r>
      <w:proofErr w:type="gramStart"/>
      <w:r w:rsidRPr="0072024B">
        <w:rPr>
          <w:rFonts w:ascii="宋体" w:eastAsia="宋体" w:hAnsi="宋体" w:cs="宋体" w:hint="eastAsia"/>
          <w:color w:val="000000"/>
          <w:kern w:val="0"/>
          <w:sz w:val="20"/>
          <w:szCs w:val="20"/>
        </w:rPr>
        <w:t>噻嗪</w:t>
      </w:r>
      <w:proofErr w:type="gramEnd"/>
      <w:r w:rsidRPr="0072024B">
        <w:rPr>
          <w:rFonts w:ascii="宋体" w:eastAsia="宋体" w:hAnsi="宋体" w:cs="宋体" w:hint="eastAsia"/>
          <w:color w:val="000000"/>
          <w:kern w:val="0"/>
          <w:sz w:val="20"/>
          <w:szCs w:val="20"/>
        </w:rPr>
        <w:t>类利尿药合用时这种情况更为常见，应监测血清</w:t>
      </w:r>
      <w:proofErr w:type="gramStart"/>
      <w:r w:rsidRPr="0072024B">
        <w:rPr>
          <w:rFonts w:ascii="宋体" w:eastAsia="宋体" w:hAnsi="宋体" w:cs="宋体" w:hint="eastAsia"/>
          <w:color w:val="000000"/>
          <w:kern w:val="0"/>
          <w:sz w:val="20"/>
          <w:szCs w:val="20"/>
        </w:rPr>
        <w:t>锂</w:t>
      </w:r>
      <w:proofErr w:type="gramEnd"/>
      <w:r w:rsidRPr="0072024B">
        <w:rPr>
          <w:rFonts w:ascii="宋体" w:eastAsia="宋体" w:hAnsi="宋体" w:cs="宋体" w:hint="eastAsia"/>
          <w:color w:val="000000"/>
          <w:kern w:val="0"/>
          <w:sz w:val="20"/>
          <w:szCs w:val="20"/>
        </w:rPr>
        <w:t>水平。</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护理注意事项</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1.开始治疗前应评估患者有无</w:t>
      </w:r>
      <w:proofErr w:type="gramStart"/>
      <w:r w:rsidRPr="0072024B">
        <w:rPr>
          <w:rFonts w:ascii="宋体" w:eastAsia="宋体" w:hAnsi="宋体" w:cs="宋体" w:hint="eastAsia"/>
          <w:color w:val="000000"/>
          <w:kern w:val="0"/>
          <w:sz w:val="20"/>
          <w:szCs w:val="20"/>
        </w:rPr>
        <w:t>磺脲</w:t>
      </w:r>
      <w:proofErr w:type="gramEnd"/>
      <w:r w:rsidRPr="0072024B">
        <w:rPr>
          <w:rFonts w:ascii="宋体" w:eastAsia="宋体" w:hAnsi="宋体" w:cs="宋体" w:hint="eastAsia"/>
          <w:color w:val="000000"/>
          <w:kern w:val="0"/>
          <w:sz w:val="20"/>
          <w:szCs w:val="20"/>
        </w:rPr>
        <w:t>类药物过敏史。</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2.治疗过程中应定期监测患者有无脱水、电解质紊乱或直立性低血压。</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3.实验室检查：监测血清电解质、肾功能。</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【药理】</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药效学</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本药为强效的髓袢利尿药，能增加水和电解质(如钠、氯、钾、钙、镁、磷等)的排泄。主要通过抑制肾小管髓袢厚壁段对</w:t>
      </w:r>
      <w:proofErr w:type="spellStart"/>
      <w:r w:rsidRPr="0072024B">
        <w:rPr>
          <w:rFonts w:ascii="宋体" w:eastAsia="宋体" w:hAnsi="宋体" w:cs="宋体" w:hint="eastAsia"/>
          <w:color w:val="000000"/>
          <w:kern w:val="0"/>
          <w:sz w:val="20"/>
          <w:szCs w:val="20"/>
        </w:rPr>
        <w:t>NaCl</w:t>
      </w:r>
      <w:proofErr w:type="spellEnd"/>
      <w:r w:rsidRPr="0072024B">
        <w:rPr>
          <w:rFonts w:ascii="宋体" w:eastAsia="宋体" w:hAnsi="宋体" w:cs="宋体" w:hint="eastAsia"/>
          <w:color w:val="000000"/>
          <w:kern w:val="0"/>
          <w:sz w:val="20"/>
          <w:szCs w:val="20"/>
        </w:rPr>
        <w:t>的主动重吸收，使</w:t>
      </w:r>
      <w:proofErr w:type="gramStart"/>
      <w:r w:rsidRPr="0072024B">
        <w:rPr>
          <w:rFonts w:ascii="宋体" w:eastAsia="宋体" w:hAnsi="宋体" w:cs="宋体" w:hint="eastAsia"/>
          <w:color w:val="000000"/>
          <w:kern w:val="0"/>
          <w:sz w:val="20"/>
          <w:szCs w:val="20"/>
        </w:rPr>
        <w:t>管腔液</w:t>
      </w:r>
      <w:proofErr w:type="gramEnd"/>
      <w:r w:rsidRPr="0072024B">
        <w:rPr>
          <w:rFonts w:ascii="宋体" w:eastAsia="宋体" w:hAnsi="宋体" w:cs="宋体" w:hint="eastAsia"/>
          <w:color w:val="000000"/>
          <w:kern w:val="0"/>
          <w:sz w:val="20"/>
          <w:szCs w:val="20"/>
        </w:rPr>
        <w:t>Na</w:t>
      </w:r>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w:t>
      </w:r>
      <w:proofErr w:type="spellStart"/>
      <w:r w:rsidRPr="0072024B">
        <w:rPr>
          <w:rFonts w:ascii="宋体" w:eastAsia="宋体" w:hAnsi="宋体" w:cs="宋体" w:hint="eastAsia"/>
          <w:color w:val="000000"/>
          <w:kern w:val="0"/>
          <w:sz w:val="20"/>
          <w:szCs w:val="20"/>
        </w:rPr>
        <w:t>Cl</w:t>
      </w:r>
      <w:proofErr w:type="spellEnd"/>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浓度升高，而髓质间液Na</w:t>
      </w:r>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w:t>
      </w:r>
      <w:proofErr w:type="spellStart"/>
      <w:r w:rsidRPr="0072024B">
        <w:rPr>
          <w:rFonts w:ascii="宋体" w:eastAsia="宋体" w:hAnsi="宋体" w:cs="宋体" w:hint="eastAsia"/>
          <w:color w:val="000000"/>
          <w:kern w:val="0"/>
          <w:sz w:val="20"/>
          <w:szCs w:val="20"/>
        </w:rPr>
        <w:t>Cl</w:t>
      </w:r>
      <w:proofErr w:type="spellEnd"/>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浓度降低，从而渗透压梯度差降低，肾小管浓缩功能下降，导致水、Na</w:t>
      </w:r>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w:t>
      </w:r>
      <w:proofErr w:type="spellStart"/>
      <w:r w:rsidRPr="0072024B">
        <w:rPr>
          <w:rFonts w:ascii="宋体" w:eastAsia="宋体" w:hAnsi="宋体" w:cs="宋体" w:hint="eastAsia"/>
          <w:color w:val="000000"/>
          <w:kern w:val="0"/>
          <w:sz w:val="20"/>
          <w:szCs w:val="20"/>
        </w:rPr>
        <w:t>Cl</w:t>
      </w:r>
      <w:proofErr w:type="spellEnd"/>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排泄增多。由于Na</w:t>
      </w:r>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重吸收减少，远端小管Na</w:t>
      </w:r>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浓度升高，促进Na</w:t>
      </w:r>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-K</w:t>
      </w:r>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、Na</w:t>
      </w:r>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-H</w:t>
      </w:r>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交换增加，K</w:t>
      </w:r>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、H</w:t>
      </w:r>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排出增多。本药抑制肾小管髓袢升支粗段重吸收</w:t>
      </w:r>
      <w:proofErr w:type="spellStart"/>
      <w:r w:rsidRPr="0072024B">
        <w:rPr>
          <w:rFonts w:ascii="宋体" w:eastAsia="宋体" w:hAnsi="宋体" w:cs="宋体" w:hint="eastAsia"/>
          <w:color w:val="000000"/>
          <w:kern w:val="0"/>
          <w:sz w:val="20"/>
          <w:szCs w:val="20"/>
        </w:rPr>
        <w:t>Cl</w:t>
      </w:r>
      <w:proofErr w:type="spellEnd"/>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的机制为：该部位基底膜外侧存在与Na</w:t>
      </w:r>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-K</w:t>
      </w:r>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·ATP酶有关的Na</w:t>
      </w:r>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w:t>
      </w:r>
      <w:proofErr w:type="spellStart"/>
      <w:r w:rsidRPr="0072024B">
        <w:rPr>
          <w:rFonts w:ascii="宋体" w:eastAsia="宋体" w:hAnsi="宋体" w:cs="宋体" w:hint="eastAsia"/>
          <w:color w:val="000000"/>
          <w:kern w:val="0"/>
          <w:sz w:val="20"/>
          <w:szCs w:val="20"/>
        </w:rPr>
        <w:t>Cl</w:t>
      </w:r>
      <w:proofErr w:type="spellEnd"/>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配对转运系统，本</w:t>
      </w:r>
      <w:proofErr w:type="gramStart"/>
      <w:r w:rsidRPr="0072024B">
        <w:rPr>
          <w:rFonts w:ascii="宋体" w:eastAsia="宋体" w:hAnsi="宋体" w:cs="宋体" w:hint="eastAsia"/>
          <w:color w:val="000000"/>
          <w:kern w:val="0"/>
          <w:sz w:val="20"/>
          <w:szCs w:val="20"/>
        </w:rPr>
        <w:t>药通过</w:t>
      </w:r>
      <w:proofErr w:type="gramEnd"/>
      <w:r w:rsidRPr="0072024B">
        <w:rPr>
          <w:rFonts w:ascii="宋体" w:eastAsia="宋体" w:hAnsi="宋体" w:cs="宋体" w:hint="eastAsia"/>
          <w:color w:val="000000"/>
          <w:kern w:val="0"/>
          <w:sz w:val="20"/>
          <w:szCs w:val="20"/>
        </w:rPr>
        <w:t>抑制该系统功能而减少Na</w:t>
      </w:r>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w:t>
      </w:r>
      <w:proofErr w:type="spellStart"/>
      <w:r w:rsidRPr="0072024B">
        <w:rPr>
          <w:rFonts w:ascii="宋体" w:eastAsia="宋体" w:hAnsi="宋体" w:cs="宋体" w:hint="eastAsia"/>
          <w:color w:val="000000"/>
          <w:kern w:val="0"/>
          <w:sz w:val="20"/>
          <w:szCs w:val="20"/>
        </w:rPr>
        <w:t>Cl</w:t>
      </w:r>
      <w:proofErr w:type="spellEnd"/>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的重吸收。另外，本药还可能抑制近曲小管和远曲小管对Na</w:t>
      </w:r>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w:t>
      </w:r>
      <w:proofErr w:type="spellStart"/>
      <w:r w:rsidRPr="0072024B">
        <w:rPr>
          <w:rFonts w:ascii="宋体" w:eastAsia="宋体" w:hAnsi="宋体" w:cs="宋体" w:hint="eastAsia"/>
          <w:color w:val="000000"/>
          <w:kern w:val="0"/>
          <w:sz w:val="20"/>
          <w:szCs w:val="20"/>
        </w:rPr>
        <w:t>Cl</w:t>
      </w:r>
      <w:proofErr w:type="spellEnd"/>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的重吸收，促进远曲小管分泌K</w:t>
      </w:r>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。本</w:t>
      </w:r>
      <w:proofErr w:type="gramStart"/>
      <w:r w:rsidRPr="0072024B">
        <w:rPr>
          <w:rFonts w:ascii="宋体" w:eastAsia="宋体" w:hAnsi="宋体" w:cs="宋体" w:hint="eastAsia"/>
          <w:color w:val="000000"/>
          <w:kern w:val="0"/>
          <w:sz w:val="20"/>
          <w:szCs w:val="20"/>
        </w:rPr>
        <w:t>药通过</w:t>
      </w:r>
      <w:proofErr w:type="gramEnd"/>
      <w:r w:rsidRPr="0072024B">
        <w:rPr>
          <w:rFonts w:ascii="宋体" w:eastAsia="宋体" w:hAnsi="宋体" w:cs="宋体" w:hint="eastAsia"/>
          <w:color w:val="000000"/>
          <w:kern w:val="0"/>
          <w:sz w:val="20"/>
          <w:szCs w:val="20"/>
        </w:rPr>
        <w:t>抑制亨氏</w:t>
      </w:r>
      <w:proofErr w:type="gramStart"/>
      <w:r w:rsidRPr="0072024B">
        <w:rPr>
          <w:rFonts w:ascii="宋体" w:eastAsia="宋体" w:hAnsi="宋体" w:cs="宋体" w:hint="eastAsia"/>
          <w:color w:val="000000"/>
          <w:kern w:val="0"/>
          <w:sz w:val="20"/>
          <w:szCs w:val="20"/>
        </w:rPr>
        <w:t>袢</w:t>
      </w:r>
      <w:proofErr w:type="gramEnd"/>
      <w:r w:rsidRPr="0072024B">
        <w:rPr>
          <w:rFonts w:ascii="宋体" w:eastAsia="宋体" w:hAnsi="宋体" w:cs="宋体" w:hint="eastAsia"/>
          <w:color w:val="000000"/>
          <w:kern w:val="0"/>
          <w:sz w:val="20"/>
          <w:szCs w:val="20"/>
        </w:rPr>
        <w:t>对Ca</w:t>
      </w:r>
      <w:r w:rsidRPr="0072024B">
        <w:rPr>
          <w:rFonts w:ascii="宋体" w:eastAsia="宋体" w:hAnsi="宋体" w:cs="宋体" w:hint="eastAsia"/>
          <w:color w:val="000000"/>
          <w:kern w:val="0"/>
          <w:sz w:val="20"/>
          <w:szCs w:val="20"/>
          <w:vertAlign w:val="superscript"/>
        </w:rPr>
        <w:t>2+</w:t>
      </w:r>
      <w:r w:rsidRPr="0072024B">
        <w:rPr>
          <w:rFonts w:ascii="宋体" w:eastAsia="宋体" w:hAnsi="宋体" w:cs="宋体" w:hint="eastAsia"/>
          <w:color w:val="000000"/>
          <w:kern w:val="0"/>
          <w:sz w:val="20"/>
          <w:szCs w:val="20"/>
        </w:rPr>
        <w:t>、Mg</w:t>
      </w:r>
      <w:r w:rsidRPr="0072024B">
        <w:rPr>
          <w:rFonts w:ascii="宋体" w:eastAsia="宋体" w:hAnsi="宋体" w:cs="宋体" w:hint="eastAsia"/>
          <w:color w:val="000000"/>
          <w:kern w:val="0"/>
          <w:sz w:val="20"/>
          <w:szCs w:val="20"/>
          <w:vertAlign w:val="superscript"/>
        </w:rPr>
        <w:t>2+</w:t>
      </w:r>
      <w:r w:rsidRPr="0072024B">
        <w:rPr>
          <w:rFonts w:ascii="宋体" w:eastAsia="宋体" w:hAnsi="宋体" w:cs="宋体" w:hint="eastAsia"/>
          <w:color w:val="000000"/>
          <w:kern w:val="0"/>
          <w:sz w:val="20"/>
          <w:szCs w:val="20"/>
        </w:rPr>
        <w:t>的重吸收而增加Ca</w:t>
      </w:r>
      <w:r w:rsidRPr="0072024B">
        <w:rPr>
          <w:rFonts w:ascii="宋体" w:eastAsia="宋体" w:hAnsi="宋体" w:cs="宋体" w:hint="eastAsia"/>
          <w:color w:val="000000"/>
          <w:kern w:val="0"/>
          <w:sz w:val="20"/>
          <w:szCs w:val="20"/>
          <w:vertAlign w:val="superscript"/>
        </w:rPr>
        <w:t>2+</w:t>
      </w:r>
      <w:r w:rsidRPr="0072024B">
        <w:rPr>
          <w:rFonts w:ascii="宋体" w:eastAsia="宋体" w:hAnsi="宋体" w:cs="宋体" w:hint="eastAsia"/>
          <w:color w:val="000000"/>
          <w:kern w:val="0"/>
          <w:sz w:val="20"/>
          <w:szCs w:val="20"/>
        </w:rPr>
        <w:t>、Mg</w:t>
      </w:r>
      <w:r w:rsidRPr="0072024B">
        <w:rPr>
          <w:rFonts w:ascii="宋体" w:eastAsia="宋体" w:hAnsi="宋体" w:cs="宋体" w:hint="eastAsia"/>
          <w:color w:val="000000"/>
          <w:kern w:val="0"/>
          <w:sz w:val="20"/>
          <w:szCs w:val="20"/>
          <w:vertAlign w:val="superscript"/>
        </w:rPr>
        <w:t>2+</w:t>
      </w:r>
      <w:r w:rsidRPr="0072024B">
        <w:rPr>
          <w:rFonts w:ascii="宋体" w:eastAsia="宋体" w:hAnsi="宋体" w:cs="宋体" w:hint="eastAsia"/>
          <w:color w:val="000000"/>
          <w:kern w:val="0"/>
          <w:sz w:val="20"/>
          <w:szCs w:val="20"/>
        </w:rPr>
        <w:t>排泄。短期使用本药可增加尿酸排泄，但长期用药可引起高尿酸血症。</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本药对血流动力学的影响表现在：抑制前列腺素分解酶的活性，使前列腺素E</w:t>
      </w:r>
      <w:r w:rsidRPr="0072024B">
        <w:rPr>
          <w:rFonts w:ascii="宋体" w:eastAsia="宋体" w:hAnsi="宋体" w:cs="宋体" w:hint="eastAsia"/>
          <w:color w:val="000000"/>
          <w:kern w:val="0"/>
          <w:sz w:val="20"/>
          <w:szCs w:val="20"/>
          <w:vertAlign w:val="subscript"/>
        </w:rPr>
        <w:t>2</w:t>
      </w:r>
      <w:r w:rsidRPr="0072024B">
        <w:rPr>
          <w:rFonts w:ascii="宋体" w:eastAsia="宋体" w:hAnsi="宋体" w:cs="宋体" w:hint="eastAsia"/>
          <w:color w:val="000000"/>
          <w:kern w:val="0"/>
          <w:sz w:val="20"/>
          <w:szCs w:val="20"/>
        </w:rPr>
        <w:t>含量升高，从而扩张肾血管，降低肾血管阻力，使肾血流量尤其是肾皮质深部血流量增加，这在其利尿作用中具有重要意义，也是本药用于预防急性肾衰竭的理论基础。另外，与其他利尿药不同，本药在使肾小管液流量增加的同时而不降低肾小球滤过率，原因可能是流经致密斑的</w:t>
      </w:r>
      <w:proofErr w:type="spellStart"/>
      <w:r w:rsidRPr="0072024B">
        <w:rPr>
          <w:rFonts w:ascii="宋体" w:eastAsia="宋体" w:hAnsi="宋体" w:cs="宋体" w:hint="eastAsia"/>
          <w:color w:val="000000"/>
          <w:kern w:val="0"/>
          <w:sz w:val="20"/>
          <w:szCs w:val="20"/>
        </w:rPr>
        <w:t>Cl</w:t>
      </w:r>
      <w:proofErr w:type="spellEnd"/>
      <w:r w:rsidRPr="0072024B">
        <w:rPr>
          <w:rFonts w:ascii="宋体" w:eastAsia="宋体" w:hAnsi="宋体" w:cs="宋体" w:hint="eastAsia"/>
          <w:color w:val="000000"/>
          <w:kern w:val="0"/>
          <w:sz w:val="20"/>
          <w:szCs w:val="20"/>
          <w:vertAlign w:val="superscript"/>
        </w:rPr>
        <w:t>-</w:t>
      </w:r>
      <w:r w:rsidRPr="0072024B">
        <w:rPr>
          <w:rFonts w:ascii="宋体" w:eastAsia="宋体" w:hAnsi="宋体" w:cs="宋体" w:hint="eastAsia"/>
          <w:color w:val="000000"/>
          <w:kern w:val="0"/>
          <w:sz w:val="20"/>
          <w:szCs w:val="20"/>
        </w:rPr>
        <w:t>减少，从而减弱或阻断球-管平衡。本药能扩张肺部容量静脉，降低肺毛细血管通透性，结合其利尿作用，使回心</w:t>
      </w:r>
      <w:r w:rsidRPr="0072024B">
        <w:rPr>
          <w:rFonts w:ascii="宋体" w:eastAsia="宋体" w:hAnsi="宋体" w:cs="宋体" w:hint="eastAsia"/>
          <w:color w:val="000000"/>
          <w:kern w:val="0"/>
          <w:sz w:val="20"/>
          <w:szCs w:val="20"/>
        </w:rPr>
        <w:lastRenderedPageBreak/>
        <w:t>血量减少，左心室舒张末期压力降低，有助于治疗急性左心衰竭。由于本药可降低肺毛细血管通透性，为其治疗成人呼吸窘迫综合征提供了理论依据。</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本药为强有力的利尿药，其作用相当于</w:t>
      </w:r>
      <w:proofErr w:type="gramStart"/>
      <w:r w:rsidRPr="0072024B">
        <w:rPr>
          <w:rFonts w:ascii="宋体" w:eastAsia="宋体" w:hAnsi="宋体" w:cs="宋体" w:hint="eastAsia"/>
          <w:color w:val="000000"/>
          <w:kern w:val="0"/>
          <w:sz w:val="20"/>
          <w:szCs w:val="20"/>
        </w:rPr>
        <w:t>噻嗪</w:t>
      </w:r>
      <w:proofErr w:type="gramEnd"/>
      <w:r w:rsidRPr="0072024B">
        <w:rPr>
          <w:rFonts w:ascii="宋体" w:eastAsia="宋体" w:hAnsi="宋体" w:cs="宋体" w:hint="eastAsia"/>
          <w:color w:val="000000"/>
          <w:kern w:val="0"/>
          <w:sz w:val="20"/>
          <w:szCs w:val="20"/>
        </w:rPr>
        <w:t>类利尿药的5倍左右。与</w:t>
      </w:r>
      <w:proofErr w:type="gramStart"/>
      <w:r w:rsidRPr="0072024B">
        <w:rPr>
          <w:rFonts w:ascii="宋体" w:eastAsia="宋体" w:hAnsi="宋体" w:cs="宋体" w:hint="eastAsia"/>
          <w:color w:val="000000"/>
          <w:kern w:val="0"/>
          <w:sz w:val="20"/>
          <w:szCs w:val="20"/>
        </w:rPr>
        <w:t>噻嗪</w:t>
      </w:r>
      <w:proofErr w:type="gramEnd"/>
      <w:r w:rsidRPr="0072024B">
        <w:rPr>
          <w:rFonts w:ascii="宋体" w:eastAsia="宋体" w:hAnsi="宋体" w:cs="宋体" w:hint="eastAsia"/>
          <w:color w:val="000000"/>
          <w:kern w:val="0"/>
          <w:sz w:val="20"/>
          <w:szCs w:val="20"/>
        </w:rPr>
        <w:t>类利尿药不同，</w:t>
      </w:r>
      <w:proofErr w:type="gramStart"/>
      <w:r w:rsidRPr="0072024B">
        <w:rPr>
          <w:rFonts w:ascii="宋体" w:eastAsia="宋体" w:hAnsi="宋体" w:cs="宋体" w:hint="eastAsia"/>
          <w:color w:val="000000"/>
          <w:kern w:val="0"/>
          <w:sz w:val="20"/>
          <w:szCs w:val="20"/>
        </w:rPr>
        <w:t>呋</w:t>
      </w:r>
      <w:proofErr w:type="gramEnd"/>
      <w:r w:rsidRPr="0072024B">
        <w:rPr>
          <w:rFonts w:ascii="宋体" w:eastAsia="宋体" w:hAnsi="宋体" w:cs="宋体" w:hint="eastAsia"/>
          <w:color w:val="000000"/>
          <w:kern w:val="0"/>
          <w:sz w:val="20"/>
          <w:szCs w:val="20"/>
        </w:rPr>
        <w:t>塞米等</w:t>
      </w:r>
      <w:proofErr w:type="gramStart"/>
      <w:r w:rsidRPr="0072024B">
        <w:rPr>
          <w:rFonts w:ascii="宋体" w:eastAsia="宋体" w:hAnsi="宋体" w:cs="宋体" w:hint="eastAsia"/>
          <w:color w:val="000000"/>
          <w:kern w:val="0"/>
          <w:sz w:val="20"/>
          <w:szCs w:val="20"/>
        </w:rPr>
        <w:t>袢</w:t>
      </w:r>
      <w:proofErr w:type="gramEnd"/>
      <w:r w:rsidRPr="0072024B">
        <w:rPr>
          <w:rFonts w:ascii="宋体" w:eastAsia="宋体" w:hAnsi="宋体" w:cs="宋体" w:hint="eastAsia"/>
          <w:color w:val="000000"/>
          <w:kern w:val="0"/>
          <w:sz w:val="20"/>
          <w:szCs w:val="20"/>
        </w:rPr>
        <w:t>利尿药存在明显的剂量-效应关系。随着剂量加大，利尿效果明显增强，且药物剂量范围较大。因</w:t>
      </w:r>
      <w:proofErr w:type="gramStart"/>
      <w:r w:rsidRPr="0072024B">
        <w:rPr>
          <w:rFonts w:ascii="宋体" w:eastAsia="宋体" w:hAnsi="宋体" w:cs="宋体" w:hint="eastAsia"/>
          <w:color w:val="000000"/>
          <w:kern w:val="0"/>
          <w:sz w:val="20"/>
          <w:szCs w:val="20"/>
        </w:rPr>
        <w:t>袢</w:t>
      </w:r>
      <w:proofErr w:type="gramEnd"/>
      <w:r w:rsidRPr="0072024B">
        <w:rPr>
          <w:rFonts w:ascii="宋体" w:eastAsia="宋体" w:hAnsi="宋体" w:cs="宋体" w:hint="eastAsia"/>
          <w:color w:val="000000"/>
          <w:kern w:val="0"/>
          <w:sz w:val="20"/>
          <w:szCs w:val="20"/>
        </w:rPr>
        <w:t>利尿药比</w:t>
      </w:r>
      <w:proofErr w:type="gramStart"/>
      <w:r w:rsidRPr="0072024B">
        <w:rPr>
          <w:rFonts w:ascii="宋体" w:eastAsia="宋体" w:hAnsi="宋体" w:cs="宋体" w:hint="eastAsia"/>
          <w:color w:val="000000"/>
          <w:kern w:val="0"/>
          <w:sz w:val="20"/>
          <w:szCs w:val="20"/>
        </w:rPr>
        <w:t>噻嗪</w:t>
      </w:r>
      <w:proofErr w:type="gramEnd"/>
      <w:r w:rsidRPr="0072024B">
        <w:rPr>
          <w:rFonts w:ascii="宋体" w:eastAsia="宋体" w:hAnsi="宋体" w:cs="宋体" w:hint="eastAsia"/>
          <w:color w:val="000000"/>
          <w:kern w:val="0"/>
          <w:sz w:val="20"/>
          <w:szCs w:val="20"/>
        </w:rPr>
        <w:t>类利尿药的作用持续时间短，故控制血压的效果也较差，但在伴有对</w:t>
      </w:r>
      <w:proofErr w:type="gramStart"/>
      <w:r w:rsidRPr="0072024B">
        <w:rPr>
          <w:rFonts w:ascii="宋体" w:eastAsia="宋体" w:hAnsi="宋体" w:cs="宋体" w:hint="eastAsia"/>
          <w:color w:val="000000"/>
          <w:kern w:val="0"/>
          <w:sz w:val="20"/>
          <w:szCs w:val="20"/>
        </w:rPr>
        <w:t>噻嗪</w:t>
      </w:r>
      <w:proofErr w:type="gramEnd"/>
      <w:r w:rsidRPr="0072024B">
        <w:rPr>
          <w:rFonts w:ascii="宋体" w:eastAsia="宋体" w:hAnsi="宋体" w:cs="宋体" w:hint="eastAsia"/>
          <w:color w:val="000000"/>
          <w:kern w:val="0"/>
          <w:sz w:val="20"/>
          <w:szCs w:val="20"/>
        </w:rPr>
        <w:t>类利尿药耐药的体液潴留的高血压或伴有肾脏损害的高血压时应使用本药。本药能有效治疗与肾衰竭有关的水肿，有慢性肾衰竭的水肿和高血压患者只能用</w:t>
      </w:r>
      <w:proofErr w:type="gramStart"/>
      <w:r w:rsidRPr="0072024B">
        <w:rPr>
          <w:rFonts w:ascii="宋体" w:eastAsia="宋体" w:hAnsi="宋体" w:cs="宋体" w:hint="eastAsia"/>
          <w:color w:val="000000"/>
          <w:kern w:val="0"/>
          <w:sz w:val="20"/>
          <w:szCs w:val="20"/>
        </w:rPr>
        <w:t>袢</w:t>
      </w:r>
      <w:proofErr w:type="gramEnd"/>
      <w:r w:rsidRPr="0072024B">
        <w:rPr>
          <w:rFonts w:ascii="宋体" w:eastAsia="宋体" w:hAnsi="宋体" w:cs="宋体" w:hint="eastAsia"/>
          <w:color w:val="000000"/>
          <w:kern w:val="0"/>
          <w:sz w:val="20"/>
          <w:szCs w:val="20"/>
        </w:rPr>
        <w:t>利尿药控制，但在需要大剂量用药时应防止血容量降低。此外，服用本药尚可用于诊断急性肾衰竭和防止急性肾小管坏死。</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药动学</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本药口服吸收率为60%-70%，食物可减慢其吸收，但不影响吸收率及其疗效。终末期肾病患者的口服吸收率降至43%-46%；充血性心力衰竭和肾病综合征等水肿性疾病时，由于肠壁水肿，口服吸收率也下降，故上述情况应胃肠外给药。口服和静脉给药后起</w:t>
      </w:r>
      <w:proofErr w:type="gramStart"/>
      <w:r w:rsidRPr="0072024B">
        <w:rPr>
          <w:rFonts w:ascii="宋体" w:eastAsia="宋体" w:hAnsi="宋体" w:cs="宋体" w:hint="eastAsia"/>
          <w:color w:val="000000"/>
          <w:kern w:val="0"/>
          <w:sz w:val="20"/>
          <w:szCs w:val="20"/>
        </w:rPr>
        <w:t>效</w:t>
      </w:r>
      <w:proofErr w:type="gramEnd"/>
      <w:r w:rsidRPr="0072024B">
        <w:rPr>
          <w:rFonts w:ascii="宋体" w:eastAsia="宋体" w:hAnsi="宋体" w:cs="宋体" w:hint="eastAsia"/>
          <w:color w:val="000000"/>
          <w:kern w:val="0"/>
          <w:sz w:val="20"/>
          <w:szCs w:val="20"/>
        </w:rPr>
        <w:t>时间分别为30-60分钟和5分钟，达峰时间分别为1-2小时和0.33-1小时，作用持续时间分别为6-8小时和2小时。本药主要分布于细胞外液，分布容积平均为体重的11.4%，血浆蛋白结合率为91%-97%。本药能通过胎盘屏障。半衰期存在较大的个体差异，正常人为30-60分钟；无尿患者延长至75-155分钟，肝肾功能同时严重受损者延长至11-20小时；新生儿由于肝肾廓清能力较差，半衰期延长至4-8小时。本药88%以原形经肾脏排泄，12%经肝脏代谢后随胆汁排泄(肾功能受损者经肝脏代谢增多)，也可随乳汁排出。透析不能清除本药。</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【制剂与规格】</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proofErr w:type="gramStart"/>
      <w:r w:rsidRPr="0072024B">
        <w:rPr>
          <w:rFonts w:ascii="宋体" w:eastAsia="宋体" w:hAnsi="宋体" w:cs="宋体" w:hint="eastAsia"/>
          <w:color w:val="000000"/>
          <w:kern w:val="0"/>
          <w:sz w:val="20"/>
          <w:szCs w:val="20"/>
        </w:rPr>
        <w:t>呋</w:t>
      </w:r>
      <w:proofErr w:type="gramEnd"/>
      <w:r w:rsidRPr="0072024B">
        <w:rPr>
          <w:rFonts w:ascii="宋体" w:eastAsia="宋体" w:hAnsi="宋体" w:cs="宋体" w:hint="eastAsia"/>
          <w:color w:val="000000"/>
          <w:kern w:val="0"/>
          <w:sz w:val="20"/>
          <w:szCs w:val="20"/>
        </w:rPr>
        <w:t>塞米片  (1)20mg。  (2)40mg。</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proofErr w:type="gramStart"/>
      <w:r w:rsidRPr="0072024B">
        <w:rPr>
          <w:rFonts w:ascii="宋体" w:eastAsia="宋体" w:hAnsi="宋体" w:cs="宋体" w:hint="eastAsia"/>
          <w:color w:val="000000"/>
          <w:kern w:val="0"/>
          <w:sz w:val="20"/>
          <w:szCs w:val="20"/>
        </w:rPr>
        <w:t>呋</w:t>
      </w:r>
      <w:proofErr w:type="gramEnd"/>
      <w:r w:rsidRPr="0072024B">
        <w:rPr>
          <w:rFonts w:ascii="宋体" w:eastAsia="宋体" w:hAnsi="宋体" w:cs="宋体" w:hint="eastAsia"/>
          <w:color w:val="000000"/>
          <w:kern w:val="0"/>
          <w:sz w:val="20"/>
          <w:szCs w:val="20"/>
        </w:rPr>
        <w:t>塞米注射液  2ml:20mg。</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注射用</w:t>
      </w:r>
      <w:proofErr w:type="gramStart"/>
      <w:r w:rsidRPr="0072024B">
        <w:rPr>
          <w:rFonts w:ascii="宋体" w:eastAsia="宋体" w:hAnsi="宋体" w:cs="宋体" w:hint="eastAsia"/>
          <w:color w:val="000000"/>
          <w:kern w:val="0"/>
          <w:sz w:val="20"/>
          <w:szCs w:val="20"/>
        </w:rPr>
        <w:t>呋</w:t>
      </w:r>
      <w:proofErr w:type="gramEnd"/>
      <w:r w:rsidRPr="0072024B">
        <w:rPr>
          <w:rFonts w:ascii="宋体" w:eastAsia="宋体" w:hAnsi="宋体" w:cs="宋体" w:hint="eastAsia"/>
          <w:color w:val="000000"/>
          <w:kern w:val="0"/>
          <w:sz w:val="20"/>
          <w:szCs w:val="20"/>
        </w:rPr>
        <w:t>塞米  (1)20mg。(2)40mg。</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b/>
          <w:bCs/>
          <w:color w:val="000000"/>
          <w:kern w:val="0"/>
          <w:sz w:val="20"/>
          <w:szCs w:val="20"/>
        </w:rPr>
        <w:t>【贮藏】</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片剂：遮光、密封，干燥处保存。</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注射液：遮光、密闭保存。</w:t>
      </w:r>
    </w:p>
    <w:p w:rsidR="0072024B" w:rsidRPr="0072024B" w:rsidRDefault="0072024B" w:rsidP="0072024B">
      <w:pPr>
        <w:widowControl/>
        <w:spacing w:before="150" w:after="150" w:line="270" w:lineRule="atLeast"/>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粉针剂：遮光、密封，阴凉处保存。</w:t>
      </w:r>
    </w:p>
    <w:p w:rsidR="0072024B" w:rsidRPr="0072024B" w:rsidRDefault="0072024B" w:rsidP="0072024B">
      <w:pPr>
        <w:widowControl/>
        <w:jc w:val="center"/>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使用</w:t>
      </w:r>
      <w:proofErr w:type="spellStart"/>
      <w:r w:rsidRPr="0072024B">
        <w:rPr>
          <w:rFonts w:ascii="宋体" w:eastAsia="宋体" w:hAnsi="宋体" w:cs="宋体" w:hint="eastAsia"/>
          <w:color w:val="000000"/>
          <w:kern w:val="0"/>
          <w:sz w:val="20"/>
          <w:szCs w:val="20"/>
        </w:rPr>
        <w:t>UpToDate</w:t>
      </w:r>
      <w:proofErr w:type="spellEnd"/>
      <w:r w:rsidRPr="0072024B">
        <w:rPr>
          <w:rFonts w:ascii="宋体" w:eastAsia="宋体" w:hAnsi="宋体" w:cs="宋体" w:hint="eastAsia"/>
          <w:color w:val="000000"/>
          <w:kern w:val="0"/>
          <w:sz w:val="20"/>
          <w:szCs w:val="20"/>
        </w:rPr>
        <w:t>临床顾问须遵循</w:t>
      </w:r>
      <w:hyperlink r:id="rId5" w:tgtFrame="_blank" w:history="1">
        <w:r w:rsidRPr="0072024B">
          <w:rPr>
            <w:rFonts w:ascii="宋体" w:eastAsia="宋体" w:hAnsi="宋体" w:cs="宋体" w:hint="eastAsia"/>
            <w:color w:val="336633"/>
            <w:kern w:val="0"/>
            <w:sz w:val="20"/>
            <w:szCs w:val="20"/>
            <w:u w:val="single"/>
          </w:rPr>
          <w:t>用户协议</w:t>
        </w:r>
      </w:hyperlink>
      <w:r w:rsidRPr="0072024B">
        <w:rPr>
          <w:rFonts w:ascii="宋体" w:eastAsia="宋体" w:hAnsi="宋体" w:cs="宋体" w:hint="eastAsia"/>
          <w:color w:val="000000"/>
          <w:kern w:val="0"/>
          <w:sz w:val="20"/>
          <w:szCs w:val="20"/>
        </w:rPr>
        <w:t>。</w:t>
      </w:r>
    </w:p>
    <w:p w:rsidR="0072024B" w:rsidRPr="0072024B" w:rsidRDefault="0072024B" w:rsidP="0072024B">
      <w:pPr>
        <w:widowControl/>
        <w:jc w:val="left"/>
        <w:rPr>
          <w:rFonts w:ascii="宋体" w:eastAsia="宋体" w:hAnsi="宋体" w:cs="宋体" w:hint="eastAsia"/>
          <w:color w:val="000000"/>
          <w:kern w:val="0"/>
          <w:sz w:val="20"/>
          <w:szCs w:val="20"/>
        </w:rPr>
      </w:pPr>
      <w:r w:rsidRPr="0072024B">
        <w:rPr>
          <w:rFonts w:ascii="宋体" w:eastAsia="宋体" w:hAnsi="宋体" w:cs="宋体" w:hint="eastAsia"/>
          <w:color w:val="000000"/>
          <w:kern w:val="0"/>
          <w:sz w:val="20"/>
          <w:szCs w:val="20"/>
        </w:rPr>
        <w:t>专题 92487 版本 1.0</w:t>
      </w:r>
    </w:p>
    <w:p w:rsidR="00F249C2" w:rsidRDefault="00F249C2">
      <w:pPr>
        <w:rPr>
          <w:rFonts w:hint="eastAsia"/>
        </w:rPr>
      </w:pPr>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BCC"/>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2024B"/>
    <w:rsid w:val="00734E5A"/>
    <w:rsid w:val="007547FF"/>
    <w:rsid w:val="007622E5"/>
    <w:rsid w:val="007958AE"/>
    <w:rsid w:val="007B7BCC"/>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024B"/>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72024B"/>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72024B"/>
  </w:style>
  <w:style w:type="character" w:customStyle="1" w:styleId="h2">
    <w:name w:val="h2"/>
    <w:basedOn w:val="a0"/>
    <w:rsid w:val="0072024B"/>
  </w:style>
  <w:style w:type="character" w:customStyle="1" w:styleId="nowrap">
    <w:name w:val="nowrap"/>
    <w:basedOn w:val="a0"/>
    <w:rsid w:val="0072024B"/>
  </w:style>
  <w:style w:type="character" w:styleId="a4">
    <w:name w:val="Hyperlink"/>
    <w:basedOn w:val="a0"/>
    <w:uiPriority w:val="99"/>
    <w:semiHidden/>
    <w:unhideWhenUsed/>
    <w:rsid w:val="007202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024B"/>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72024B"/>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72024B"/>
  </w:style>
  <w:style w:type="character" w:customStyle="1" w:styleId="h2">
    <w:name w:val="h2"/>
    <w:basedOn w:val="a0"/>
    <w:rsid w:val="0072024B"/>
  </w:style>
  <w:style w:type="character" w:customStyle="1" w:styleId="nowrap">
    <w:name w:val="nowrap"/>
    <w:basedOn w:val="a0"/>
    <w:rsid w:val="0072024B"/>
  </w:style>
  <w:style w:type="character" w:styleId="a4">
    <w:name w:val="Hyperlink"/>
    <w:basedOn w:val="a0"/>
    <w:uiPriority w:val="99"/>
    <w:semiHidden/>
    <w:unhideWhenUsed/>
    <w:rsid w:val="007202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291890">
      <w:bodyDiv w:val="1"/>
      <w:marLeft w:val="0"/>
      <w:marRight w:val="0"/>
      <w:marTop w:val="0"/>
      <w:marBottom w:val="0"/>
      <w:divBdr>
        <w:top w:val="none" w:sz="0" w:space="0" w:color="auto"/>
        <w:left w:val="none" w:sz="0" w:space="0" w:color="auto"/>
        <w:bottom w:val="none" w:sz="0" w:space="0" w:color="auto"/>
        <w:right w:val="none" w:sz="0" w:space="0" w:color="auto"/>
      </w:divBdr>
      <w:divsChild>
        <w:div w:id="1870950641">
          <w:marLeft w:val="0"/>
          <w:marRight w:val="0"/>
          <w:marTop w:val="480"/>
          <w:marBottom w:val="480"/>
          <w:divBdr>
            <w:top w:val="none" w:sz="0" w:space="0" w:color="auto"/>
            <w:left w:val="none" w:sz="0" w:space="0" w:color="auto"/>
            <w:bottom w:val="none" w:sz="0" w:space="0" w:color="auto"/>
            <w:right w:val="none" w:sz="0" w:space="0" w:color="auto"/>
          </w:divBdr>
        </w:div>
        <w:div w:id="2099709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1060</Words>
  <Characters>6042</Characters>
  <Application>Microsoft Office Word</Application>
  <DocSecurity>0</DocSecurity>
  <Lines>50</Lines>
  <Paragraphs>14</Paragraphs>
  <ScaleCrop>false</ScaleCrop>
  <Company>China</Company>
  <LinksUpToDate>false</LinksUpToDate>
  <CharactersWithSpaces>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2015-02-09T03:35:00Z</dcterms:created>
  <dcterms:modified xsi:type="dcterms:W3CDTF">2015-02-09T03:36:00Z</dcterms:modified>
</cp:coreProperties>
</file>