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37F" w:rsidRPr="003E737F" w:rsidRDefault="003E737F" w:rsidP="003E737F">
      <w:pPr>
        <w:widowControl/>
        <w:jc w:val="left"/>
        <w:rPr>
          <w:rFonts w:ascii="宋体" w:eastAsia="宋体" w:hAnsi="宋体" w:cs="宋体"/>
          <w:b/>
          <w:bCs/>
          <w:color w:val="000000"/>
          <w:kern w:val="0"/>
          <w:sz w:val="20"/>
          <w:szCs w:val="20"/>
        </w:rPr>
      </w:pPr>
      <w:bookmarkStart w:id="0" w:name="_GoBack"/>
      <w:r w:rsidRPr="003E737F">
        <w:rPr>
          <w:rFonts w:ascii="宋体" w:eastAsia="宋体" w:hAnsi="宋体" w:cs="宋体" w:hint="eastAsia"/>
          <w:b/>
          <w:bCs/>
          <w:color w:val="000000"/>
          <w:kern w:val="0"/>
          <w:sz w:val="20"/>
          <w:szCs w:val="20"/>
        </w:rPr>
        <w:t>氯化钾</w:t>
      </w:r>
    </w:p>
    <w:bookmarkEnd w:id="0"/>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文章版本号：4</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最后发布时间：2014-8-15 10:58:02</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【药物名称】</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中文通用名称：氯化钾</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英文通用名称：Potassium Chloride</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其他名称：补达秀、</w:t>
      </w:r>
      <w:proofErr w:type="gramStart"/>
      <w:r w:rsidRPr="003E737F">
        <w:rPr>
          <w:rFonts w:ascii="宋体" w:eastAsia="宋体" w:hAnsi="宋体" w:cs="宋体" w:hint="eastAsia"/>
          <w:color w:val="000000"/>
          <w:kern w:val="0"/>
          <w:sz w:val="20"/>
          <w:szCs w:val="20"/>
        </w:rPr>
        <w:t>莱</w:t>
      </w:r>
      <w:proofErr w:type="gramEnd"/>
      <w:r w:rsidRPr="003E737F">
        <w:rPr>
          <w:rFonts w:ascii="宋体" w:eastAsia="宋体" w:hAnsi="宋体" w:cs="宋体" w:hint="eastAsia"/>
          <w:color w:val="000000"/>
          <w:kern w:val="0"/>
          <w:sz w:val="20"/>
          <w:szCs w:val="20"/>
        </w:rPr>
        <w:t>丁甲、立贝甲、施乐凯、舒立达、先甲、欣健聚、</w:t>
      </w:r>
      <w:proofErr w:type="spellStart"/>
      <w:r w:rsidRPr="003E737F">
        <w:rPr>
          <w:rFonts w:ascii="宋体" w:eastAsia="宋体" w:hAnsi="宋体" w:cs="宋体" w:hint="eastAsia"/>
          <w:color w:val="000000"/>
          <w:kern w:val="0"/>
          <w:sz w:val="20"/>
          <w:szCs w:val="20"/>
        </w:rPr>
        <w:t>Camcopot</w:t>
      </w:r>
      <w:proofErr w:type="spellEnd"/>
      <w:r w:rsidRPr="003E737F">
        <w:rPr>
          <w:rFonts w:ascii="宋体" w:eastAsia="宋体" w:hAnsi="宋体" w:cs="宋体" w:hint="eastAsia"/>
          <w:color w:val="000000"/>
          <w:kern w:val="0"/>
          <w:sz w:val="20"/>
          <w:szCs w:val="20"/>
        </w:rPr>
        <w:t>、</w:t>
      </w:r>
      <w:proofErr w:type="spellStart"/>
      <w:r w:rsidRPr="003E737F">
        <w:rPr>
          <w:rFonts w:ascii="宋体" w:eastAsia="宋体" w:hAnsi="宋体" w:cs="宋体" w:hint="eastAsia"/>
          <w:color w:val="000000"/>
          <w:kern w:val="0"/>
          <w:sz w:val="20"/>
          <w:szCs w:val="20"/>
        </w:rPr>
        <w:t>Chloropotassuril</w:t>
      </w:r>
      <w:proofErr w:type="spellEnd"/>
      <w:r w:rsidRPr="003E737F">
        <w:rPr>
          <w:rFonts w:ascii="宋体" w:eastAsia="宋体" w:hAnsi="宋体" w:cs="宋体" w:hint="eastAsia"/>
          <w:color w:val="000000"/>
          <w:kern w:val="0"/>
          <w:sz w:val="20"/>
          <w:szCs w:val="20"/>
        </w:rPr>
        <w:t>、</w:t>
      </w:r>
      <w:proofErr w:type="spellStart"/>
      <w:r w:rsidRPr="003E737F">
        <w:rPr>
          <w:rFonts w:ascii="宋体" w:eastAsia="宋体" w:hAnsi="宋体" w:cs="宋体" w:hint="eastAsia"/>
          <w:color w:val="000000"/>
          <w:kern w:val="0"/>
          <w:sz w:val="20"/>
          <w:szCs w:val="20"/>
        </w:rPr>
        <w:t>Diffu</w:t>
      </w:r>
      <w:proofErr w:type="spellEnd"/>
      <w:r w:rsidRPr="003E737F">
        <w:rPr>
          <w:rFonts w:ascii="宋体" w:eastAsia="宋体" w:hAnsi="宋体" w:cs="宋体" w:hint="eastAsia"/>
          <w:color w:val="000000"/>
          <w:kern w:val="0"/>
          <w:sz w:val="20"/>
          <w:szCs w:val="20"/>
        </w:rPr>
        <w:t>-K、</w:t>
      </w:r>
      <w:proofErr w:type="spellStart"/>
      <w:r w:rsidRPr="003E737F">
        <w:rPr>
          <w:rFonts w:ascii="宋体" w:eastAsia="宋体" w:hAnsi="宋体" w:cs="宋体" w:hint="eastAsia"/>
          <w:color w:val="000000"/>
          <w:kern w:val="0"/>
          <w:sz w:val="20"/>
          <w:szCs w:val="20"/>
        </w:rPr>
        <w:t>Kaleorid</w:t>
      </w:r>
      <w:proofErr w:type="spellEnd"/>
      <w:r w:rsidRPr="003E737F">
        <w:rPr>
          <w:rFonts w:ascii="宋体" w:eastAsia="宋体" w:hAnsi="宋体" w:cs="宋体" w:hint="eastAsia"/>
          <w:color w:val="000000"/>
          <w:kern w:val="0"/>
          <w:sz w:val="20"/>
          <w:szCs w:val="20"/>
        </w:rPr>
        <w:t>、</w:t>
      </w:r>
      <w:proofErr w:type="spellStart"/>
      <w:r w:rsidRPr="003E737F">
        <w:rPr>
          <w:rFonts w:ascii="宋体" w:eastAsia="宋体" w:hAnsi="宋体" w:cs="宋体" w:hint="eastAsia"/>
          <w:color w:val="000000"/>
          <w:kern w:val="0"/>
          <w:sz w:val="20"/>
          <w:szCs w:val="20"/>
        </w:rPr>
        <w:t>Kalii</w:t>
      </w:r>
      <w:proofErr w:type="spellEnd"/>
      <w:r w:rsidRPr="003E737F">
        <w:rPr>
          <w:rFonts w:ascii="宋体" w:eastAsia="宋体" w:hAnsi="宋体" w:cs="宋体" w:hint="eastAsia"/>
          <w:color w:val="000000"/>
          <w:kern w:val="0"/>
          <w:sz w:val="20"/>
          <w:szCs w:val="20"/>
        </w:rPr>
        <w:t xml:space="preserve"> </w:t>
      </w:r>
      <w:proofErr w:type="spellStart"/>
      <w:r w:rsidRPr="003E737F">
        <w:rPr>
          <w:rFonts w:ascii="宋体" w:eastAsia="宋体" w:hAnsi="宋体" w:cs="宋体" w:hint="eastAsia"/>
          <w:color w:val="000000"/>
          <w:kern w:val="0"/>
          <w:sz w:val="20"/>
          <w:szCs w:val="20"/>
        </w:rPr>
        <w:t>Chlordum</w:t>
      </w:r>
      <w:proofErr w:type="spellEnd"/>
      <w:r w:rsidRPr="003E737F">
        <w:rPr>
          <w:rFonts w:ascii="宋体" w:eastAsia="宋体" w:hAnsi="宋体" w:cs="宋体" w:hint="eastAsia"/>
          <w:color w:val="000000"/>
          <w:kern w:val="0"/>
          <w:sz w:val="20"/>
          <w:szCs w:val="20"/>
        </w:rPr>
        <w:t>、</w:t>
      </w:r>
      <w:proofErr w:type="spellStart"/>
      <w:r w:rsidRPr="003E737F">
        <w:rPr>
          <w:rFonts w:ascii="宋体" w:eastAsia="宋体" w:hAnsi="宋体" w:cs="宋体" w:hint="eastAsia"/>
          <w:color w:val="000000"/>
          <w:kern w:val="0"/>
          <w:sz w:val="20"/>
          <w:szCs w:val="20"/>
        </w:rPr>
        <w:t>Klotrix</w:t>
      </w:r>
      <w:proofErr w:type="spellEnd"/>
      <w:r w:rsidRPr="003E737F">
        <w:rPr>
          <w:rFonts w:ascii="宋体" w:eastAsia="宋体" w:hAnsi="宋体" w:cs="宋体" w:hint="eastAsia"/>
          <w:color w:val="000000"/>
          <w:kern w:val="0"/>
          <w:sz w:val="20"/>
          <w:szCs w:val="20"/>
        </w:rPr>
        <w:t>、Micro-K、Micro-</w:t>
      </w:r>
      <w:proofErr w:type="spellStart"/>
      <w:r w:rsidRPr="003E737F">
        <w:rPr>
          <w:rFonts w:ascii="宋体" w:eastAsia="宋体" w:hAnsi="宋体" w:cs="宋体" w:hint="eastAsia"/>
          <w:color w:val="000000"/>
          <w:kern w:val="0"/>
          <w:sz w:val="20"/>
          <w:szCs w:val="20"/>
        </w:rPr>
        <w:t>Kalium</w:t>
      </w:r>
      <w:proofErr w:type="spellEnd"/>
      <w:r w:rsidRPr="003E737F">
        <w:rPr>
          <w:rFonts w:ascii="宋体" w:eastAsia="宋体" w:hAnsi="宋体" w:cs="宋体" w:hint="eastAsia"/>
          <w:color w:val="000000"/>
          <w:kern w:val="0"/>
          <w:sz w:val="20"/>
          <w:szCs w:val="20"/>
        </w:rPr>
        <w:t>、Peter-</w:t>
      </w:r>
      <w:proofErr w:type="spellStart"/>
      <w:r w:rsidRPr="003E737F">
        <w:rPr>
          <w:rFonts w:ascii="宋体" w:eastAsia="宋体" w:hAnsi="宋体" w:cs="宋体" w:hint="eastAsia"/>
          <w:color w:val="000000"/>
          <w:kern w:val="0"/>
          <w:sz w:val="20"/>
          <w:szCs w:val="20"/>
        </w:rPr>
        <w:t>Kal</w:t>
      </w:r>
      <w:proofErr w:type="spellEnd"/>
      <w:r w:rsidRPr="003E737F">
        <w:rPr>
          <w:rFonts w:ascii="宋体" w:eastAsia="宋体" w:hAnsi="宋体" w:cs="宋体" w:hint="eastAsia"/>
          <w:color w:val="000000"/>
          <w:kern w:val="0"/>
          <w:sz w:val="20"/>
          <w:szCs w:val="20"/>
        </w:rPr>
        <w:t xml:space="preserve"> </w:t>
      </w:r>
      <w:proofErr w:type="spellStart"/>
      <w:r w:rsidRPr="003E737F">
        <w:rPr>
          <w:rFonts w:ascii="宋体" w:eastAsia="宋体" w:hAnsi="宋体" w:cs="宋体" w:hint="eastAsia"/>
          <w:color w:val="000000"/>
          <w:kern w:val="0"/>
          <w:sz w:val="20"/>
          <w:szCs w:val="20"/>
        </w:rPr>
        <w:t>Pot.Chloride</w:t>
      </w:r>
      <w:proofErr w:type="spellEnd"/>
      <w:r w:rsidRPr="003E737F">
        <w:rPr>
          <w:rFonts w:ascii="宋体" w:eastAsia="宋体" w:hAnsi="宋体" w:cs="宋体" w:hint="eastAsia"/>
          <w:color w:val="000000"/>
          <w:kern w:val="0"/>
          <w:sz w:val="20"/>
          <w:szCs w:val="20"/>
        </w:rPr>
        <w:t>、</w:t>
      </w:r>
      <w:proofErr w:type="spellStart"/>
      <w:r w:rsidRPr="003E737F">
        <w:rPr>
          <w:rFonts w:ascii="宋体" w:eastAsia="宋体" w:hAnsi="宋体" w:cs="宋体" w:hint="eastAsia"/>
          <w:color w:val="000000"/>
          <w:kern w:val="0"/>
          <w:sz w:val="20"/>
          <w:szCs w:val="20"/>
        </w:rPr>
        <w:t>Potavescent</w:t>
      </w:r>
      <w:proofErr w:type="spellEnd"/>
      <w:r w:rsidRPr="003E737F">
        <w:rPr>
          <w:rFonts w:ascii="宋体" w:eastAsia="宋体" w:hAnsi="宋体" w:cs="宋体" w:hint="eastAsia"/>
          <w:color w:val="000000"/>
          <w:kern w:val="0"/>
          <w:sz w:val="20"/>
          <w:szCs w:val="20"/>
        </w:rPr>
        <w:t>、</w:t>
      </w:r>
      <w:proofErr w:type="spellStart"/>
      <w:r w:rsidRPr="003E737F">
        <w:rPr>
          <w:rFonts w:ascii="宋体" w:eastAsia="宋体" w:hAnsi="宋体" w:cs="宋体" w:hint="eastAsia"/>
          <w:color w:val="000000"/>
          <w:kern w:val="0"/>
          <w:sz w:val="20"/>
          <w:szCs w:val="20"/>
        </w:rPr>
        <w:t>Repone</w:t>
      </w:r>
      <w:proofErr w:type="spellEnd"/>
      <w:r w:rsidRPr="003E737F">
        <w:rPr>
          <w:rFonts w:ascii="宋体" w:eastAsia="宋体" w:hAnsi="宋体" w:cs="宋体" w:hint="eastAsia"/>
          <w:color w:val="000000"/>
          <w:kern w:val="0"/>
          <w:sz w:val="20"/>
          <w:szCs w:val="20"/>
        </w:rPr>
        <w:t xml:space="preserve"> K、Slow K、Span-K。</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【药理分类】</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电解质、酸碱平衡及营养药&gt;&gt;电解质调节药</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心血管系统用药&gt;&gt;抗心律失常药&gt;&gt;其它抗心律失常药</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【临床应用】</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CFDA说明书适应症</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1.用于治疗多种原因引起的低钾血症，如进食不足、呕吐、严重腹泻、使用排钾利尿药、低钾性家族性周期性麻痹、长期应用糖皮质激素和使用高渗葡萄糖。</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2.用于预防低钾血症。当患者存在失钾情况，尤其是发生低钾血症对患者危害较大(如使用洋地黄类药物的患者)时，或有进食不足、严重或慢性腹泻、长期服用肾上腺皮质激素、失钾性肾病、Bartter's综合征时，需预防性补充钾盐。</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3.用于治疗洋地黄类药物中毒引起的频发、多源性期前收缩或快速性心律失常。</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【用法与用量】</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成人</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◆常规剂量</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·低钾血症、心律失常</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1.口服给药  一次0.5-1g，一日2-4次，按病情需要调整剂量。最大剂量为一日6g。</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2.静脉滴注  用于严重低钾血症或不可口服者：(1)一般用法为将本药1-1.5g加入5%葡萄糖液500ml中滴注。补钾浓度不超过3.4g/L(45mmol/L)，补钾速度不超过0.75g/h(10mmol/h)，补钾量为一日3-4.5g(40-60mmol)。(2)对体内缺钾引起的严重快速室性异位心律失常(如尖端扭转型室性心动过速，短暂、反复发作多形性室性心动过速、心室扑动等危及生命的严重心律失常)，补钾浓度宜高(可达5g/L，甚至10g/L)、滴速宜快[1.5g/h(20mmol/h)]，补钾量可达一日10g或更高。如病情危急，补钾浓度和速度可超过上述规定，但需严密动态观察血钾及心电图等，防止高钾血症发生。</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儿童</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◆常规剂量</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lastRenderedPageBreak/>
        <w:t>·低钾血症、心律失常</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1.静脉滴注  一日0.22g/kg(3mmol/kg)或3g/m</w:t>
      </w:r>
      <w:r w:rsidRPr="003E737F">
        <w:rPr>
          <w:rFonts w:ascii="宋体" w:eastAsia="宋体" w:hAnsi="宋体" w:cs="宋体" w:hint="eastAsia"/>
          <w:color w:val="000000"/>
          <w:kern w:val="0"/>
          <w:sz w:val="20"/>
          <w:szCs w:val="20"/>
          <w:vertAlign w:val="superscript"/>
        </w:rPr>
        <w:t>2</w:t>
      </w:r>
      <w:r w:rsidRPr="003E737F">
        <w:rPr>
          <w:rFonts w:ascii="宋体" w:eastAsia="宋体" w:hAnsi="宋体" w:cs="宋体" w:hint="eastAsia"/>
          <w:color w:val="000000"/>
          <w:kern w:val="0"/>
          <w:sz w:val="20"/>
          <w:szCs w:val="20"/>
        </w:rPr>
        <w:t>。</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【国外用法用量参考】</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成人</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◆常规剂量</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·治疗低钾血症</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1.口服给药  一日20-100mmol，分1-5次给予，餐后服用。</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2.静脉滴注  (1)当血钾浓度低于2mmol/L，伴心电图改变和(或)肌肉麻痹时，滴注速度不超过40mmol/h，并连续监测心脏，一日剂量不超过400mmol。(2)当血钾浓度超过2.5mmol/L时，滴注速度不超过10mmol/h，补钾浓度不超过40mmol/L，一日剂量不超过200mmol。</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·预防低钾血症</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1.口服给药  一般剂量为一日20mmol，根据患者需要进行调整。</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儿童</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◆常规剂量</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·治疗低钾血症</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1.口服给药  一日3-8mmol/kg，根据患者耐受性及剂量分1-5次给予。由低剂量开始治疗，并根据血清钾浓度调整剂量。</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2.静脉滴注  一次0.5-0.75mmol/kg，滴注时间1-2小时，随后重新评估钾浓度。一次最大剂量为40mmol。</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【给药说明】</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给药方式说明</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口服给药  (1)本</w:t>
      </w:r>
      <w:proofErr w:type="gramStart"/>
      <w:r w:rsidRPr="003E737F">
        <w:rPr>
          <w:rFonts w:ascii="宋体" w:eastAsia="宋体" w:hAnsi="宋体" w:cs="宋体" w:hint="eastAsia"/>
          <w:color w:val="000000"/>
          <w:kern w:val="0"/>
          <w:sz w:val="20"/>
          <w:szCs w:val="20"/>
        </w:rPr>
        <w:t>药普通</w:t>
      </w:r>
      <w:proofErr w:type="gramEnd"/>
      <w:r w:rsidRPr="003E737F">
        <w:rPr>
          <w:rFonts w:ascii="宋体" w:eastAsia="宋体" w:hAnsi="宋体" w:cs="宋体" w:hint="eastAsia"/>
          <w:color w:val="000000"/>
          <w:kern w:val="0"/>
          <w:sz w:val="20"/>
          <w:szCs w:val="20"/>
        </w:rPr>
        <w:t>片剂对胃肠道有强烈刺激作用，宜溶解成溶液后服用。(2)本药缓释片应整片吞服，不得咬碎。</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【禁忌症】</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1.高钾血症患者。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2.少尿或尿闭患者。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3.急、慢性肾功能不全者。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【慎用】</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1.代谢性酸中毒伴有少尿者。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2.肾上腺皮质功能减弱者。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3.急性脱水患者。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4.传导阻滞性心律失常(尤其是应用洋地黄类药时)者。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lastRenderedPageBreak/>
        <w:t>5.大面积烧伤、肌肉创伤、严重感染、大手术后24小时内或严重溶血者(可引起高钾血症)。</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6.先天性肾上腺皮质增生伴盐皮质激素分泌不足者。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7.家族性周期性麻痹患者。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8.胃肠道梗阻、慢性胃炎、溃疡病、食管狭窄、憩室、肠张力缺乏、溃疡性肠炎者。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9.酸碱失衡者(国外资料)。</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10.心力衰竭患者(国外资料)。</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【特殊人群】</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儿童</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儿童用药参见“用法与用量”项。</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老人</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老年人肾脏清除K</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的能力降低，用药时较易发生高钾血症。</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妊娠期妇女</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美国食品药品管理局(FDA)对本药的妊娠安全性分级为C级。</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哺乳期妇女</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尚不明确。</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特殊疾病状态</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1.急性脱水患者：此类患者严重时可致尿量减少，尿K</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排泄减少，故应慎用。</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2.家族性周期性麻痹患者：低钾性麻痹者应予补钾，但须</w:t>
      </w:r>
      <w:proofErr w:type="gramStart"/>
      <w:r w:rsidRPr="003E737F">
        <w:rPr>
          <w:rFonts w:ascii="宋体" w:eastAsia="宋体" w:hAnsi="宋体" w:cs="宋体" w:hint="eastAsia"/>
          <w:color w:val="000000"/>
          <w:kern w:val="0"/>
          <w:sz w:val="20"/>
          <w:szCs w:val="20"/>
        </w:rPr>
        <w:t>鉴别高</w:t>
      </w:r>
      <w:proofErr w:type="gramEnd"/>
      <w:r w:rsidRPr="003E737F">
        <w:rPr>
          <w:rFonts w:ascii="宋体" w:eastAsia="宋体" w:hAnsi="宋体" w:cs="宋体" w:hint="eastAsia"/>
          <w:color w:val="000000"/>
          <w:kern w:val="0"/>
          <w:sz w:val="20"/>
          <w:szCs w:val="20"/>
        </w:rPr>
        <w:t>钾性或正常血钾性周期性麻痹。</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3.胃肠道梗阻、慢性胃炎、溃疡病、食管狭窄、憩室、肠张力缺乏及溃疡性肠炎者：以上患者口服补钾时可增加对胃肠道的刺激，加重病情，故不宜口服补钾。</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4.酸碱失衡者：此类患者在酸碱失衡纠正过程中血清钾浓度可能发生变化，需进行密切监测。</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5.心律失常及心力衰竭患者：此类患者可能更易出现由高钾血症或低钾血症引起的危及生命的心脏反应，故应慎用。</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【不良反应】</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1.口服可有胃肠道刺激症状，如恶心、呕吐、咽部不适、胸痛(食管刺激)、腹痛、腹泻、消化性溃疡、胃肠道出血，空腹服用、剂量较大或原有胃肠道疾病者更易发生。</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2.静脉滴注浓度较高、速度较快或滴注的静脉较细时，易刺激静脉内膜引起疼痛。滴注速度较快或原有肾功能不全时易导致高钾血症。有本药静脉滴注致婴儿过敏反应的个案报道。</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【药物相互作用】</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药物-药物相互作用</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1.抗胆碱药物、非</w:t>
      </w:r>
      <w:proofErr w:type="gramStart"/>
      <w:r w:rsidRPr="003E737F">
        <w:rPr>
          <w:rFonts w:ascii="宋体" w:eastAsia="宋体" w:hAnsi="宋体" w:cs="宋体" w:hint="eastAsia"/>
          <w:color w:val="000000"/>
          <w:kern w:val="0"/>
          <w:sz w:val="20"/>
          <w:szCs w:val="20"/>
        </w:rPr>
        <w:t>甾</w:t>
      </w:r>
      <w:proofErr w:type="gramEnd"/>
      <w:r w:rsidRPr="003E737F">
        <w:rPr>
          <w:rFonts w:ascii="宋体" w:eastAsia="宋体" w:hAnsi="宋体" w:cs="宋体" w:hint="eastAsia"/>
          <w:color w:val="000000"/>
          <w:kern w:val="0"/>
          <w:sz w:val="20"/>
          <w:szCs w:val="20"/>
        </w:rPr>
        <w:t>体类抗炎药：</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lastRenderedPageBreak/>
        <w:t>结果：合用可加重本药的胃肠道刺激症状。</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2.血管紧张素转换酶抑制药、环</w:t>
      </w:r>
      <w:proofErr w:type="gramStart"/>
      <w:r w:rsidRPr="003E737F">
        <w:rPr>
          <w:rFonts w:ascii="宋体" w:eastAsia="宋体" w:hAnsi="宋体" w:cs="宋体" w:hint="eastAsia"/>
          <w:color w:val="000000"/>
          <w:kern w:val="0"/>
          <w:sz w:val="20"/>
          <w:szCs w:val="20"/>
        </w:rPr>
        <w:t>孢</w:t>
      </w:r>
      <w:proofErr w:type="gramEnd"/>
      <w:r w:rsidRPr="003E737F">
        <w:rPr>
          <w:rFonts w:ascii="宋体" w:eastAsia="宋体" w:hAnsi="宋体" w:cs="宋体" w:hint="eastAsia"/>
          <w:color w:val="000000"/>
          <w:kern w:val="0"/>
          <w:sz w:val="20"/>
          <w:szCs w:val="20"/>
        </w:rPr>
        <w:t>素：</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结果：合用易发生高钾血症。</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机制：以上药物可抑制醛固酮分泌，减少尿钾排泄。</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3.肝素：</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结果：合用易发生高钾血症，肝素还可使胃肠道出血的发生率增加。</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机制：肝素可抑制醛固酮的合成，减少尿钾排泄。</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4.含钾药物、保钾利尿药：</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结果：合用可增加发生高钾血症的风险，尤其是有肾功能损害者。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5.肾上腺糖皮质激素、肾上腺盐皮质激素、促皮质素(ACTH)：</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结果：合用可减弱本药疗效。</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机制：以上药物可促进尿钾排泄。</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【注意事项】</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用药警示</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1.合用库存血(库存10日以下含钾30mmol/L，库存10日以上含钾65mmol/L)可增加发生高钾血症的风险，尤其是有肾功能损害者。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2.缓释型钾盐可抑制肠道对维生素B</w:t>
      </w:r>
      <w:r w:rsidRPr="003E737F">
        <w:rPr>
          <w:rFonts w:ascii="宋体" w:eastAsia="宋体" w:hAnsi="宋体" w:cs="宋体" w:hint="eastAsia"/>
          <w:color w:val="000000"/>
          <w:kern w:val="0"/>
          <w:sz w:val="20"/>
          <w:szCs w:val="20"/>
          <w:vertAlign w:val="subscript"/>
        </w:rPr>
        <w:t>12</w:t>
      </w:r>
      <w:r w:rsidRPr="003E737F">
        <w:rPr>
          <w:rFonts w:ascii="宋体" w:eastAsia="宋体" w:hAnsi="宋体" w:cs="宋体" w:hint="eastAsia"/>
          <w:color w:val="000000"/>
          <w:kern w:val="0"/>
          <w:sz w:val="20"/>
          <w:szCs w:val="20"/>
        </w:rPr>
        <w:t>的吸收。</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用药前后及用药时应当检查或监测</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用药期间应监测血钾、血镁、血钠、血钙、酸碱平衡指标、心电图、肾功能和尿量。</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高警讯药物</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美国安全用药规范研究院(ISMP)将本药(静脉注射剂)定为高警讯药物，使用不当将给患者带来严重危害。</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【国外专科用药信息参考】</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精神状况信息</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对精神障碍治疗的影响：本药可能引起胃肠道不良反应，与选择性5-羟色胺再摄取抑制药(SSRI)、卡马西平、</w:t>
      </w:r>
      <w:proofErr w:type="gramStart"/>
      <w:r w:rsidRPr="003E737F">
        <w:rPr>
          <w:rFonts w:ascii="宋体" w:eastAsia="宋体" w:hAnsi="宋体" w:cs="宋体" w:hint="eastAsia"/>
          <w:color w:val="000000"/>
          <w:kern w:val="0"/>
          <w:sz w:val="20"/>
          <w:szCs w:val="20"/>
        </w:rPr>
        <w:t>丙戊</w:t>
      </w:r>
      <w:proofErr w:type="gramEnd"/>
      <w:r w:rsidRPr="003E737F">
        <w:rPr>
          <w:rFonts w:ascii="宋体" w:eastAsia="宋体" w:hAnsi="宋体" w:cs="宋体" w:hint="eastAsia"/>
          <w:color w:val="000000"/>
          <w:kern w:val="0"/>
          <w:sz w:val="20"/>
          <w:szCs w:val="20"/>
        </w:rPr>
        <w:t>酸或锂剂合用可能产生叠加效应。抗胆碱药(多数精神药物均有抗胆碱作用)可使本药的致溃疡作用增强。</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【药物过量】</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过量的表现</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过量应用本药易导致高钾血症。</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过量的处理</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lastRenderedPageBreak/>
        <w:t>出现高钾血症时，应作如下处理：</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1.立即停止补钾，避免进食含钾饮食，避免使用含钾药物及保钾利尿药。</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2.静脉滴注高浓度葡萄糖注射液和胰岛素，以促使K</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进入细胞内(可每小时使用10%或25%葡萄糖注射液300-500ml，每20g葡萄糖中加入正规胰岛素10U)。</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3.若伴有代谢性酸中毒，应立即使用5%碳酸氢钠注射液，无酸中毒者可使用11.2%乳酸钠注射液，尤其是QRS波增宽者。</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4.应用钙剂对抗K</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的心脏毒性。当心电图提示P波缺失、QRS波变宽、心律失常，但未使用洋地黄类药物时，静脉注射10%葡萄糖酸钙注射液10ml，注射时间2分钟，必要时可间隔2分钟重复使用。</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5.口服聚苯乙烯</w:t>
      </w:r>
      <w:proofErr w:type="gramStart"/>
      <w:r w:rsidRPr="003E737F">
        <w:rPr>
          <w:rFonts w:ascii="宋体" w:eastAsia="宋体" w:hAnsi="宋体" w:cs="宋体" w:hint="eastAsia"/>
          <w:color w:val="000000"/>
          <w:kern w:val="0"/>
          <w:sz w:val="20"/>
          <w:szCs w:val="20"/>
        </w:rPr>
        <w:t>磺酸钠以阻滞</w:t>
      </w:r>
      <w:proofErr w:type="gramEnd"/>
      <w:r w:rsidRPr="003E737F">
        <w:rPr>
          <w:rFonts w:ascii="宋体" w:eastAsia="宋体" w:hAnsi="宋体" w:cs="宋体" w:hint="eastAsia"/>
          <w:color w:val="000000"/>
          <w:kern w:val="0"/>
          <w:sz w:val="20"/>
          <w:szCs w:val="20"/>
        </w:rPr>
        <w:t>肠道K</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的吸收，促进肠道排K</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6.伴有肾衰竭的严重高钾血症，可行血液透析或腹膜透析(血透清除K</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速度较快且效果较好)。</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7.应用</w:t>
      </w:r>
      <w:proofErr w:type="gramStart"/>
      <w:r w:rsidRPr="003E737F">
        <w:rPr>
          <w:rFonts w:ascii="宋体" w:eastAsia="宋体" w:hAnsi="宋体" w:cs="宋体" w:hint="eastAsia"/>
          <w:color w:val="000000"/>
          <w:kern w:val="0"/>
          <w:sz w:val="20"/>
          <w:szCs w:val="20"/>
        </w:rPr>
        <w:t>袢</w:t>
      </w:r>
      <w:proofErr w:type="gramEnd"/>
      <w:r w:rsidRPr="003E737F">
        <w:rPr>
          <w:rFonts w:ascii="宋体" w:eastAsia="宋体" w:hAnsi="宋体" w:cs="宋体" w:hint="eastAsia"/>
          <w:color w:val="000000"/>
          <w:kern w:val="0"/>
          <w:sz w:val="20"/>
          <w:szCs w:val="20"/>
        </w:rPr>
        <w:t>利尿药，必要时应同时补充生理盐水。</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【药理】</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药效学</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钾为细胞内的主要阳离子，浓度为150-160mmol/L；而细胞外的主要阳离子为钠离子，钾浓度仅为3.5-5mmol/L。机体主要依靠细胞膜上的Na</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-K</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·ATP酶来维持细胞内外的K</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、Na</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浓度差。体内的酸碱平衡状态对钾代谢有影响，而代谢紊乱也可影响酸碱平衡。正常的细胞内外K</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浓度及浓度差与细胞的某些功能有密切关系，如维持碳水化合物代谢、糖原储存、蛋白质代谢、细胞内渗透压和酸碱平衡、心肌兴奋性和传导性、骨骼肌正常张力和神经冲动传导，以及可使肠道、子宫和支气管平滑肌张力上升。</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药动学</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口服</w:t>
      </w:r>
      <w:proofErr w:type="gramStart"/>
      <w:r w:rsidRPr="003E737F">
        <w:rPr>
          <w:rFonts w:ascii="宋体" w:eastAsia="宋体" w:hAnsi="宋体" w:cs="宋体" w:hint="eastAsia"/>
          <w:color w:val="000000"/>
          <w:kern w:val="0"/>
          <w:sz w:val="20"/>
          <w:szCs w:val="20"/>
        </w:rPr>
        <w:t>钾全部</w:t>
      </w:r>
      <w:proofErr w:type="gramEnd"/>
      <w:r w:rsidRPr="003E737F">
        <w:rPr>
          <w:rFonts w:ascii="宋体" w:eastAsia="宋体" w:hAnsi="宋体" w:cs="宋体" w:hint="eastAsia"/>
          <w:color w:val="000000"/>
          <w:kern w:val="0"/>
          <w:sz w:val="20"/>
          <w:szCs w:val="20"/>
        </w:rPr>
        <w:t>由胃肠道吸收，肾小球滤过液中的钾盐在近曲小管内几乎完全被重吸收，在远曲小管和集合小管通过钠泵使K</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与管腔内Na</w:t>
      </w:r>
      <w:r w:rsidRPr="003E737F">
        <w:rPr>
          <w:rFonts w:ascii="宋体" w:eastAsia="宋体" w:hAnsi="宋体" w:cs="宋体" w:hint="eastAsia"/>
          <w:color w:val="000000"/>
          <w:kern w:val="0"/>
          <w:sz w:val="20"/>
          <w:szCs w:val="20"/>
          <w:vertAlign w:val="superscript"/>
        </w:rPr>
        <w:t>+</w:t>
      </w:r>
      <w:r w:rsidRPr="003E737F">
        <w:rPr>
          <w:rFonts w:ascii="宋体" w:eastAsia="宋体" w:hAnsi="宋体" w:cs="宋体" w:hint="eastAsia"/>
          <w:color w:val="000000"/>
          <w:kern w:val="0"/>
          <w:sz w:val="20"/>
          <w:szCs w:val="20"/>
        </w:rPr>
        <w:t>交换而被排泄。钾90%经肾脏排泄，10%随粪便排出，另有少量随唾液、汗腺、胆汁和胰液排出。</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【制剂与规格】</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氯化钾片  (1)0.25g。(2)0.5g。</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氯化钾缓释片  0.5g。</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氯化钾颗粒  1.6g(相当于钾0.524g)。</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氯化钾注射液  (1)10ml:1g。(2)10ml:1.5g。</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注射用氯化钾  (1)1g。(2)1.5g。</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b/>
          <w:bCs/>
          <w:color w:val="000000"/>
          <w:kern w:val="0"/>
          <w:sz w:val="20"/>
          <w:szCs w:val="20"/>
        </w:rPr>
        <w:t>【贮藏】</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片剂：密封保存。</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缓释片：密封，10-30℃，干燥处保存。</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颗粒：密封保存。</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lastRenderedPageBreak/>
        <w:t>注射液：密封保存。</w:t>
      </w:r>
    </w:p>
    <w:p w:rsidR="003E737F" w:rsidRPr="003E737F" w:rsidRDefault="003E737F" w:rsidP="003E737F">
      <w:pPr>
        <w:widowControl/>
        <w:spacing w:before="150" w:after="150" w:line="270" w:lineRule="atLeast"/>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粉针剂：密封保存。</w:t>
      </w:r>
    </w:p>
    <w:p w:rsidR="003E737F" w:rsidRPr="003E737F" w:rsidRDefault="003E737F" w:rsidP="003E737F">
      <w:pPr>
        <w:widowControl/>
        <w:jc w:val="center"/>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使用</w:t>
      </w:r>
      <w:proofErr w:type="spellStart"/>
      <w:r w:rsidRPr="003E737F">
        <w:rPr>
          <w:rFonts w:ascii="宋体" w:eastAsia="宋体" w:hAnsi="宋体" w:cs="宋体" w:hint="eastAsia"/>
          <w:color w:val="000000"/>
          <w:kern w:val="0"/>
          <w:sz w:val="20"/>
          <w:szCs w:val="20"/>
        </w:rPr>
        <w:t>UpToDate</w:t>
      </w:r>
      <w:proofErr w:type="spellEnd"/>
      <w:r w:rsidRPr="003E737F">
        <w:rPr>
          <w:rFonts w:ascii="宋体" w:eastAsia="宋体" w:hAnsi="宋体" w:cs="宋体" w:hint="eastAsia"/>
          <w:color w:val="000000"/>
          <w:kern w:val="0"/>
          <w:sz w:val="20"/>
          <w:szCs w:val="20"/>
        </w:rPr>
        <w:t>临床顾问须遵循</w:t>
      </w:r>
      <w:hyperlink r:id="rId5" w:tgtFrame="_blank" w:history="1">
        <w:r w:rsidRPr="003E737F">
          <w:rPr>
            <w:rFonts w:ascii="宋体" w:eastAsia="宋体" w:hAnsi="宋体" w:cs="宋体" w:hint="eastAsia"/>
            <w:color w:val="336633"/>
            <w:kern w:val="0"/>
            <w:sz w:val="20"/>
            <w:szCs w:val="20"/>
            <w:u w:val="single"/>
          </w:rPr>
          <w:t>用户协议</w:t>
        </w:r>
      </w:hyperlink>
      <w:r w:rsidRPr="003E737F">
        <w:rPr>
          <w:rFonts w:ascii="宋体" w:eastAsia="宋体" w:hAnsi="宋体" w:cs="宋体" w:hint="eastAsia"/>
          <w:color w:val="000000"/>
          <w:kern w:val="0"/>
          <w:sz w:val="20"/>
          <w:szCs w:val="20"/>
        </w:rPr>
        <w:t>。</w:t>
      </w:r>
    </w:p>
    <w:p w:rsidR="003E737F" w:rsidRPr="003E737F" w:rsidRDefault="003E737F" w:rsidP="003E737F">
      <w:pPr>
        <w:widowControl/>
        <w:jc w:val="left"/>
        <w:rPr>
          <w:rFonts w:ascii="宋体" w:eastAsia="宋体" w:hAnsi="宋体" w:cs="宋体" w:hint="eastAsia"/>
          <w:color w:val="000000"/>
          <w:kern w:val="0"/>
          <w:sz w:val="20"/>
          <w:szCs w:val="20"/>
        </w:rPr>
      </w:pPr>
      <w:r w:rsidRPr="003E737F">
        <w:rPr>
          <w:rFonts w:ascii="宋体" w:eastAsia="宋体" w:hAnsi="宋体" w:cs="宋体" w:hint="eastAsia"/>
          <w:color w:val="000000"/>
          <w:kern w:val="0"/>
          <w:sz w:val="20"/>
          <w:szCs w:val="20"/>
        </w:rPr>
        <w:t>专题 92590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5FC"/>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3E737F"/>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555FC"/>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737F"/>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3E737F"/>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3E737F"/>
  </w:style>
  <w:style w:type="character" w:customStyle="1" w:styleId="h2">
    <w:name w:val="h2"/>
    <w:basedOn w:val="a0"/>
    <w:rsid w:val="003E737F"/>
  </w:style>
  <w:style w:type="character" w:customStyle="1" w:styleId="nowrap">
    <w:name w:val="nowrap"/>
    <w:basedOn w:val="a0"/>
    <w:rsid w:val="003E737F"/>
  </w:style>
  <w:style w:type="character" w:styleId="a4">
    <w:name w:val="Hyperlink"/>
    <w:basedOn w:val="a0"/>
    <w:uiPriority w:val="99"/>
    <w:semiHidden/>
    <w:unhideWhenUsed/>
    <w:rsid w:val="003E73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737F"/>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3E737F"/>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3E737F"/>
  </w:style>
  <w:style w:type="character" w:customStyle="1" w:styleId="h2">
    <w:name w:val="h2"/>
    <w:basedOn w:val="a0"/>
    <w:rsid w:val="003E737F"/>
  </w:style>
  <w:style w:type="character" w:customStyle="1" w:styleId="nowrap">
    <w:name w:val="nowrap"/>
    <w:basedOn w:val="a0"/>
    <w:rsid w:val="003E737F"/>
  </w:style>
  <w:style w:type="character" w:styleId="a4">
    <w:name w:val="Hyperlink"/>
    <w:basedOn w:val="a0"/>
    <w:uiPriority w:val="99"/>
    <w:semiHidden/>
    <w:unhideWhenUsed/>
    <w:rsid w:val="003E7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05843">
      <w:bodyDiv w:val="1"/>
      <w:marLeft w:val="0"/>
      <w:marRight w:val="0"/>
      <w:marTop w:val="0"/>
      <w:marBottom w:val="0"/>
      <w:divBdr>
        <w:top w:val="none" w:sz="0" w:space="0" w:color="auto"/>
        <w:left w:val="none" w:sz="0" w:space="0" w:color="auto"/>
        <w:bottom w:val="none" w:sz="0" w:space="0" w:color="auto"/>
        <w:right w:val="none" w:sz="0" w:space="0" w:color="auto"/>
      </w:divBdr>
      <w:divsChild>
        <w:div w:id="1532840028">
          <w:marLeft w:val="0"/>
          <w:marRight w:val="0"/>
          <w:marTop w:val="480"/>
          <w:marBottom w:val="480"/>
          <w:divBdr>
            <w:top w:val="none" w:sz="0" w:space="0" w:color="auto"/>
            <w:left w:val="none" w:sz="0" w:space="0" w:color="auto"/>
            <w:bottom w:val="none" w:sz="0" w:space="0" w:color="auto"/>
            <w:right w:val="none" w:sz="0" w:space="0" w:color="auto"/>
          </w:divBdr>
        </w:div>
        <w:div w:id="159586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588</Words>
  <Characters>3354</Characters>
  <Application>Microsoft Office Word</Application>
  <DocSecurity>0</DocSecurity>
  <Lines>27</Lines>
  <Paragraphs>7</Paragraphs>
  <ScaleCrop>false</ScaleCrop>
  <Company>China</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2015-02-09T03:17:00Z</dcterms:created>
  <dcterms:modified xsi:type="dcterms:W3CDTF">2015-02-09T03:17:00Z</dcterms:modified>
</cp:coreProperties>
</file>