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F2" w:rsidRPr="00433EF2" w:rsidRDefault="00433EF2" w:rsidP="00433EF2">
      <w:pPr>
        <w:widowControl/>
        <w:jc w:val="left"/>
        <w:rPr>
          <w:rFonts w:ascii="宋体" w:eastAsia="宋体" w:hAnsi="宋体" w:cs="宋体"/>
          <w:b/>
          <w:bCs/>
          <w:color w:val="000000"/>
          <w:kern w:val="0"/>
          <w:sz w:val="20"/>
          <w:szCs w:val="20"/>
        </w:rPr>
      </w:pPr>
      <w:r w:rsidRPr="00433EF2">
        <w:rPr>
          <w:rFonts w:ascii="宋体" w:eastAsia="宋体" w:hAnsi="宋体" w:cs="宋体" w:hint="eastAsia"/>
          <w:b/>
          <w:bCs/>
          <w:color w:val="000000"/>
          <w:kern w:val="0"/>
          <w:sz w:val="20"/>
          <w:szCs w:val="20"/>
        </w:rPr>
        <w:t>葡萄糖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文章版本号：1</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最后发布时间：2013-6-5 20:59:15</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【药物名称】</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中文通用名称：葡萄糖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英文通用名称：Glucose</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其他名称：右旋葡萄糖、右旋糖、Dextrose、</w:t>
      </w:r>
      <w:proofErr w:type="spellStart"/>
      <w:r w:rsidRPr="00433EF2">
        <w:rPr>
          <w:rFonts w:ascii="宋体" w:eastAsia="宋体" w:hAnsi="宋体" w:cs="宋体" w:hint="eastAsia"/>
          <w:color w:val="000000"/>
          <w:kern w:val="0"/>
          <w:sz w:val="20"/>
          <w:szCs w:val="20"/>
        </w:rPr>
        <w:t>Glucosum</w:t>
      </w:r>
      <w:proofErr w:type="spellEnd"/>
      <w:r w:rsidRPr="00433EF2">
        <w:rPr>
          <w:rFonts w:ascii="宋体" w:eastAsia="宋体" w:hAnsi="宋体" w:cs="宋体" w:hint="eastAsia"/>
          <w:color w:val="000000"/>
          <w:kern w:val="0"/>
          <w:sz w:val="20"/>
          <w:szCs w:val="20"/>
        </w:rPr>
        <w:t>。</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【药理分类】</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泌尿系统用药&gt;&gt;利尿药与脱水药&gt;&gt;脱水药</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电解质、酸碱平衡及营养药&gt;&gt;营养药&gt;&gt;葡萄糖及其它糖类</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【临床应用】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CFDA说明书适应症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2.用于低血糖症、高钾血症。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3.本药高渗溶液用作组织脱水剂。</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4.用于配制腹膜透析液、极化液(GIK液)。</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5.用作药物稀释剂、静脉法葡萄糖耐量试验。</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其他临床应用参考</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用于胰岛素过量。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【用法与用量】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成人</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◆常规剂量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·补充热能</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·失水</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对等渗性失水患者可静脉滴注5%本药注射液。</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·全静脉营养疗法</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433EF2">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·饥饿性酮症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1.口服给药  轻者口服。</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2.静脉注射  严重者可静脉滴注5%-25%的本药注射液，每日100g。</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w:t>
      </w:r>
      <w:proofErr w:type="gramStart"/>
      <w:r w:rsidRPr="00433EF2">
        <w:rPr>
          <w:rFonts w:ascii="宋体" w:eastAsia="宋体" w:hAnsi="宋体" w:cs="宋体" w:hint="eastAsia"/>
          <w:color w:val="000000"/>
          <w:kern w:val="0"/>
          <w:sz w:val="20"/>
          <w:szCs w:val="20"/>
        </w:rPr>
        <w:t>低糖血</w:t>
      </w:r>
      <w:proofErr w:type="gramEnd"/>
      <w:r w:rsidRPr="00433EF2">
        <w:rPr>
          <w:rFonts w:ascii="宋体" w:eastAsia="宋体" w:hAnsi="宋体" w:cs="宋体" w:hint="eastAsia"/>
          <w:color w:val="000000"/>
          <w:kern w:val="0"/>
          <w:sz w:val="20"/>
          <w:szCs w:val="20"/>
        </w:rPr>
        <w:t>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1.口服给药  轻者口服。</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2.静脉注射  重症者可给予50%本药注射液20-40ml静脉注射。</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·高钾血症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用10%-25%注射液(每2-4g本药加1U正规胰岛素输注)，可降低血清钾浓度。此疗法仅使</w:t>
      </w:r>
      <w:proofErr w:type="gramStart"/>
      <w:r w:rsidRPr="00433EF2">
        <w:rPr>
          <w:rFonts w:ascii="宋体" w:eastAsia="宋体" w:hAnsi="宋体" w:cs="宋体" w:hint="eastAsia"/>
          <w:color w:val="000000"/>
          <w:kern w:val="0"/>
          <w:sz w:val="20"/>
          <w:szCs w:val="20"/>
        </w:rPr>
        <w:t>细胞外钾离子</w:t>
      </w:r>
      <w:proofErr w:type="gramEnd"/>
      <w:r w:rsidRPr="00433EF2">
        <w:rPr>
          <w:rFonts w:ascii="宋体" w:eastAsia="宋体" w:hAnsi="宋体" w:cs="宋体" w:hint="eastAsia"/>
          <w:color w:val="000000"/>
          <w:kern w:val="0"/>
          <w:sz w:val="20"/>
          <w:szCs w:val="20"/>
        </w:rPr>
        <w:t>进入细胞内，</w:t>
      </w:r>
      <w:proofErr w:type="gramStart"/>
      <w:r w:rsidRPr="00433EF2">
        <w:rPr>
          <w:rFonts w:ascii="宋体" w:eastAsia="宋体" w:hAnsi="宋体" w:cs="宋体" w:hint="eastAsia"/>
          <w:color w:val="000000"/>
          <w:kern w:val="0"/>
          <w:sz w:val="20"/>
          <w:szCs w:val="20"/>
        </w:rPr>
        <w:t>体内总钾含量</w:t>
      </w:r>
      <w:proofErr w:type="gramEnd"/>
      <w:r w:rsidRPr="00433EF2">
        <w:rPr>
          <w:rFonts w:ascii="宋体" w:eastAsia="宋体" w:hAnsi="宋体" w:cs="宋体" w:hint="eastAsia"/>
          <w:color w:val="000000"/>
          <w:kern w:val="0"/>
          <w:sz w:val="20"/>
          <w:szCs w:val="20"/>
        </w:rPr>
        <w:t>不变。若不采取排钾措施，仍可再次出现高钾血症。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·组织脱水</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用高渗溶液(一般采用50%注射液)快速静脉注射20-50ml，但作用短暂。应注意防止高血糖。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·调节腹膜透析液渗透压</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50%本药注射液20ml(即10g本药)可使1L透析液渗透压提高55mOsm/kgH</w:t>
      </w:r>
      <w:r w:rsidRPr="00433EF2">
        <w:rPr>
          <w:rFonts w:ascii="宋体" w:eastAsia="宋体" w:hAnsi="宋体" w:cs="宋体" w:hint="eastAsia"/>
          <w:color w:val="000000"/>
          <w:kern w:val="0"/>
          <w:sz w:val="20"/>
          <w:szCs w:val="20"/>
          <w:vertAlign w:val="subscript"/>
        </w:rPr>
        <w:t>2</w:t>
      </w:r>
      <w:r w:rsidRPr="00433EF2">
        <w:rPr>
          <w:rFonts w:ascii="宋体" w:eastAsia="宋体" w:hAnsi="宋体" w:cs="宋体" w:hint="eastAsia"/>
          <w:color w:val="000000"/>
          <w:kern w:val="0"/>
          <w:sz w:val="20"/>
          <w:szCs w:val="20"/>
        </w:rPr>
        <w:t>O。即本药浓度每升高1%，渗透压提高55mOsm/kgH</w:t>
      </w:r>
      <w:r w:rsidRPr="00433EF2">
        <w:rPr>
          <w:rFonts w:ascii="宋体" w:eastAsia="宋体" w:hAnsi="宋体" w:cs="宋体" w:hint="eastAsia"/>
          <w:color w:val="000000"/>
          <w:kern w:val="0"/>
          <w:sz w:val="20"/>
          <w:szCs w:val="20"/>
          <w:vertAlign w:val="subscript"/>
        </w:rPr>
        <w:t>2</w:t>
      </w:r>
      <w:r w:rsidRPr="00433EF2">
        <w:rPr>
          <w:rFonts w:ascii="宋体" w:eastAsia="宋体" w:hAnsi="宋体" w:cs="宋体" w:hint="eastAsia"/>
          <w:color w:val="000000"/>
          <w:kern w:val="0"/>
          <w:sz w:val="20"/>
          <w:szCs w:val="20"/>
        </w:rPr>
        <w:t>O。</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·胰岛素过量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给予50%本药溶液40-100ml，可保护肝脏，对糖尿病的酮症酸中毒须同时用胰岛素。</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儿童</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·组织脱水</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1.静脉注射  儿童使用</w:t>
      </w:r>
      <w:proofErr w:type="gramStart"/>
      <w:r w:rsidRPr="00433EF2">
        <w:rPr>
          <w:rFonts w:ascii="宋体" w:eastAsia="宋体" w:hAnsi="宋体" w:cs="宋体" w:hint="eastAsia"/>
          <w:color w:val="000000"/>
          <w:kern w:val="0"/>
          <w:sz w:val="20"/>
          <w:szCs w:val="20"/>
        </w:rPr>
        <w:t>高渗本药</w:t>
      </w:r>
      <w:proofErr w:type="gramEnd"/>
      <w:r w:rsidRPr="00433EF2">
        <w:rPr>
          <w:rFonts w:ascii="宋体" w:eastAsia="宋体" w:hAnsi="宋体" w:cs="宋体" w:hint="eastAsia"/>
          <w:color w:val="000000"/>
          <w:kern w:val="0"/>
          <w:sz w:val="20"/>
          <w:szCs w:val="20"/>
        </w:rPr>
        <w:t>(25%-50%)注射液进行脱水治疗时，每次2-4ml/kg，4-6小时可重复1次，也可配合其他脱水药交替使用。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【给药说明】</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给药方式说明</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1.本药不可皮下注射，因大量皮下给药可引起血浆中电解质变化，导致循环障碍。</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2.本药高渗溶液应缓慢注射。</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【禁忌症】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1.糖尿病酮症酸中毒未控制者。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2.高血糖非酮症性高渗状态者。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3.低渗性脱水症患者。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lastRenderedPageBreak/>
        <w:t>【慎用】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1.周期性麻痹、低钾血症患者。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2.应激状态或应用糖皮质激素时容易诱发高血糖的患者。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3.尿崩症患者。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4.水肿患者。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5.严重心、肾功能不全者。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6.肝硬化脱水患者。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7.糖尿病患者。</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【特殊人群】</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儿童</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老人</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老人补液过快、过多，可致心悸、心律失常，甚至急性左心衰竭。</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妊娠期妇女</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1.分娩时注射过多本药可刺激胎儿胰岛素分泌，出现产后婴儿低血糖。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2.美国食品药品管理局(FDA)对本药的妊娠安全性分级为C级。</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哺乳期妇女</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尚不明确。</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特殊疾病状态</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2.局部缺血性损害、高血糖症患者：本药可能加重此类患者的神经系统损害。</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4.葡萄糖-半乳糖吸收不良者、昏迷患者：此类患者应避免口服本药。</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【不良反应】</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1.口服本药浓度过高过快时，可见胃肠道反应(如恶心、呕吐等)。</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2.本药高浓度溶液注射外渗时可引起局部肿痛，如大静脉滴注</w:t>
      </w:r>
      <w:proofErr w:type="gramStart"/>
      <w:r w:rsidRPr="00433EF2">
        <w:rPr>
          <w:rFonts w:ascii="宋体" w:eastAsia="宋体" w:hAnsi="宋体" w:cs="宋体" w:hint="eastAsia"/>
          <w:color w:val="000000"/>
          <w:kern w:val="0"/>
          <w:sz w:val="20"/>
          <w:szCs w:val="20"/>
        </w:rPr>
        <w:t>高渗本药</w:t>
      </w:r>
      <w:proofErr w:type="gramEnd"/>
      <w:r w:rsidRPr="00433EF2">
        <w:rPr>
          <w:rFonts w:ascii="宋体" w:eastAsia="宋体" w:hAnsi="宋体" w:cs="宋体" w:hint="eastAsia"/>
          <w:color w:val="000000"/>
          <w:kern w:val="0"/>
          <w:sz w:val="20"/>
          <w:szCs w:val="20"/>
        </w:rPr>
        <w:t>注射液可减少静脉炎的发生率。长期单纯补给本药时易出现低钠、低钾、低磷血症，本药与胰岛素合用而未补给磷酸盐时</w:t>
      </w:r>
      <w:r w:rsidRPr="00433EF2">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4.I型糖尿病患者应用高浓度本药注射液时偶见高钾血症。</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【药物相互作用】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药物-药物相互作用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洋地黄类强心苷药物(如地高辛、洋地黄、洋地黄毒</w:t>
      </w:r>
      <w:proofErr w:type="gramStart"/>
      <w:r w:rsidRPr="00433EF2">
        <w:rPr>
          <w:rFonts w:ascii="宋体" w:eastAsia="宋体" w:hAnsi="宋体" w:cs="宋体" w:hint="eastAsia"/>
          <w:color w:val="000000"/>
          <w:kern w:val="0"/>
          <w:sz w:val="20"/>
          <w:szCs w:val="20"/>
        </w:rPr>
        <w:t>苷</w:t>
      </w:r>
      <w:proofErr w:type="gramEnd"/>
      <w:r w:rsidRPr="00433EF2">
        <w:rPr>
          <w:rFonts w:ascii="宋体" w:eastAsia="宋体" w:hAnsi="宋体" w:cs="宋体" w:hint="eastAsia"/>
          <w:color w:val="000000"/>
          <w:kern w:val="0"/>
          <w:sz w:val="20"/>
          <w:szCs w:val="20"/>
        </w:rPr>
        <w:t>及去乙酰毛花</w:t>
      </w:r>
      <w:proofErr w:type="gramStart"/>
      <w:r w:rsidRPr="00433EF2">
        <w:rPr>
          <w:rFonts w:ascii="宋体" w:eastAsia="宋体" w:hAnsi="宋体" w:cs="宋体" w:hint="eastAsia"/>
          <w:color w:val="000000"/>
          <w:kern w:val="0"/>
          <w:sz w:val="20"/>
          <w:szCs w:val="20"/>
        </w:rPr>
        <w:t>苷</w:t>
      </w:r>
      <w:proofErr w:type="gramEnd"/>
      <w:r w:rsidRPr="00433EF2">
        <w:rPr>
          <w:rFonts w:ascii="宋体" w:eastAsia="宋体" w:hAnsi="宋体" w:cs="宋体" w:hint="eastAsia"/>
          <w:color w:val="000000"/>
          <w:kern w:val="0"/>
          <w:sz w:val="20"/>
          <w:szCs w:val="20"/>
        </w:rPr>
        <w:t>等)：</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结果：本药可诱发或加重以上药物中毒。</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机制：大量本药进入体内后，暂时不可被利用的部分合成糖原储存，合成糖原时需要消耗钾，大量</w:t>
      </w:r>
      <w:proofErr w:type="gramStart"/>
      <w:r w:rsidRPr="00433EF2">
        <w:rPr>
          <w:rFonts w:ascii="宋体" w:eastAsia="宋体" w:hAnsi="宋体" w:cs="宋体" w:hint="eastAsia"/>
          <w:color w:val="000000"/>
          <w:kern w:val="0"/>
          <w:sz w:val="20"/>
          <w:szCs w:val="20"/>
        </w:rPr>
        <w:t>钾进入</w:t>
      </w:r>
      <w:proofErr w:type="gramEnd"/>
      <w:r w:rsidRPr="00433EF2">
        <w:rPr>
          <w:rFonts w:ascii="宋体" w:eastAsia="宋体" w:hAnsi="宋体" w:cs="宋体" w:hint="eastAsia"/>
          <w:color w:val="000000"/>
          <w:kern w:val="0"/>
          <w:sz w:val="20"/>
          <w:szCs w:val="20"/>
        </w:rPr>
        <w:t>细胞内可致血钾降低，从而诱发或增强地高辛的毒性。</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处理：在应用地高辛或其他强心苷期间，输入本药(特别是大剂量)时应注意补钾。</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【注意事项】</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用药警示</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1.在冬季使用本药时，须先将安瓿加热到与体温相近的温度，再徐徐注入静脉，可避免血管痉挛。</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2.本药不可与血液混合输注，否则易引起红细胞凝集和溶血。</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3.本药静脉注射高渗溶液时可能引发血栓静脉炎，应慎重(5%液除外)。</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用药前后及用药时应当检查或监测</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长期大量使用本药应</w:t>
      </w:r>
      <w:proofErr w:type="gramStart"/>
      <w:r w:rsidRPr="00433EF2">
        <w:rPr>
          <w:rFonts w:ascii="宋体" w:eastAsia="宋体" w:hAnsi="宋体" w:cs="宋体" w:hint="eastAsia"/>
          <w:color w:val="000000"/>
          <w:kern w:val="0"/>
          <w:sz w:val="20"/>
          <w:szCs w:val="20"/>
        </w:rPr>
        <w:t>监测水</w:t>
      </w:r>
      <w:proofErr w:type="gramEnd"/>
      <w:r w:rsidRPr="00433EF2">
        <w:rPr>
          <w:rFonts w:ascii="宋体" w:eastAsia="宋体" w:hAnsi="宋体" w:cs="宋体" w:hint="eastAsia"/>
          <w:color w:val="000000"/>
          <w:kern w:val="0"/>
          <w:sz w:val="20"/>
          <w:szCs w:val="20"/>
        </w:rPr>
        <w:t>电解质的平衡。</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其他注意事项</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【国外专科用药信息参考】</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护理注意事项</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实验室检查：应监测血糖、尿糖、血清电解质、体液平衡、摄入热量。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【药理】</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药效学</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葡萄糖是人体重要的营养成分和主要的热量来源之一，每1克本药产生4千卡(16.7千焦)热能，被用来补充热量，治疗</w:t>
      </w:r>
      <w:proofErr w:type="gramStart"/>
      <w:r w:rsidRPr="00433EF2">
        <w:rPr>
          <w:rFonts w:ascii="宋体" w:eastAsia="宋体" w:hAnsi="宋体" w:cs="宋体" w:hint="eastAsia"/>
          <w:color w:val="000000"/>
          <w:kern w:val="0"/>
          <w:sz w:val="20"/>
          <w:szCs w:val="20"/>
        </w:rPr>
        <w:t>低糖血</w:t>
      </w:r>
      <w:proofErr w:type="gramEnd"/>
      <w:r w:rsidRPr="00433EF2">
        <w:rPr>
          <w:rFonts w:ascii="宋体" w:eastAsia="宋体" w:hAnsi="宋体" w:cs="宋体" w:hint="eastAsia"/>
          <w:color w:val="000000"/>
          <w:kern w:val="0"/>
          <w:sz w:val="20"/>
          <w:szCs w:val="20"/>
        </w:rPr>
        <w:t>症。5%的本药虽是等渗液，但迅速被氧化成二氧化碳和水，因此主要用于补充水和糖分，而不是为了扩容。25%以上的</w:t>
      </w:r>
      <w:proofErr w:type="gramStart"/>
      <w:r w:rsidRPr="00433EF2">
        <w:rPr>
          <w:rFonts w:ascii="宋体" w:eastAsia="宋体" w:hAnsi="宋体" w:cs="宋体" w:hint="eastAsia"/>
          <w:color w:val="000000"/>
          <w:kern w:val="0"/>
          <w:sz w:val="20"/>
          <w:szCs w:val="20"/>
        </w:rPr>
        <w:t>高渗本药液</w:t>
      </w:r>
      <w:proofErr w:type="gramEnd"/>
      <w:r w:rsidRPr="00433EF2">
        <w:rPr>
          <w:rFonts w:ascii="宋体" w:eastAsia="宋体" w:hAnsi="宋体" w:cs="宋体" w:hint="eastAsia"/>
          <w:color w:val="000000"/>
          <w:kern w:val="0"/>
          <w:sz w:val="20"/>
          <w:szCs w:val="20"/>
        </w:rPr>
        <w:t>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433EF2">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w:t>
      </w:r>
      <w:proofErr w:type="gramStart"/>
      <w:r w:rsidRPr="00433EF2">
        <w:rPr>
          <w:rFonts w:ascii="宋体" w:eastAsia="宋体" w:hAnsi="宋体" w:cs="宋体" w:hint="eastAsia"/>
          <w:color w:val="000000"/>
          <w:kern w:val="0"/>
          <w:sz w:val="20"/>
          <w:szCs w:val="20"/>
        </w:rPr>
        <w:t>药还有</w:t>
      </w:r>
      <w:proofErr w:type="gramEnd"/>
      <w:r w:rsidRPr="00433EF2">
        <w:rPr>
          <w:rFonts w:ascii="宋体" w:eastAsia="宋体" w:hAnsi="宋体" w:cs="宋体" w:hint="eastAsia"/>
          <w:color w:val="000000"/>
          <w:kern w:val="0"/>
          <w:sz w:val="20"/>
          <w:szCs w:val="20"/>
        </w:rPr>
        <w:t>保护肝脏的作用。</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药动学</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w:t>
      </w:r>
      <w:proofErr w:type="gramStart"/>
      <w:r w:rsidRPr="00433EF2">
        <w:rPr>
          <w:rFonts w:ascii="宋体" w:eastAsia="宋体" w:hAnsi="宋体" w:cs="宋体" w:hint="eastAsia"/>
          <w:color w:val="000000"/>
          <w:kern w:val="0"/>
          <w:sz w:val="20"/>
          <w:szCs w:val="20"/>
        </w:rPr>
        <w:t>高渗本药</w:t>
      </w:r>
      <w:proofErr w:type="gramEnd"/>
      <w:r w:rsidRPr="00433EF2">
        <w:rPr>
          <w:rFonts w:ascii="宋体" w:eastAsia="宋体" w:hAnsi="宋体" w:cs="宋体" w:hint="eastAsia"/>
          <w:color w:val="000000"/>
          <w:kern w:val="0"/>
          <w:sz w:val="20"/>
          <w:szCs w:val="20"/>
        </w:rPr>
        <w:t>后15分钟起效，可维持1-2小时。</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【制剂与规格】</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b/>
          <w:bCs/>
          <w:color w:val="000000"/>
          <w:kern w:val="0"/>
          <w:sz w:val="20"/>
          <w:szCs w:val="20"/>
        </w:rPr>
        <w:t>【贮藏】</w:t>
      </w:r>
    </w:p>
    <w:p w:rsidR="00433EF2" w:rsidRPr="00433EF2" w:rsidRDefault="00433EF2" w:rsidP="00433EF2">
      <w:pPr>
        <w:widowControl/>
        <w:spacing w:before="150" w:after="150" w:line="270" w:lineRule="atLeast"/>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注射液：密封保存。</w:t>
      </w:r>
    </w:p>
    <w:p w:rsidR="00433EF2" w:rsidRPr="00433EF2" w:rsidRDefault="00433EF2" w:rsidP="00433EF2">
      <w:pPr>
        <w:widowControl/>
        <w:jc w:val="center"/>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使用</w:t>
      </w:r>
      <w:proofErr w:type="spellStart"/>
      <w:r w:rsidRPr="00433EF2">
        <w:rPr>
          <w:rFonts w:ascii="宋体" w:eastAsia="宋体" w:hAnsi="宋体" w:cs="宋体" w:hint="eastAsia"/>
          <w:color w:val="000000"/>
          <w:kern w:val="0"/>
          <w:sz w:val="20"/>
          <w:szCs w:val="20"/>
        </w:rPr>
        <w:t>UpToDate</w:t>
      </w:r>
      <w:proofErr w:type="spellEnd"/>
      <w:r w:rsidRPr="00433EF2">
        <w:rPr>
          <w:rFonts w:ascii="宋体" w:eastAsia="宋体" w:hAnsi="宋体" w:cs="宋体" w:hint="eastAsia"/>
          <w:color w:val="000000"/>
          <w:kern w:val="0"/>
          <w:sz w:val="20"/>
          <w:szCs w:val="20"/>
        </w:rPr>
        <w:t>临床顾问须遵循</w:t>
      </w:r>
      <w:hyperlink r:id="rId5" w:tgtFrame="_blank" w:history="1">
        <w:r w:rsidRPr="00433EF2">
          <w:rPr>
            <w:rFonts w:ascii="宋体" w:eastAsia="宋体" w:hAnsi="宋体" w:cs="宋体" w:hint="eastAsia"/>
            <w:color w:val="336633"/>
            <w:kern w:val="0"/>
            <w:sz w:val="20"/>
            <w:szCs w:val="20"/>
            <w:u w:val="single"/>
          </w:rPr>
          <w:t>用户协议</w:t>
        </w:r>
      </w:hyperlink>
      <w:r w:rsidRPr="00433EF2">
        <w:rPr>
          <w:rFonts w:ascii="宋体" w:eastAsia="宋体" w:hAnsi="宋体" w:cs="宋体" w:hint="eastAsia"/>
          <w:color w:val="000000"/>
          <w:kern w:val="0"/>
          <w:sz w:val="20"/>
          <w:szCs w:val="20"/>
        </w:rPr>
        <w:t>。</w:t>
      </w:r>
    </w:p>
    <w:p w:rsidR="00433EF2" w:rsidRPr="00433EF2" w:rsidRDefault="00433EF2" w:rsidP="00433EF2">
      <w:pPr>
        <w:widowControl/>
        <w:jc w:val="left"/>
        <w:rPr>
          <w:rFonts w:ascii="宋体" w:eastAsia="宋体" w:hAnsi="宋体" w:cs="宋体" w:hint="eastAsia"/>
          <w:color w:val="000000"/>
          <w:kern w:val="0"/>
          <w:sz w:val="20"/>
          <w:szCs w:val="20"/>
        </w:rPr>
      </w:pPr>
      <w:r w:rsidRPr="00433EF2">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DF"/>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33EF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12DF"/>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EF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33EF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33EF2"/>
  </w:style>
  <w:style w:type="character" w:customStyle="1" w:styleId="h2">
    <w:name w:val="h2"/>
    <w:basedOn w:val="a0"/>
    <w:rsid w:val="00433EF2"/>
  </w:style>
  <w:style w:type="character" w:customStyle="1" w:styleId="nowrap">
    <w:name w:val="nowrap"/>
    <w:basedOn w:val="a0"/>
    <w:rsid w:val="00433EF2"/>
  </w:style>
  <w:style w:type="character" w:styleId="a4">
    <w:name w:val="Hyperlink"/>
    <w:basedOn w:val="a0"/>
    <w:uiPriority w:val="99"/>
    <w:semiHidden/>
    <w:unhideWhenUsed/>
    <w:rsid w:val="00433E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EF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33EF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33EF2"/>
  </w:style>
  <w:style w:type="character" w:customStyle="1" w:styleId="h2">
    <w:name w:val="h2"/>
    <w:basedOn w:val="a0"/>
    <w:rsid w:val="00433EF2"/>
  </w:style>
  <w:style w:type="character" w:customStyle="1" w:styleId="nowrap">
    <w:name w:val="nowrap"/>
    <w:basedOn w:val="a0"/>
    <w:rsid w:val="00433EF2"/>
  </w:style>
  <w:style w:type="character" w:styleId="a4">
    <w:name w:val="Hyperlink"/>
    <w:basedOn w:val="a0"/>
    <w:uiPriority w:val="99"/>
    <w:semiHidden/>
    <w:unhideWhenUsed/>
    <w:rsid w:val="00433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447">
      <w:bodyDiv w:val="1"/>
      <w:marLeft w:val="0"/>
      <w:marRight w:val="0"/>
      <w:marTop w:val="0"/>
      <w:marBottom w:val="0"/>
      <w:divBdr>
        <w:top w:val="none" w:sz="0" w:space="0" w:color="auto"/>
        <w:left w:val="none" w:sz="0" w:space="0" w:color="auto"/>
        <w:bottom w:val="none" w:sz="0" w:space="0" w:color="auto"/>
        <w:right w:val="none" w:sz="0" w:space="0" w:color="auto"/>
      </w:divBdr>
      <w:divsChild>
        <w:div w:id="478696889">
          <w:marLeft w:val="0"/>
          <w:marRight w:val="0"/>
          <w:marTop w:val="480"/>
          <w:marBottom w:val="480"/>
          <w:divBdr>
            <w:top w:val="none" w:sz="0" w:space="0" w:color="auto"/>
            <w:left w:val="none" w:sz="0" w:space="0" w:color="auto"/>
            <w:bottom w:val="none" w:sz="0" w:space="0" w:color="auto"/>
            <w:right w:val="none" w:sz="0" w:space="0" w:color="auto"/>
          </w:divBdr>
        </w:div>
        <w:div w:id="130904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2015-02-09T03:15:00Z</dcterms:created>
  <dcterms:modified xsi:type="dcterms:W3CDTF">2015-02-09T03:15:00Z</dcterms:modified>
</cp:coreProperties>
</file>