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3F" w:rsidRPr="00552C3F" w:rsidRDefault="00552C3F" w:rsidP="00552C3F">
      <w:pPr>
        <w:widowControl/>
        <w:jc w:val="left"/>
        <w:rPr>
          <w:rFonts w:ascii="宋体" w:eastAsia="宋体" w:hAnsi="宋体" w:cs="宋体"/>
          <w:b/>
          <w:bCs/>
          <w:color w:val="000000"/>
          <w:kern w:val="0"/>
          <w:sz w:val="20"/>
          <w:szCs w:val="20"/>
        </w:rPr>
      </w:pPr>
      <w:r w:rsidRPr="00552C3F">
        <w:rPr>
          <w:rFonts w:ascii="宋体" w:eastAsia="宋体" w:hAnsi="宋体" w:cs="宋体" w:hint="eastAsia"/>
          <w:b/>
          <w:bCs/>
          <w:color w:val="000000"/>
          <w:kern w:val="0"/>
          <w:sz w:val="20"/>
          <w:szCs w:val="20"/>
        </w:rPr>
        <w:t>葡萄糖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文章版本号：1</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最后发布时间：2013-6-5 20:59:15</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【药物名称】</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中文通用名称：葡萄糖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英文通用名称：Glucose</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其他名称：右旋葡萄糖、右旋糖、Dextrose、Glucosum。</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【药理分类】</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泌尿系统用药&gt;&gt;利尿药与脱水药&gt;&gt;脱水药</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电解质、酸碱平衡及营养药&gt;&gt;营养药&gt;&gt;葡萄糖及其它糖类</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【临床应用】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CFDA说明书适应症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2.用于低血糖症、高钾血症。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3.本药高渗溶液用作组织脱水剂。</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4.用于配制腹膜透析液、极化液(GIK液)。</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5.用作药物稀释剂、静脉法葡萄糖耐量试验。</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其他临床应用参考</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用于胰岛素过量。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【用法与用量】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成人</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◆常规剂量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·补充热能</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·失水</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对等渗性失水患者可静脉滴注5%本药注射液。</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·全静脉营养疗法</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552C3F">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·饥饿性酮症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1.口服给药  轻者口服。</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2.静脉注射  严重者可静脉滴注5%-25%的本药注射液，每日100g。</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·低糖血症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1.口服给药  轻者口服。</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2.静脉注射  重症者可给予50%本药注射液20-40ml静脉注射。</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·高钾血症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用10%-25%注射液(每2-4g本药加1U正规胰岛素输注)，可降低血清钾浓度。此疗法仅使细胞外钾离子进入细胞内，体内总钾含量不变。若不采取排钾措施，仍可再次出现高钾血症。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·组织脱水</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用高渗溶液(一般采用50%注射液)快速静脉注射20-50ml，但作用短暂。应注意防止高血糖。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·调节腹膜透析液渗透压</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50%本药注射液20ml(即10g本药)可使1L透析液渗透压提高55mOsm/kgH</w:t>
      </w:r>
      <w:r w:rsidRPr="00552C3F">
        <w:rPr>
          <w:rFonts w:ascii="宋体" w:eastAsia="宋体" w:hAnsi="宋体" w:cs="宋体" w:hint="eastAsia"/>
          <w:color w:val="000000"/>
          <w:kern w:val="0"/>
          <w:sz w:val="20"/>
          <w:szCs w:val="20"/>
          <w:vertAlign w:val="subscript"/>
        </w:rPr>
        <w:t>2</w:t>
      </w:r>
      <w:r w:rsidRPr="00552C3F">
        <w:rPr>
          <w:rFonts w:ascii="宋体" w:eastAsia="宋体" w:hAnsi="宋体" w:cs="宋体" w:hint="eastAsia"/>
          <w:color w:val="000000"/>
          <w:kern w:val="0"/>
          <w:sz w:val="20"/>
          <w:szCs w:val="20"/>
        </w:rPr>
        <w:t>O。即本药浓度每升高1%，渗透压提高55mOsm/kgH</w:t>
      </w:r>
      <w:r w:rsidRPr="00552C3F">
        <w:rPr>
          <w:rFonts w:ascii="宋体" w:eastAsia="宋体" w:hAnsi="宋体" w:cs="宋体" w:hint="eastAsia"/>
          <w:color w:val="000000"/>
          <w:kern w:val="0"/>
          <w:sz w:val="20"/>
          <w:szCs w:val="20"/>
          <w:vertAlign w:val="subscript"/>
        </w:rPr>
        <w:t>2</w:t>
      </w:r>
      <w:r w:rsidRPr="00552C3F">
        <w:rPr>
          <w:rFonts w:ascii="宋体" w:eastAsia="宋体" w:hAnsi="宋体" w:cs="宋体" w:hint="eastAsia"/>
          <w:color w:val="000000"/>
          <w:kern w:val="0"/>
          <w:sz w:val="20"/>
          <w:szCs w:val="20"/>
        </w:rPr>
        <w:t>O。</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·胰岛素过量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给予50%本药溶液40-100ml，可保护肝脏，对糖尿病的酮症酸中毒须同时用胰岛素。</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儿童</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·组织脱水</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1.静脉注射  儿童使用高渗本药(25%-50%)注射液进行脱水治疗时，每次2-4ml/kg，4-6小时可重复1次，也可配合其他脱水药交替使用。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【给药说明】</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给药方式说明</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1.本药不可皮下注射，因大量皮下给药可引起血浆中电解质变化，导致循环障碍。</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2.本药高渗溶液应缓慢注射。</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【禁忌症】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1.糖尿病酮症酸中毒未控制者。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2.高血糖非酮症性高渗状态者。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3.低渗性脱水症患者。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lastRenderedPageBreak/>
        <w:t>【慎用】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1.周期性麻痹、低钾血症患者。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2.应激状态或应用糖皮质激素时容易诱发高血糖的患者。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3.尿崩症患者。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4.水肿患者。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5.严重心、肾功能不全者。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6.肝硬化脱水患者。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7.糖尿病患者。</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【特殊人群】</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儿童</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老人</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老人补液过快、过多，可致心悸、心律失常，甚至急性左心衰竭。</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妊娠期妇女</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1.分娩时注射过多本药可刺激胎儿胰岛素分泌，出现产后婴儿低血糖。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2.美国食品药品管理局(FDA)对本药的妊娠安全性分级为C级。</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哺乳期妇女</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尚不明确。</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特殊疾病状态</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2.局部缺血性损害、高血糖症患者：本药可能加重此类患者的神经系统损害。</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4.葡萄糖-半乳糖吸收不良者、昏迷患者：此类患者应避免口服本药。</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【不良反应】</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1.口服本药浓度过高过快时，可见胃肠道反应(如恶心、呕吐等)。</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2.本药高浓度溶液注射外渗时可引起局部肿痛，如大静脉滴注高渗本药注射液可减少静脉炎的发生率。长期单纯补给本药时易出现低钠、低钾、低磷血症，本药与胰岛素合用而未补给磷酸盐时</w:t>
      </w:r>
      <w:r w:rsidRPr="00552C3F">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4.I型糖尿病患者应用高浓度本药注射液时偶见高钾血症。</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【药物相互作用】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药物-药物相互作用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洋地黄类强心苷药物(如地高辛、洋地黄、洋地黄毒苷及去乙酰毛花苷等)：</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结果：本药可诱发或加重以上药物中毒。</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机制：大量本药进入体内后，暂时不可被利用的部分合成糖原储存，合成糖原时需要消耗钾，大量钾进入细胞内可致血钾降低，从而诱发或增强地高辛的毒性。</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处理：在应用地高辛或其他强心苷期间，输入本药(特别是大剂量)时应注意补钾。</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【注意事项】</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用药警示</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1.在冬季使用本药时，须先将安瓿加热到与体温相近的温度，再徐徐注入静脉，可避免血管痉挛。</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2.本药不可与血液混合输注，否则易引起红细胞凝集和溶血。</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3.本药静脉注射高渗溶液时可能引发血栓静脉炎，应慎重(5%液除外)。</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用药前后及用药时应当检查或监测</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长期大量使用本药应监测水电解质的平衡。</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其他注意事项</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【国外专科用药信息参考】</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护理注意事项</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实验室检查：应监测血糖、尿糖、血清电解质、体液平衡、摄入热量。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【药理】</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药效学</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葡萄糖是人体重要的营养成分和主要的热量来源之一，每1克本药产生4千卡(16.7千焦)热能，被用来补充热量，治疗低糖血症。5%的本药虽是等渗液，但迅速被氧化成二氧化碳和水，因此主要用于补充水和糖分，而不是为了扩容。25%以上的高渗本药液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552C3F">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时静脉滴注时，因糖原的合成需要钾离子参与，血中钾离子进入细胞内，使血钾浓度下降，故可用来治疗高钾血症。此外本药还有保护肝脏的作用。</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药动学</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本药口服吸收迅速，进入体内即可被组织直接利用，也可转化为糖原和脂肪而贮存。正常人体利用本药的能力为每分钟6mg/kg。静脉注射高渗本药后15分钟起效，可维持1-2小时。</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【制剂与规格】</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b/>
          <w:bCs/>
          <w:color w:val="000000"/>
          <w:kern w:val="0"/>
          <w:sz w:val="20"/>
          <w:szCs w:val="20"/>
        </w:rPr>
        <w:t>【贮藏】</w:t>
      </w:r>
    </w:p>
    <w:p w:rsidR="00552C3F" w:rsidRPr="00552C3F" w:rsidRDefault="00552C3F" w:rsidP="00552C3F">
      <w:pPr>
        <w:widowControl/>
        <w:spacing w:before="150" w:after="150" w:line="270" w:lineRule="atLeast"/>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注射液：密封保存。</w:t>
      </w:r>
    </w:p>
    <w:p w:rsidR="00552C3F" w:rsidRPr="00552C3F" w:rsidRDefault="00552C3F" w:rsidP="00552C3F">
      <w:pPr>
        <w:widowControl/>
        <w:jc w:val="center"/>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使用UpToDate临床顾问须遵循</w:t>
      </w:r>
      <w:hyperlink r:id="rId5" w:tgtFrame="_blank" w:history="1">
        <w:r w:rsidRPr="00552C3F">
          <w:rPr>
            <w:rFonts w:ascii="宋体" w:eastAsia="宋体" w:hAnsi="宋体" w:cs="宋体" w:hint="eastAsia"/>
            <w:color w:val="336633"/>
            <w:kern w:val="0"/>
            <w:sz w:val="20"/>
            <w:szCs w:val="20"/>
            <w:u w:val="single"/>
          </w:rPr>
          <w:t>用户协议</w:t>
        </w:r>
      </w:hyperlink>
      <w:r w:rsidRPr="00552C3F">
        <w:rPr>
          <w:rFonts w:ascii="宋体" w:eastAsia="宋体" w:hAnsi="宋体" w:cs="宋体" w:hint="eastAsia"/>
          <w:color w:val="000000"/>
          <w:kern w:val="0"/>
          <w:sz w:val="20"/>
          <w:szCs w:val="20"/>
        </w:rPr>
        <w:t>。</w:t>
      </w:r>
    </w:p>
    <w:p w:rsidR="00552C3F" w:rsidRPr="00552C3F" w:rsidRDefault="00552C3F" w:rsidP="00552C3F">
      <w:pPr>
        <w:widowControl/>
        <w:jc w:val="left"/>
        <w:rPr>
          <w:rFonts w:ascii="宋体" w:eastAsia="宋体" w:hAnsi="宋体" w:cs="宋体" w:hint="eastAsia"/>
          <w:color w:val="000000"/>
          <w:kern w:val="0"/>
          <w:sz w:val="20"/>
          <w:szCs w:val="20"/>
        </w:rPr>
      </w:pPr>
      <w:r w:rsidRPr="00552C3F">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BF"/>
    <w:rsid w:val="00004821"/>
    <w:rsid w:val="00066237"/>
    <w:rsid w:val="00073143"/>
    <w:rsid w:val="000B38BF"/>
    <w:rsid w:val="000C08B0"/>
    <w:rsid w:val="000C6442"/>
    <w:rsid w:val="00191BBF"/>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52C3F"/>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2C3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52C3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52C3F"/>
  </w:style>
  <w:style w:type="character" w:customStyle="1" w:styleId="h2">
    <w:name w:val="h2"/>
    <w:basedOn w:val="a0"/>
    <w:rsid w:val="00552C3F"/>
  </w:style>
  <w:style w:type="character" w:customStyle="1" w:styleId="nowrap">
    <w:name w:val="nowrap"/>
    <w:basedOn w:val="a0"/>
    <w:rsid w:val="00552C3F"/>
  </w:style>
  <w:style w:type="character" w:styleId="a4">
    <w:name w:val="Hyperlink"/>
    <w:basedOn w:val="a0"/>
    <w:uiPriority w:val="99"/>
    <w:semiHidden/>
    <w:unhideWhenUsed/>
    <w:rsid w:val="00552C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2C3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52C3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52C3F"/>
  </w:style>
  <w:style w:type="character" w:customStyle="1" w:styleId="h2">
    <w:name w:val="h2"/>
    <w:basedOn w:val="a0"/>
    <w:rsid w:val="00552C3F"/>
  </w:style>
  <w:style w:type="character" w:customStyle="1" w:styleId="nowrap">
    <w:name w:val="nowrap"/>
    <w:basedOn w:val="a0"/>
    <w:rsid w:val="00552C3F"/>
  </w:style>
  <w:style w:type="character" w:styleId="a4">
    <w:name w:val="Hyperlink"/>
    <w:basedOn w:val="a0"/>
    <w:uiPriority w:val="99"/>
    <w:semiHidden/>
    <w:unhideWhenUsed/>
    <w:rsid w:val="00552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5630">
      <w:bodyDiv w:val="1"/>
      <w:marLeft w:val="0"/>
      <w:marRight w:val="0"/>
      <w:marTop w:val="0"/>
      <w:marBottom w:val="0"/>
      <w:divBdr>
        <w:top w:val="none" w:sz="0" w:space="0" w:color="auto"/>
        <w:left w:val="none" w:sz="0" w:space="0" w:color="auto"/>
        <w:bottom w:val="none" w:sz="0" w:space="0" w:color="auto"/>
        <w:right w:val="none" w:sz="0" w:space="0" w:color="auto"/>
      </w:divBdr>
      <w:divsChild>
        <w:div w:id="854807073">
          <w:marLeft w:val="0"/>
          <w:marRight w:val="0"/>
          <w:marTop w:val="480"/>
          <w:marBottom w:val="480"/>
          <w:divBdr>
            <w:top w:val="none" w:sz="0" w:space="0" w:color="auto"/>
            <w:left w:val="none" w:sz="0" w:space="0" w:color="auto"/>
            <w:bottom w:val="none" w:sz="0" w:space="0" w:color="auto"/>
            <w:right w:val="none" w:sz="0" w:space="0" w:color="auto"/>
          </w:divBdr>
        </w:div>
        <w:div w:id="140464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2015-02-09T03:11:00Z</dcterms:created>
  <dcterms:modified xsi:type="dcterms:W3CDTF">2015-02-09T03:11:00Z</dcterms:modified>
</cp:coreProperties>
</file>