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1C2" w:rsidRPr="002421C2" w:rsidRDefault="002421C2" w:rsidP="002421C2">
      <w:pPr>
        <w:widowControl/>
        <w:jc w:val="left"/>
        <w:rPr>
          <w:rFonts w:ascii="宋体" w:eastAsia="宋体" w:hAnsi="宋体" w:cs="宋体"/>
          <w:b/>
          <w:bCs/>
          <w:color w:val="000000"/>
          <w:kern w:val="0"/>
          <w:sz w:val="20"/>
          <w:szCs w:val="20"/>
        </w:rPr>
      </w:pPr>
      <w:bookmarkStart w:id="0" w:name="_GoBack"/>
      <w:r w:rsidRPr="002421C2">
        <w:rPr>
          <w:rFonts w:ascii="宋体" w:eastAsia="宋体" w:hAnsi="宋体" w:cs="宋体" w:hint="eastAsia"/>
          <w:b/>
          <w:bCs/>
          <w:color w:val="000000"/>
          <w:kern w:val="0"/>
          <w:sz w:val="20"/>
          <w:szCs w:val="20"/>
        </w:rPr>
        <w:t>亚甲蓝</w:t>
      </w:r>
    </w:p>
    <w:bookmarkEnd w:id="0"/>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文章版本号：2</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最后发布时间：2014-4-15 9:48:02</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【药物名称】</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中文通用名称：亚甲蓝</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英文通用名称：</w:t>
      </w:r>
      <w:proofErr w:type="spellStart"/>
      <w:r w:rsidRPr="002421C2">
        <w:rPr>
          <w:rFonts w:ascii="宋体" w:eastAsia="宋体" w:hAnsi="宋体" w:cs="宋体" w:hint="eastAsia"/>
          <w:color w:val="000000"/>
          <w:kern w:val="0"/>
          <w:sz w:val="20"/>
          <w:szCs w:val="20"/>
        </w:rPr>
        <w:t>Methylthioninium</w:t>
      </w:r>
      <w:proofErr w:type="spellEnd"/>
      <w:r w:rsidRPr="002421C2">
        <w:rPr>
          <w:rFonts w:ascii="宋体" w:eastAsia="宋体" w:hAnsi="宋体" w:cs="宋体" w:hint="eastAsia"/>
          <w:color w:val="000000"/>
          <w:kern w:val="0"/>
          <w:sz w:val="20"/>
          <w:szCs w:val="20"/>
        </w:rPr>
        <w:t xml:space="preserve"> Chloride</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其他名称：次甲蓝、次美蓝、</w:t>
      </w:r>
      <w:proofErr w:type="gramStart"/>
      <w:r w:rsidRPr="002421C2">
        <w:rPr>
          <w:rFonts w:ascii="宋体" w:eastAsia="宋体" w:hAnsi="宋体" w:cs="宋体" w:hint="eastAsia"/>
          <w:color w:val="000000"/>
          <w:kern w:val="0"/>
          <w:sz w:val="20"/>
          <w:szCs w:val="20"/>
        </w:rPr>
        <w:t>火米次</w:t>
      </w:r>
      <w:proofErr w:type="gramEnd"/>
      <w:r w:rsidRPr="002421C2">
        <w:rPr>
          <w:rFonts w:ascii="宋体" w:eastAsia="宋体" w:hAnsi="宋体" w:cs="宋体" w:hint="eastAsia"/>
          <w:color w:val="000000"/>
          <w:kern w:val="0"/>
          <w:sz w:val="20"/>
          <w:szCs w:val="20"/>
        </w:rPr>
        <w:t>兰、甲烯蓝、美蓝、</w:t>
      </w:r>
      <w:proofErr w:type="gramStart"/>
      <w:r w:rsidRPr="002421C2">
        <w:rPr>
          <w:rFonts w:ascii="宋体" w:eastAsia="宋体" w:hAnsi="宋体" w:cs="宋体" w:hint="eastAsia"/>
          <w:color w:val="000000"/>
          <w:kern w:val="0"/>
          <w:sz w:val="20"/>
          <w:szCs w:val="20"/>
        </w:rPr>
        <w:t>咪</w:t>
      </w:r>
      <w:proofErr w:type="gramEnd"/>
      <w:r w:rsidRPr="002421C2">
        <w:rPr>
          <w:rFonts w:ascii="宋体" w:eastAsia="宋体" w:hAnsi="宋体" w:cs="宋体" w:hint="eastAsia"/>
          <w:color w:val="000000"/>
          <w:kern w:val="0"/>
          <w:sz w:val="20"/>
          <w:szCs w:val="20"/>
        </w:rPr>
        <w:t>次蓝、泌尿蓝、品蓝、亚甲基兰、</w:t>
      </w:r>
      <w:proofErr w:type="spellStart"/>
      <w:r w:rsidRPr="002421C2">
        <w:rPr>
          <w:rFonts w:ascii="宋体" w:eastAsia="宋体" w:hAnsi="宋体" w:cs="宋体" w:hint="eastAsia"/>
          <w:color w:val="000000"/>
          <w:kern w:val="0"/>
          <w:sz w:val="20"/>
          <w:szCs w:val="20"/>
        </w:rPr>
        <w:t>Desmoid</w:t>
      </w:r>
      <w:proofErr w:type="spellEnd"/>
      <w:r w:rsidRPr="002421C2">
        <w:rPr>
          <w:rFonts w:ascii="宋体" w:eastAsia="宋体" w:hAnsi="宋体" w:cs="宋体" w:hint="eastAsia"/>
          <w:color w:val="000000"/>
          <w:kern w:val="0"/>
          <w:sz w:val="20"/>
          <w:szCs w:val="20"/>
        </w:rPr>
        <w:t>、Methylene Blue、</w:t>
      </w:r>
      <w:proofErr w:type="spellStart"/>
      <w:r w:rsidRPr="002421C2">
        <w:rPr>
          <w:rFonts w:ascii="宋体" w:eastAsia="宋体" w:hAnsi="宋体" w:cs="宋体" w:hint="eastAsia"/>
          <w:color w:val="000000"/>
          <w:kern w:val="0"/>
          <w:sz w:val="20"/>
          <w:szCs w:val="20"/>
        </w:rPr>
        <w:t>Methylenum</w:t>
      </w:r>
      <w:proofErr w:type="spellEnd"/>
      <w:r w:rsidRPr="002421C2">
        <w:rPr>
          <w:rFonts w:ascii="宋体" w:eastAsia="宋体" w:hAnsi="宋体" w:cs="宋体" w:hint="eastAsia"/>
          <w:color w:val="000000"/>
          <w:kern w:val="0"/>
          <w:sz w:val="20"/>
          <w:szCs w:val="20"/>
        </w:rPr>
        <w:t xml:space="preserve"> </w:t>
      </w:r>
      <w:proofErr w:type="spellStart"/>
      <w:r w:rsidRPr="002421C2">
        <w:rPr>
          <w:rFonts w:ascii="宋体" w:eastAsia="宋体" w:hAnsi="宋体" w:cs="宋体" w:hint="eastAsia"/>
          <w:color w:val="000000"/>
          <w:kern w:val="0"/>
          <w:sz w:val="20"/>
          <w:szCs w:val="20"/>
        </w:rPr>
        <w:t>Caeruleum</w:t>
      </w:r>
      <w:proofErr w:type="spellEnd"/>
      <w:r w:rsidRPr="002421C2">
        <w:rPr>
          <w:rFonts w:ascii="宋体" w:eastAsia="宋体" w:hAnsi="宋体" w:cs="宋体" w:hint="eastAsia"/>
          <w:color w:val="000000"/>
          <w:kern w:val="0"/>
          <w:sz w:val="20"/>
          <w:szCs w:val="20"/>
        </w:rPr>
        <w:t>、</w:t>
      </w:r>
      <w:proofErr w:type="spellStart"/>
      <w:r w:rsidRPr="002421C2">
        <w:rPr>
          <w:rFonts w:ascii="宋体" w:eastAsia="宋体" w:hAnsi="宋体" w:cs="宋体" w:hint="eastAsia"/>
          <w:color w:val="000000"/>
          <w:kern w:val="0"/>
          <w:sz w:val="20"/>
          <w:szCs w:val="20"/>
        </w:rPr>
        <w:t>Methylthionine</w:t>
      </w:r>
      <w:proofErr w:type="spellEnd"/>
      <w:r w:rsidRPr="002421C2">
        <w:rPr>
          <w:rFonts w:ascii="宋体" w:eastAsia="宋体" w:hAnsi="宋体" w:cs="宋体" w:hint="eastAsia"/>
          <w:color w:val="000000"/>
          <w:kern w:val="0"/>
          <w:sz w:val="20"/>
          <w:szCs w:val="20"/>
        </w:rPr>
        <w:t xml:space="preserve"> Chloride、</w:t>
      </w:r>
      <w:proofErr w:type="spellStart"/>
      <w:r w:rsidRPr="002421C2">
        <w:rPr>
          <w:rFonts w:ascii="宋体" w:eastAsia="宋体" w:hAnsi="宋体" w:cs="宋体" w:hint="eastAsia"/>
          <w:color w:val="000000"/>
          <w:kern w:val="0"/>
          <w:sz w:val="20"/>
          <w:szCs w:val="20"/>
        </w:rPr>
        <w:t>Panatone</w:t>
      </w:r>
      <w:proofErr w:type="spellEnd"/>
      <w:r w:rsidRPr="002421C2">
        <w:rPr>
          <w:rFonts w:ascii="宋体" w:eastAsia="宋体" w:hAnsi="宋体" w:cs="宋体" w:hint="eastAsia"/>
          <w:color w:val="000000"/>
          <w:kern w:val="0"/>
          <w:sz w:val="20"/>
          <w:szCs w:val="20"/>
        </w:rPr>
        <w:t>、</w:t>
      </w:r>
      <w:proofErr w:type="spellStart"/>
      <w:r w:rsidRPr="002421C2">
        <w:rPr>
          <w:rFonts w:ascii="宋体" w:eastAsia="宋体" w:hAnsi="宋体" w:cs="宋体" w:hint="eastAsia"/>
          <w:color w:val="000000"/>
          <w:kern w:val="0"/>
          <w:sz w:val="20"/>
          <w:szCs w:val="20"/>
        </w:rPr>
        <w:t>Urolene</w:t>
      </w:r>
      <w:proofErr w:type="spellEnd"/>
      <w:r w:rsidRPr="002421C2">
        <w:rPr>
          <w:rFonts w:ascii="宋体" w:eastAsia="宋体" w:hAnsi="宋体" w:cs="宋体" w:hint="eastAsia"/>
          <w:color w:val="000000"/>
          <w:kern w:val="0"/>
          <w:sz w:val="20"/>
          <w:szCs w:val="20"/>
        </w:rPr>
        <w:t xml:space="preserve"> Blue。</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【药理分类】</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泌尿系统用药&gt;&gt;其它泌尿系统药</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其它药物&gt;&gt;解毒药&gt;&gt;氰化物中毒解毒药</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【临床应用】</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CFDA说明书适应症</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1.用于治疗亚硝酸盐、硝酸盐、苯胺、硝基苯、三硝基甲苯、苯醌、苯肼以及含有或产生芳香胺的药物(乙酰苯胺、对乙酰氨基</w:t>
      </w:r>
      <w:proofErr w:type="gramStart"/>
      <w:r w:rsidRPr="002421C2">
        <w:rPr>
          <w:rFonts w:ascii="宋体" w:eastAsia="宋体" w:hAnsi="宋体" w:cs="宋体" w:hint="eastAsia"/>
          <w:color w:val="000000"/>
          <w:kern w:val="0"/>
          <w:sz w:val="20"/>
          <w:szCs w:val="20"/>
        </w:rPr>
        <w:t>酚</w:t>
      </w:r>
      <w:proofErr w:type="gramEnd"/>
      <w:r w:rsidRPr="002421C2">
        <w:rPr>
          <w:rFonts w:ascii="宋体" w:eastAsia="宋体" w:hAnsi="宋体" w:cs="宋体" w:hint="eastAsia"/>
          <w:color w:val="000000"/>
          <w:kern w:val="0"/>
          <w:sz w:val="20"/>
          <w:szCs w:val="20"/>
        </w:rPr>
        <w:t>、非那西丁、苯佐卡因等)引起的高铁血红蛋白血症。对先天性还原型二磷酸吡啶核苷高铁血红蛋白还原酶缺乏引起的高铁血红蛋白血症效果较差。对异常血红蛋白M伴有高铁血红蛋白血症无效。</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2.对急性氰化物中毒，可暂时延迟其毒性。</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其他临床应用参考</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1.用于预防和</w:t>
      </w:r>
      <w:proofErr w:type="gramStart"/>
      <w:r w:rsidRPr="002421C2">
        <w:rPr>
          <w:rFonts w:ascii="宋体" w:eastAsia="宋体" w:hAnsi="宋体" w:cs="宋体" w:hint="eastAsia"/>
          <w:color w:val="000000"/>
          <w:kern w:val="0"/>
          <w:sz w:val="20"/>
          <w:szCs w:val="20"/>
        </w:rPr>
        <w:t>治疗异环磷</w:t>
      </w:r>
      <w:proofErr w:type="gramEnd"/>
      <w:r w:rsidRPr="002421C2">
        <w:rPr>
          <w:rFonts w:ascii="宋体" w:eastAsia="宋体" w:hAnsi="宋体" w:cs="宋体" w:hint="eastAsia"/>
          <w:color w:val="000000"/>
          <w:kern w:val="0"/>
          <w:sz w:val="20"/>
          <w:szCs w:val="20"/>
        </w:rPr>
        <w:t>酰胺导致的脑病。</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2.与多色光</w:t>
      </w:r>
      <w:proofErr w:type="gramStart"/>
      <w:r w:rsidRPr="002421C2">
        <w:rPr>
          <w:rFonts w:ascii="宋体" w:eastAsia="宋体" w:hAnsi="宋体" w:cs="宋体" w:hint="eastAsia"/>
          <w:color w:val="000000"/>
          <w:kern w:val="0"/>
          <w:sz w:val="20"/>
          <w:szCs w:val="20"/>
        </w:rPr>
        <w:t>联用于治疗惰</w:t>
      </w:r>
      <w:proofErr w:type="gramEnd"/>
      <w:r w:rsidRPr="002421C2">
        <w:rPr>
          <w:rFonts w:ascii="宋体" w:eastAsia="宋体" w:hAnsi="宋体" w:cs="宋体" w:hint="eastAsia"/>
          <w:color w:val="000000"/>
          <w:kern w:val="0"/>
          <w:sz w:val="20"/>
          <w:szCs w:val="20"/>
        </w:rPr>
        <w:t>光性病毒(如单纯疱疹病毒)感染。</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3.单用或与维生素C</w:t>
      </w:r>
      <w:proofErr w:type="gramStart"/>
      <w:r w:rsidRPr="002421C2">
        <w:rPr>
          <w:rFonts w:ascii="宋体" w:eastAsia="宋体" w:hAnsi="宋体" w:cs="宋体" w:hint="eastAsia"/>
          <w:color w:val="000000"/>
          <w:kern w:val="0"/>
          <w:sz w:val="20"/>
          <w:szCs w:val="20"/>
        </w:rPr>
        <w:t>联用于</w:t>
      </w:r>
      <w:proofErr w:type="gramEnd"/>
      <w:r w:rsidRPr="002421C2">
        <w:rPr>
          <w:rFonts w:ascii="宋体" w:eastAsia="宋体" w:hAnsi="宋体" w:cs="宋体" w:hint="eastAsia"/>
          <w:color w:val="000000"/>
          <w:kern w:val="0"/>
          <w:sz w:val="20"/>
          <w:szCs w:val="20"/>
        </w:rPr>
        <w:t>治疗慢性尿路结石。</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【用法与用量】</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成人</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◆常规剂量</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·亚硝酸盐中毒引起的高铁血红蛋白血症</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1.静脉注射  一次1-2mg/kg，加入50%葡萄糖注射液20-40ml，于10-15分钟内缓慢注射，如1-2小时未好转或有反复，可于2小时后重复1次全量或半量，或延长给药时间，用至紫</w:t>
      </w:r>
      <w:proofErr w:type="gramStart"/>
      <w:r w:rsidRPr="002421C2">
        <w:rPr>
          <w:rFonts w:ascii="宋体" w:eastAsia="宋体" w:hAnsi="宋体" w:cs="宋体" w:hint="eastAsia"/>
          <w:color w:val="000000"/>
          <w:kern w:val="0"/>
          <w:sz w:val="20"/>
          <w:szCs w:val="20"/>
        </w:rPr>
        <w:t>绀</w:t>
      </w:r>
      <w:proofErr w:type="gramEnd"/>
      <w:r w:rsidRPr="002421C2">
        <w:rPr>
          <w:rFonts w:ascii="宋体" w:eastAsia="宋体" w:hAnsi="宋体" w:cs="宋体" w:hint="eastAsia"/>
          <w:color w:val="000000"/>
          <w:kern w:val="0"/>
          <w:sz w:val="20"/>
          <w:szCs w:val="20"/>
        </w:rPr>
        <w:t>基本消退，病情平稳。</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·先天性还原型二磷酸吡啶核苷高铁血红蛋白还原酶缺陷引起的高铁血红蛋白血症</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1.口服给药  一日0.3g，并联用大剂量维生素C。</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·治疗氰化物中毒</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lastRenderedPageBreak/>
        <w:t>1.静脉注射  一次5-10mg/kg，最大剂量为20mg/kg，加入25%葡萄糖注射液稀释后缓慢注射。随后静脉注射25%硫代硫酸钠20-40ml，两者交替使用。</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儿童</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◆常规剂量</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·硝酸、亚硝酸盐中毒</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1.静脉注射  一次1-2mg/kg，缓慢注射5-10分钟以上。</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·氰化物中毒</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1.静脉注射  一次10mg/kg，加5%葡萄糖注射液20-40ml，缓慢注射。至口周紫绀消失，再给硫代硫酸钠。</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【国外用法用量参考】</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成人</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◆常规剂量</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·药源性高铁血红蛋白症</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1.静脉注射  一次1-2mg/kg，非常缓慢地注射。</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儿童</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◆常规剂量</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·药源性高铁血红蛋白症</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1.静脉注射  同成人用法用量。</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【给药说明】</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给药方式说明</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本药不能皮下或肌内注射，以免引起组织坏死；也不能鞘内注射，以免致瘫痪。</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注射液的配制</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本药为1%溶液，应用时需用25%葡萄糖注射液40ml稀释。</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【禁忌症】</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1.对本药过敏者(国外资料)。</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2.肺水肿患者。</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【慎用】</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1.肾功能不全者。</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2.葡萄糖-6-磷酸脱氢酶缺乏症患者(国外资料)。</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【特殊人群】</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儿童</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lastRenderedPageBreak/>
        <w:t>小儿应用本药剂量过大时，可发生溶血。</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老人</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尚无老人用药的研究数据。</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妊娠期妇女</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美国食品药品管理局(FDA)对本药的妊娠安全性分级为X级。</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哺乳期妇女</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尚无哺乳期妇女用药的研究数据。</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特殊疾病状态</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葡萄糖-6-磷酸脱氢酶缺乏者：应用本药剂量过大时，可发生溶血。</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【不良反应】</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1.本药静脉注射速度过快时，可引起头晕、恶心、呕吐、腹痛、胸闷；剂量过大时，除上述症状加剧外，还可出现头痛、血压下降、心率增快伴心律失常、大汗淋漓和意识障碍。</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2.用药后尿液呈蓝色，可发生尿道口刺激、排尿困难、腹泻和胃部不适。</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【药物相互作用】</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药物-药物相互作用</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1.5-羟色胺能抗精神病药：</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结果：合用可使脑内积聚高水平的5-羟色胺，继而引发5-羟色胺综合征。</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2.苛性碱、重铬酸盐、碘化物、升汞和还原剂等：</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结果：合用可引起化学反应。</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处理：不宜合用。</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【注意事项】</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用药警示</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1.化学物和药物引起的高铁血红蛋白血症，若30-60分钟皮肤黏膜紫</w:t>
      </w:r>
      <w:proofErr w:type="gramStart"/>
      <w:r w:rsidRPr="002421C2">
        <w:rPr>
          <w:rFonts w:ascii="宋体" w:eastAsia="宋体" w:hAnsi="宋体" w:cs="宋体" w:hint="eastAsia"/>
          <w:color w:val="000000"/>
          <w:kern w:val="0"/>
          <w:sz w:val="20"/>
          <w:szCs w:val="20"/>
        </w:rPr>
        <w:t>绀不</w:t>
      </w:r>
      <w:proofErr w:type="gramEnd"/>
      <w:r w:rsidRPr="002421C2">
        <w:rPr>
          <w:rFonts w:ascii="宋体" w:eastAsia="宋体" w:hAnsi="宋体" w:cs="宋体" w:hint="eastAsia"/>
          <w:color w:val="000000"/>
          <w:kern w:val="0"/>
          <w:sz w:val="20"/>
          <w:szCs w:val="20"/>
        </w:rPr>
        <w:t>消退，可重复用药。</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2.用作还原剂时，剂量不能过大，以免促使氧合血红蛋白形成高铁血红蛋白，反而使病情加重。</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3.手术后服用本药，可防止结石复发。</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药物对检验值或诊断的影响</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1.用药后尿液可呈蓝色。</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2.用药过量，可造成假性紫</w:t>
      </w:r>
      <w:proofErr w:type="gramStart"/>
      <w:r w:rsidRPr="002421C2">
        <w:rPr>
          <w:rFonts w:ascii="宋体" w:eastAsia="宋体" w:hAnsi="宋体" w:cs="宋体" w:hint="eastAsia"/>
          <w:color w:val="000000"/>
          <w:kern w:val="0"/>
          <w:sz w:val="20"/>
          <w:szCs w:val="20"/>
        </w:rPr>
        <w:t>绀</w:t>
      </w:r>
      <w:proofErr w:type="gramEnd"/>
      <w:r w:rsidRPr="002421C2">
        <w:rPr>
          <w:rFonts w:ascii="宋体" w:eastAsia="宋体" w:hAnsi="宋体" w:cs="宋体" w:hint="eastAsia"/>
          <w:color w:val="000000"/>
          <w:kern w:val="0"/>
          <w:sz w:val="20"/>
          <w:szCs w:val="20"/>
        </w:rPr>
        <w:t>。</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其他注意事项</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治疗氰化物中毒时，在静脉注射本药后，需再给予硫代硫酸钠静脉注射，与游离的氰离子及已与高铁血红蛋白结合的氰离子</w:t>
      </w:r>
      <w:proofErr w:type="gramStart"/>
      <w:r w:rsidRPr="002421C2">
        <w:rPr>
          <w:rFonts w:ascii="宋体" w:eastAsia="宋体" w:hAnsi="宋体" w:cs="宋体" w:hint="eastAsia"/>
          <w:color w:val="000000"/>
          <w:kern w:val="0"/>
          <w:sz w:val="20"/>
          <w:szCs w:val="20"/>
        </w:rPr>
        <w:t>结合成硫氰酸</w:t>
      </w:r>
      <w:proofErr w:type="gramEnd"/>
      <w:r w:rsidRPr="002421C2">
        <w:rPr>
          <w:rFonts w:ascii="宋体" w:eastAsia="宋体" w:hAnsi="宋体" w:cs="宋体" w:hint="eastAsia"/>
          <w:color w:val="000000"/>
          <w:kern w:val="0"/>
          <w:sz w:val="20"/>
          <w:szCs w:val="20"/>
        </w:rPr>
        <w:t>盐(毒性仅为氰化物的1/200)而随尿排出。</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lastRenderedPageBreak/>
        <w:t>【国外专科用药信息参考】</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精神状况信息</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对精神状态的影响：可引起意识模糊或眩晕。</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护理注意事项</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实验室检查：动脉血气、全血细胞计数、高铁血红蛋白水平(使用碳氧血氧定量法直接、准确的测出高铁血红蛋白水平)、动脉血氧饱和度(当高铁血红蛋白水平＞35%测量结果不准确)、肾功能、</w:t>
      </w:r>
      <w:proofErr w:type="gramStart"/>
      <w:r w:rsidRPr="002421C2">
        <w:rPr>
          <w:rFonts w:ascii="宋体" w:eastAsia="宋体" w:hAnsi="宋体" w:cs="宋体" w:hint="eastAsia"/>
          <w:color w:val="000000"/>
          <w:kern w:val="0"/>
          <w:sz w:val="20"/>
          <w:szCs w:val="20"/>
        </w:rPr>
        <w:t>经皮血氧饱和</w:t>
      </w:r>
      <w:proofErr w:type="gramEnd"/>
      <w:r w:rsidRPr="002421C2">
        <w:rPr>
          <w:rFonts w:ascii="宋体" w:eastAsia="宋体" w:hAnsi="宋体" w:cs="宋体" w:hint="eastAsia"/>
          <w:color w:val="000000"/>
          <w:kern w:val="0"/>
          <w:sz w:val="20"/>
          <w:szCs w:val="20"/>
        </w:rPr>
        <w:t>度。</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【药物过量】</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过量的表现</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1.静脉注射量过大(0.5g)时，可致头痛、头晕、心前区痛、出汗、神志不清、T波低平或倒置。</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2.在尿路手术过量使用本药时，可发生休克及高铁血红蛋白血症。</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【药理】</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药效学</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本药为氧化还原剂，根据其在体内的不同浓度，对血红蛋白有两种不同的作用：(1)低浓度时，葡萄糖-6-磷酸脱氢过程中的氢离子经还原型三磷酸吡啶核苷传递给亚甲蓝，使其转变为还原型的白色亚甲蓝；白色亚甲蓝又将氢离子传递给带三价铁的高铁血红蛋白，使其还原为带二价铁的正常血红蛋白，同时，白色亚甲蓝又被氧化为亚甲蓝。此种还原-氧化过程可反复进行。(2)高浓度时，亚甲蓝不能被完全还原为白色亚甲蓝，能将正常血红蛋白氧化为高铁血红蛋白，发挥氧化作用。所形成的高铁血红蛋白</w:t>
      </w:r>
      <w:proofErr w:type="gramStart"/>
      <w:r w:rsidRPr="002421C2">
        <w:rPr>
          <w:rFonts w:ascii="宋体" w:eastAsia="宋体" w:hAnsi="宋体" w:cs="宋体" w:hint="eastAsia"/>
          <w:color w:val="000000"/>
          <w:kern w:val="0"/>
          <w:sz w:val="20"/>
          <w:szCs w:val="20"/>
        </w:rPr>
        <w:t>易与氰离子</w:t>
      </w:r>
      <w:proofErr w:type="gramEnd"/>
      <w:r w:rsidRPr="002421C2">
        <w:rPr>
          <w:rFonts w:ascii="宋体" w:eastAsia="宋体" w:hAnsi="宋体" w:cs="宋体" w:hint="eastAsia"/>
          <w:color w:val="000000"/>
          <w:kern w:val="0"/>
          <w:sz w:val="20"/>
          <w:szCs w:val="20"/>
        </w:rPr>
        <w:t>结合形成氰化高铁血红蛋白，但数分钟后两者又离解，故仅能暂时抑制</w:t>
      </w:r>
      <w:proofErr w:type="gramStart"/>
      <w:r w:rsidRPr="002421C2">
        <w:rPr>
          <w:rFonts w:ascii="宋体" w:eastAsia="宋体" w:hAnsi="宋体" w:cs="宋体" w:hint="eastAsia"/>
          <w:color w:val="000000"/>
          <w:kern w:val="0"/>
          <w:sz w:val="20"/>
          <w:szCs w:val="20"/>
        </w:rPr>
        <w:t>氰</w:t>
      </w:r>
      <w:proofErr w:type="gramEnd"/>
      <w:r w:rsidRPr="002421C2">
        <w:rPr>
          <w:rFonts w:ascii="宋体" w:eastAsia="宋体" w:hAnsi="宋体" w:cs="宋体" w:hint="eastAsia"/>
          <w:color w:val="000000"/>
          <w:kern w:val="0"/>
          <w:sz w:val="20"/>
          <w:szCs w:val="20"/>
        </w:rPr>
        <w:t>离子对组织中酶的毒性。</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药动学</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本药口服可被吸收，但反应大。皮下注射及肌内注射可引起组织坏死。只可通过静脉给药。注射后在组织中被迅速还原为还原型亚甲蓝，缓慢随尿和胆汁中排出，6日内排出74%，且部分可能被甲基化。少量本药经胆汁随粪便排出。</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【制剂与规格】</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亚甲蓝注射液  (1)2ml:20mg。(2)5ml:50mg。(3)10ml:100mg。</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b/>
          <w:bCs/>
          <w:color w:val="000000"/>
          <w:kern w:val="0"/>
          <w:sz w:val="20"/>
          <w:szCs w:val="20"/>
        </w:rPr>
        <w:t>【贮藏】</w:t>
      </w:r>
    </w:p>
    <w:p w:rsidR="002421C2" w:rsidRPr="002421C2" w:rsidRDefault="002421C2" w:rsidP="002421C2">
      <w:pPr>
        <w:widowControl/>
        <w:spacing w:before="150" w:after="150" w:line="270" w:lineRule="atLeast"/>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注射液：遮光，密闭保存。</w:t>
      </w:r>
    </w:p>
    <w:p w:rsidR="002421C2" w:rsidRPr="002421C2" w:rsidRDefault="002421C2" w:rsidP="002421C2">
      <w:pPr>
        <w:widowControl/>
        <w:jc w:val="center"/>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使用</w:t>
      </w:r>
      <w:proofErr w:type="spellStart"/>
      <w:r w:rsidRPr="002421C2">
        <w:rPr>
          <w:rFonts w:ascii="宋体" w:eastAsia="宋体" w:hAnsi="宋体" w:cs="宋体" w:hint="eastAsia"/>
          <w:color w:val="000000"/>
          <w:kern w:val="0"/>
          <w:sz w:val="20"/>
          <w:szCs w:val="20"/>
        </w:rPr>
        <w:t>UpToDate</w:t>
      </w:r>
      <w:proofErr w:type="spellEnd"/>
      <w:r w:rsidRPr="002421C2">
        <w:rPr>
          <w:rFonts w:ascii="宋体" w:eastAsia="宋体" w:hAnsi="宋体" w:cs="宋体" w:hint="eastAsia"/>
          <w:color w:val="000000"/>
          <w:kern w:val="0"/>
          <w:sz w:val="20"/>
          <w:szCs w:val="20"/>
        </w:rPr>
        <w:t>临床顾问须遵循</w:t>
      </w:r>
      <w:hyperlink r:id="rId5" w:tgtFrame="_blank" w:history="1">
        <w:r w:rsidRPr="002421C2">
          <w:rPr>
            <w:rFonts w:ascii="宋体" w:eastAsia="宋体" w:hAnsi="宋体" w:cs="宋体" w:hint="eastAsia"/>
            <w:color w:val="336633"/>
            <w:kern w:val="0"/>
            <w:sz w:val="20"/>
            <w:szCs w:val="20"/>
            <w:u w:val="single"/>
          </w:rPr>
          <w:t>用户协议</w:t>
        </w:r>
      </w:hyperlink>
      <w:r w:rsidRPr="002421C2">
        <w:rPr>
          <w:rFonts w:ascii="宋体" w:eastAsia="宋体" w:hAnsi="宋体" w:cs="宋体" w:hint="eastAsia"/>
          <w:color w:val="000000"/>
          <w:kern w:val="0"/>
          <w:sz w:val="20"/>
          <w:szCs w:val="20"/>
        </w:rPr>
        <w:t>。</w:t>
      </w:r>
    </w:p>
    <w:p w:rsidR="002421C2" w:rsidRPr="002421C2" w:rsidRDefault="002421C2" w:rsidP="002421C2">
      <w:pPr>
        <w:widowControl/>
        <w:jc w:val="left"/>
        <w:rPr>
          <w:rFonts w:ascii="宋体" w:eastAsia="宋体" w:hAnsi="宋体" w:cs="宋体" w:hint="eastAsia"/>
          <w:color w:val="000000"/>
          <w:kern w:val="0"/>
          <w:sz w:val="20"/>
          <w:szCs w:val="20"/>
        </w:rPr>
      </w:pPr>
      <w:r w:rsidRPr="002421C2">
        <w:rPr>
          <w:rFonts w:ascii="宋体" w:eastAsia="宋体" w:hAnsi="宋体" w:cs="宋体" w:hint="eastAsia"/>
          <w:color w:val="000000"/>
          <w:kern w:val="0"/>
          <w:sz w:val="20"/>
          <w:szCs w:val="20"/>
        </w:rPr>
        <w:t>专题 91979 版本 1.0</w:t>
      </w:r>
    </w:p>
    <w:p w:rsidR="00F249C2" w:rsidRDefault="00F249C2">
      <w:pPr>
        <w:rPr>
          <w:rFonts w:hint="eastAsia"/>
        </w:rPr>
      </w:pPr>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279"/>
    <w:rsid w:val="00004821"/>
    <w:rsid w:val="00035279"/>
    <w:rsid w:val="00066237"/>
    <w:rsid w:val="00073143"/>
    <w:rsid w:val="000B38BF"/>
    <w:rsid w:val="000C08B0"/>
    <w:rsid w:val="000C6442"/>
    <w:rsid w:val="001E5F70"/>
    <w:rsid w:val="001F5F78"/>
    <w:rsid w:val="00223E70"/>
    <w:rsid w:val="00225438"/>
    <w:rsid w:val="00225C91"/>
    <w:rsid w:val="002421C2"/>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21C2"/>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2421C2"/>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2421C2"/>
  </w:style>
  <w:style w:type="character" w:customStyle="1" w:styleId="h2">
    <w:name w:val="h2"/>
    <w:basedOn w:val="a0"/>
    <w:rsid w:val="002421C2"/>
  </w:style>
  <w:style w:type="character" w:customStyle="1" w:styleId="nowrap">
    <w:name w:val="nowrap"/>
    <w:basedOn w:val="a0"/>
    <w:rsid w:val="002421C2"/>
  </w:style>
  <w:style w:type="character" w:styleId="a4">
    <w:name w:val="Hyperlink"/>
    <w:basedOn w:val="a0"/>
    <w:uiPriority w:val="99"/>
    <w:semiHidden/>
    <w:unhideWhenUsed/>
    <w:rsid w:val="002421C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21C2"/>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2421C2"/>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2421C2"/>
  </w:style>
  <w:style w:type="character" w:customStyle="1" w:styleId="h2">
    <w:name w:val="h2"/>
    <w:basedOn w:val="a0"/>
    <w:rsid w:val="002421C2"/>
  </w:style>
  <w:style w:type="character" w:customStyle="1" w:styleId="nowrap">
    <w:name w:val="nowrap"/>
    <w:basedOn w:val="a0"/>
    <w:rsid w:val="002421C2"/>
  </w:style>
  <w:style w:type="character" w:styleId="a4">
    <w:name w:val="Hyperlink"/>
    <w:basedOn w:val="a0"/>
    <w:uiPriority w:val="99"/>
    <w:semiHidden/>
    <w:unhideWhenUsed/>
    <w:rsid w:val="002421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980116">
      <w:bodyDiv w:val="1"/>
      <w:marLeft w:val="0"/>
      <w:marRight w:val="0"/>
      <w:marTop w:val="0"/>
      <w:marBottom w:val="0"/>
      <w:divBdr>
        <w:top w:val="none" w:sz="0" w:space="0" w:color="auto"/>
        <w:left w:val="none" w:sz="0" w:space="0" w:color="auto"/>
        <w:bottom w:val="none" w:sz="0" w:space="0" w:color="auto"/>
        <w:right w:val="none" w:sz="0" w:space="0" w:color="auto"/>
      </w:divBdr>
      <w:divsChild>
        <w:div w:id="386955157">
          <w:marLeft w:val="0"/>
          <w:marRight w:val="0"/>
          <w:marTop w:val="480"/>
          <w:marBottom w:val="480"/>
          <w:divBdr>
            <w:top w:val="none" w:sz="0" w:space="0" w:color="auto"/>
            <w:left w:val="none" w:sz="0" w:space="0" w:color="auto"/>
            <w:bottom w:val="none" w:sz="0" w:space="0" w:color="auto"/>
            <w:right w:val="none" w:sz="0" w:space="0" w:color="auto"/>
          </w:divBdr>
        </w:div>
        <w:div w:id="1121801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394</Words>
  <Characters>2247</Characters>
  <Application>Microsoft Office Word</Application>
  <DocSecurity>0</DocSecurity>
  <Lines>18</Lines>
  <Paragraphs>5</Paragraphs>
  <ScaleCrop>false</ScaleCrop>
  <Company>China</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2015-02-09T02:53:00Z</dcterms:created>
  <dcterms:modified xsi:type="dcterms:W3CDTF">2015-02-09T02:53:00Z</dcterms:modified>
</cp:coreProperties>
</file>