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A2C" w:rsidRPr="00B10A2C" w:rsidRDefault="00B10A2C" w:rsidP="00B10A2C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  <w:bookmarkStart w:id="0" w:name="_GoBack"/>
      <w:r w:rsidRPr="00B10A2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羟基</w:t>
      </w:r>
      <w:proofErr w:type="gramStart"/>
      <w:r w:rsidRPr="00B10A2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脲</w:t>
      </w:r>
      <w:proofErr w:type="gramEnd"/>
    </w:p>
    <w:bookmarkEnd w:id="0"/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文章版本号：3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最后发布时间：2014-4-15 9:46:44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【特别警示】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本药有致突变、致</w:t>
      </w:r>
      <w:proofErr w:type="gramStart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畸</w:t>
      </w:r>
      <w:proofErr w:type="gramEnd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和致癌性。(FDA药品说明书-羟基</w:t>
      </w:r>
      <w:proofErr w:type="gramStart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脲</w:t>
      </w:r>
      <w:proofErr w:type="gramEnd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胶囊)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【药物名称】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中文通用名称：羟基</w:t>
      </w:r>
      <w:proofErr w:type="gramStart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脲</w:t>
      </w:r>
      <w:proofErr w:type="gramEnd"/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英文通用名称：</w:t>
      </w:r>
      <w:proofErr w:type="spellStart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Hydroxycarbamide</w:t>
      </w:r>
      <w:proofErr w:type="spellEnd"/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其他名称：氨基甲酰基羟胺、氨基</w:t>
      </w:r>
      <w:proofErr w:type="gramStart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酰</w:t>
      </w:r>
      <w:proofErr w:type="gramEnd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羟基胺、氨甲酰基</w:t>
      </w:r>
      <w:proofErr w:type="gramStart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脲</w:t>
      </w:r>
      <w:proofErr w:type="gramEnd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、氨甲酰羟基</w:t>
      </w:r>
      <w:proofErr w:type="gramStart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脲</w:t>
      </w:r>
      <w:proofErr w:type="gramEnd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、羟基</w:t>
      </w:r>
      <w:proofErr w:type="gramStart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脲</w:t>
      </w:r>
      <w:proofErr w:type="gramEnd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素、羟</w:t>
      </w:r>
      <w:proofErr w:type="gramStart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脲</w:t>
      </w:r>
      <w:proofErr w:type="gramEnd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Droxia</w:t>
      </w:r>
      <w:proofErr w:type="spellEnd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Hydrea</w:t>
      </w:r>
      <w:proofErr w:type="spellEnd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Hydrexyurea</w:t>
      </w:r>
      <w:proofErr w:type="spellEnd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Hydroxicarbamidum</w:t>
      </w:r>
      <w:proofErr w:type="spellEnd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Hydroxycarbamidum</w:t>
      </w:r>
      <w:proofErr w:type="spellEnd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Hydroxyurea</w:t>
      </w:r>
      <w:proofErr w:type="spellEnd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Hydura</w:t>
      </w:r>
      <w:proofErr w:type="spellEnd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Idrossicarbamide</w:t>
      </w:r>
      <w:proofErr w:type="spellEnd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【药理分类】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肿瘤用药&gt;&gt;抗肿瘤药&gt;&gt;影响核酸生物合成的药物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【临床应用】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CFDA说明书适应症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1.主要用于治疗慢性粒细胞白血病、真性红细胞增多症、多发性骨髓瘤。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2.对头颈部鳞癌、复发性转移性卵巢癌、肾癌等也有一定的疗效。与放疗同时应用或作为放疗的增敏剂，可增强头颈癌及子宫颈鳞癌的疗效。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3.用于黑色素瘤。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其他临床应用参考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1.用于预防伴危象的中至重度镰状细胞贫血。(FDA批准适应症)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2.用于治疗急性白血病。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3.用于原发性血小板增多症。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4.用于治疗高嗜酸粒细胞综合征。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5.可试用于人类免疫缺陷病毒(HIV)感染。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6.用于顽固性银屑病和脓疱性银屑病。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7.用于治疗脑膜瘤。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【用法与用量】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·慢性粒细胞白血病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1.口服给药  一日20-60mg/kg，一周2次。6周为一疗程。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·真性红细胞增多症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一日30-40mg/kg，一日1次或分2次服用。待红细胞或血小板降至正常高限时改为维持剂量，即：一次10-20mg/kg，一日1次。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·头颈癌、宫颈鳞癌、卵巢癌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一次80mg/kg，每3日1次，与放疗合用。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·急性白血病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对白细胞计数高者，一次50-70mg/kg，一日1次，通常给药2-3日，白细胞明显成倍下降时尽早开始联合化疗。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·银屑病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一日500-1500mg，4-8周为一疗程。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◆老年人剂量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老年患者对本药敏感，</w:t>
      </w:r>
      <w:proofErr w:type="gramStart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且肾功能</w:t>
      </w:r>
      <w:proofErr w:type="gramEnd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可能较差，故应适当减量。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【国外用法用量参考】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·慢性粒细胞白血病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一日20-30mg/kg，至少持续6周，现暂不主张间歇治疗。治疗时应密切观察血象，以防止白细胞计数低于2.5×10</w:t>
      </w: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9</w:t>
      </w: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/L，或血小板计数低于100×10</w:t>
      </w: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9</w:t>
      </w: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L；如白细胞和血小板计数低于上述水平，应停药3日后重测，若所测值接近正常水平，则可重新开始治疗；有贫血时，可在治疗的同时纠正贫血，不必停药。当出现慢性粒细胞白血病原始细胞危象时，为快速减少白细胞计数，使用剂量可高达一日12g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·头颈癌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一次80mg/kg，每3日1次。应在放疗前至少7日开始给药，且应持续于放疗全程，在放疗后也应不定期给药。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·黑色素瘤、卵巢癌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间歇性治疗，一次80mg/kg，每3日1次。持续性治疗，一日20-30mg/kg。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·镰状细胞贫血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对有周期性发作的中至重度</w:t>
      </w:r>
      <w:proofErr w:type="gramStart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疼痛危象</w:t>
      </w:r>
      <w:proofErr w:type="gramEnd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的镰状细胞贫血患者，为减少其</w:t>
      </w:r>
      <w:proofErr w:type="gramStart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疼痛危象</w:t>
      </w:r>
      <w:proofErr w:type="gramEnd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发作及减少输血，可先给本药一日15mg/kg，在血液学监测的基础上，每12周增加5mg/kg，直至最高耐受剂量或达到一日35mg/kg(最高推荐剂量)。如血细胞计数在可耐受范围内，可以增加剂量；如血细胞计数处于可耐受水平和中毒水平之间时，无需调整剂量；如血细胞计数达到中毒水平，应停药，直至计数恢复到可耐受水平；重新开始治疗时应将日剂量减小2.5mg/kg。每12周将日</w:t>
      </w: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剂量增加或减少2.5mg/kg，直至血液学指标稳定24周。两次引起毒性的剂量不应再次使用。对于可耐受/中毒性血细胞计数值可参见下表。</w:t>
      </w:r>
    </w:p>
    <w:tbl>
      <w:tblPr>
        <w:tblW w:w="0" w:type="auto"/>
        <w:tblBorders>
          <w:top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740"/>
        <w:gridCol w:w="1740"/>
      </w:tblGrid>
      <w:tr w:rsidR="00B10A2C" w:rsidRPr="00B10A2C" w:rsidTr="00B10A2C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10A2C" w:rsidRPr="00B10A2C" w:rsidRDefault="00B10A2C" w:rsidP="00B10A2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A2C">
              <w:rPr>
                <w:rFonts w:ascii="宋体" w:eastAsia="宋体" w:hAnsi="宋体" w:cs="宋体"/>
                <w:kern w:val="0"/>
                <w:sz w:val="24"/>
                <w:szCs w:val="24"/>
              </w:rPr>
              <w:t>可耐受/中毒性血细胞计数表</w:t>
            </w:r>
          </w:p>
        </w:tc>
      </w:tr>
      <w:tr w:rsidR="00B10A2C" w:rsidRPr="00B10A2C" w:rsidTr="00B10A2C"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10A2C" w:rsidRPr="00B10A2C" w:rsidRDefault="00B10A2C" w:rsidP="00B10A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A2C">
              <w:rPr>
                <w:rFonts w:ascii="宋体" w:eastAsia="宋体" w:hAnsi="宋体" w:cs="宋体"/>
                <w:kern w:val="0"/>
                <w:sz w:val="24"/>
                <w:szCs w:val="24"/>
              </w:rPr>
              <w:t>血液成分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10A2C" w:rsidRPr="00B10A2C" w:rsidRDefault="00B10A2C" w:rsidP="00B10A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A2C">
              <w:rPr>
                <w:rFonts w:ascii="宋体" w:eastAsia="宋体" w:hAnsi="宋体" w:cs="宋体"/>
                <w:kern w:val="0"/>
                <w:sz w:val="24"/>
                <w:szCs w:val="24"/>
              </w:rPr>
              <w:t>可耐受(高于)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10A2C" w:rsidRPr="00B10A2C" w:rsidRDefault="00B10A2C" w:rsidP="00B10A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A2C">
              <w:rPr>
                <w:rFonts w:ascii="宋体" w:eastAsia="宋体" w:hAnsi="宋体" w:cs="宋体"/>
                <w:kern w:val="0"/>
                <w:sz w:val="24"/>
                <w:szCs w:val="24"/>
              </w:rPr>
              <w:t>中毒性(低于)</w:t>
            </w:r>
          </w:p>
        </w:tc>
      </w:tr>
      <w:tr w:rsidR="00B10A2C" w:rsidRPr="00B10A2C" w:rsidTr="00B10A2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10A2C" w:rsidRPr="00B10A2C" w:rsidRDefault="00B10A2C" w:rsidP="00B10A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A2C">
              <w:rPr>
                <w:rFonts w:ascii="宋体" w:eastAsia="宋体" w:hAnsi="宋体" w:cs="宋体"/>
                <w:kern w:val="0"/>
                <w:sz w:val="24"/>
                <w:szCs w:val="24"/>
              </w:rPr>
              <w:t>中性粒细胞(10</w:t>
            </w:r>
            <w:r w:rsidRPr="00B10A2C">
              <w:rPr>
                <w:rFonts w:ascii="宋体" w:eastAsia="宋体" w:hAnsi="宋体" w:cs="宋体"/>
                <w:kern w:val="0"/>
                <w:sz w:val="24"/>
                <w:szCs w:val="24"/>
                <w:vertAlign w:val="superscript"/>
              </w:rPr>
              <w:t>9</w:t>
            </w:r>
            <w:r w:rsidRPr="00B10A2C">
              <w:rPr>
                <w:rFonts w:ascii="宋体" w:eastAsia="宋体" w:hAnsi="宋体" w:cs="宋体"/>
                <w:kern w:val="0"/>
                <w:sz w:val="24"/>
                <w:szCs w:val="24"/>
              </w:rPr>
              <w:t>/L)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10A2C" w:rsidRPr="00B10A2C" w:rsidRDefault="00B10A2C" w:rsidP="00B10A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A2C">
              <w:rPr>
                <w:rFonts w:ascii="宋体" w:eastAsia="宋体" w:hAnsi="宋体" w:cs="宋体"/>
                <w:kern w:val="0"/>
                <w:sz w:val="24"/>
                <w:szCs w:val="24"/>
              </w:rPr>
              <w:t>2.5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10A2C" w:rsidRPr="00B10A2C" w:rsidRDefault="00B10A2C" w:rsidP="00B10A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A2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B10A2C" w:rsidRPr="00B10A2C" w:rsidTr="00B10A2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10A2C" w:rsidRPr="00B10A2C" w:rsidRDefault="00B10A2C" w:rsidP="00B10A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A2C">
              <w:rPr>
                <w:rFonts w:ascii="宋体" w:eastAsia="宋体" w:hAnsi="宋体" w:cs="宋体"/>
                <w:kern w:val="0"/>
                <w:sz w:val="24"/>
                <w:szCs w:val="24"/>
              </w:rPr>
              <w:t>血小板(10</w:t>
            </w:r>
            <w:r w:rsidRPr="00B10A2C">
              <w:rPr>
                <w:rFonts w:ascii="宋体" w:eastAsia="宋体" w:hAnsi="宋体" w:cs="宋体"/>
                <w:kern w:val="0"/>
                <w:sz w:val="24"/>
                <w:szCs w:val="24"/>
                <w:vertAlign w:val="superscript"/>
              </w:rPr>
              <w:t>9</w:t>
            </w:r>
            <w:r w:rsidRPr="00B10A2C">
              <w:rPr>
                <w:rFonts w:ascii="宋体" w:eastAsia="宋体" w:hAnsi="宋体" w:cs="宋体"/>
                <w:kern w:val="0"/>
                <w:sz w:val="24"/>
                <w:szCs w:val="24"/>
              </w:rPr>
              <w:t>/L)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10A2C" w:rsidRPr="00B10A2C" w:rsidRDefault="00B10A2C" w:rsidP="00B10A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A2C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10A2C" w:rsidRPr="00B10A2C" w:rsidRDefault="00B10A2C" w:rsidP="00B10A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A2C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</w:tr>
      <w:tr w:rsidR="00B10A2C" w:rsidRPr="00B10A2C" w:rsidTr="00B10A2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10A2C" w:rsidRPr="00B10A2C" w:rsidRDefault="00B10A2C" w:rsidP="00B10A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A2C">
              <w:rPr>
                <w:rFonts w:ascii="宋体" w:eastAsia="宋体" w:hAnsi="宋体" w:cs="宋体"/>
                <w:kern w:val="0"/>
                <w:sz w:val="24"/>
                <w:szCs w:val="24"/>
              </w:rPr>
              <w:t>血红蛋白(g/L)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10A2C" w:rsidRPr="00B10A2C" w:rsidRDefault="00B10A2C" w:rsidP="00B10A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A2C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10A2C" w:rsidRPr="00B10A2C" w:rsidRDefault="00B10A2C" w:rsidP="00B10A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A2C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</w:tc>
      </w:tr>
      <w:tr w:rsidR="00B10A2C" w:rsidRPr="00B10A2C" w:rsidTr="00B10A2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10A2C" w:rsidRPr="00B10A2C" w:rsidRDefault="00B10A2C" w:rsidP="00B10A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A2C">
              <w:rPr>
                <w:rFonts w:ascii="宋体" w:eastAsia="宋体" w:hAnsi="宋体" w:cs="宋体"/>
                <w:kern w:val="0"/>
                <w:sz w:val="24"/>
                <w:szCs w:val="24"/>
              </w:rPr>
              <w:t>网织红细胞(10</w:t>
            </w:r>
            <w:r w:rsidRPr="00B10A2C">
              <w:rPr>
                <w:rFonts w:ascii="宋体" w:eastAsia="宋体" w:hAnsi="宋体" w:cs="宋体"/>
                <w:kern w:val="0"/>
                <w:sz w:val="24"/>
                <w:szCs w:val="24"/>
                <w:vertAlign w:val="superscript"/>
              </w:rPr>
              <w:t>9</w:t>
            </w:r>
            <w:r w:rsidRPr="00B10A2C">
              <w:rPr>
                <w:rFonts w:ascii="宋体" w:eastAsia="宋体" w:hAnsi="宋体" w:cs="宋体"/>
                <w:kern w:val="0"/>
                <w:sz w:val="24"/>
                <w:szCs w:val="24"/>
              </w:rPr>
              <w:t>/L)*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10A2C" w:rsidRPr="00B10A2C" w:rsidRDefault="00B10A2C" w:rsidP="00B10A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A2C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10A2C" w:rsidRPr="00B10A2C" w:rsidRDefault="00B10A2C" w:rsidP="00B10A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A2C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</w:tr>
    </w:tbl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*表示当血红蛋白少于90g/L时。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◆肾功能不全时剂量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镰状细胞贫血伴肾功能损伤的患者，应减量50%至一日7.5mg/kg；肌酐清除率大于或等于60ml/min者，推荐剂量为一日15mg/kg，肌酐清除率小于60ml/min者，推荐剂量为一日7.5mg/kg。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◆肝功能不全时剂量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尚无资料报道肝功能不全时的确切用量，建议严密监测血液学参数。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◆老年人剂量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老年患者对</w:t>
      </w:r>
      <w:proofErr w:type="gramStart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本药较敏感</w:t>
      </w:r>
      <w:proofErr w:type="gramEnd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</w:t>
      </w:r>
      <w:proofErr w:type="gramStart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且肾功能</w:t>
      </w:r>
      <w:proofErr w:type="gramEnd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可能较差，故服用本药时应适当减少剂量。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◆透析时剂量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镰状细胞贫血伴终末期</w:t>
      </w:r>
      <w:proofErr w:type="gramEnd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肾病患者应在血液透析后给予本药一日7.5mg/kg。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【禁忌症】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1.对本药过敏者(国外资料)。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2.严重骨髓抑制者(国外资料)。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3.水痘、带状疱疹及各种严重感染患者。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4.妊娠期妇女。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5.哺乳期妇女。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【慎用】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1.严重贫血(未纠正前)患者。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2.轻至中度骨髓抑制者。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3.肾功能不全者。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4.痛风患者。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5.有尿酸盐结石史者。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【特殊人群】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儿童用药的安全性和有效性尚不明确。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老人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老年患者用药参见“用法与用量”项。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妊娠期妇女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1.由于本药有致突变、致</w:t>
      </w:r>
      <w:proofErr w:type="gramStart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畸</w:t>
      </w:r>
      <w:proofErr w:type="gramEnd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、致癌的可能，故妊娠期妇女禁用。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2.美国食品药品管理局(FDA)对本药的妊娠安全性分级为D级。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哺乳期妇女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本药可随乳汁排泄，哺乳期妇女禁用。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特殊疾病状态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放疗患者：有放疗史者出现红斑恶化的风险增大。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【不良反应】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1.泌尿生殖系统  偶见排尿疼痛。有引起睾丸萎缩的报道。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2.神经系统  偶见中枢神经系统症状。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3.胃肠道  偶见胃肠道反应。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4.血液   可见骨髓抑制，为剂量依赖性，可致白细胞和血小板减少，停药后1-2周可恢复。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5.皮肤  可见皮肤色素沉着，偶见脱发。也可出现皮肤血管毒性反应，包括血管溃疡和血管坏死，一旦出现应停药。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6.其他  有引起药物性发热的报道，重复给药时可再出现。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【药物相互作用】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药物-药物相互作用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1.活疫苗(如轮状病毒疫苗)：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结果：合用将增加活疫苗感染的风险。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处理：接受免疫抑制化疗的患者不能接种活疫苗。缓解期白血病患者，至少要停止化疗3个月才允许接种活疫苗。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2.别</w:t>
      </w:r>
      <w:proofErr w:type="gramStart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嘌</w:t>
      </w:r>
      <w:proofErr w:type="gramEnd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醇、秋水仙碱、丙</w:t>
      </w:r>
      <w:proofErr w:type="gramStart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磺</w:t>
      </w:r>
      <w:proofErr w:type="gramEnd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舒等：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结果：合用治疗痛风时，可能提高患者的血尿酸浓度。本药与别</w:t>
      </w:r>
      <w:proofErr w:type="gramStart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嘌</w:t>
      </w:r>
      <w:proofErr w:type="gramEnd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醇合用时能预防并逆转本药所致的高尿酸血症。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处理：合用时必须调整上述抗痛风药物剂量。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3.氟尿嘧啶(5-Fu)：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结果：本药可减少5-Fu转变为活性代谢物(</w:t>
      </w:r>
      <w:proofErr w:type="spellStart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Fd</w:t>
      </w:r>
      <w:proofErr w:type="spellEnd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-UMP)。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处理：两药合用时应慎重。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【注意事项】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用药警示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1.本药对中枢神经系统有抑制作用，故与巴比妥类、安定类、麻醉药等合用时应谨慎。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2.若服用本药已达6周仍未见效，应考虑停药。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3.服用本药时应适当增加液体摄入量，以增加尿量，从而有利于尿酸的排出。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4.本药剂量应依据患者对治疗的反应和耐受性等进行调整。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5.与放疗合用时应在放疗前7日开始给药，并严密观察血象，若出现严重的放疗不良反应，应考虑减量或暂停使用本药。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用药前后及用药时应当检查或监测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治疗前后及治疗期间应定期随访血常规、血尿素氮、尿酸、肌酸酐浓度。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高警讯药物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美国安全用药规范研究院(ISMP)将本药定为高警讯药物，使用不当将给患者带来严重危害。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【国外专科用药信息参考】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牙科用药信息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化疗可引起明显的骨髓抑制(包括血小板减少和凝血功能改变)，牙科操作时应注意其对出血和止血的影响。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精神状况信息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1.对精神状态的影响：</w:t>
      </w:r>
      <w:proofErr w:type="gramStart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本药常引起</w:t>
      </w:r>
      <w:proofErr w:type="gramEnd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嗜睡，罕见定向障碍和幻觉。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2.对精神障碍治疗的影响：</w:t>
      </w:r>
      <w:proofErr w:type="gramStart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本药常引起</w:t>
      </w:r>
      <w:proofErr w:type="gramEnd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骨髓抑制，与氯氮平和卡马西平合用应谨慎。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护理注意事项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1.评估患者的全血细胞计数、肾功能和肝功能检查结果。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2.观察患者有无中枢神经系统改变、肠胃不适、肝毒性和周围神经病症状。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3.指导患者用药方法，并定期监测。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【药理】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药效学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本药为细胞周期特异性抗肿瘤药，主要作用于S期细胞。作为核苷二磷酸还原酶抑制药，通过阻止核苷酸还原为脱氧核苷酸而起作用，故选择性地抑制DNA的合成，对RNA及蛋白质的合成无抑制作用。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本药用于顽固性银屑病和脓疱性银屑病，能减轻全身性脓疱性银屑病的脓疱、发热和中毒症状。短期用药，其毒性</w:t>
      </w:r>
      <w:proofErr w:type="gramStart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作用较甲氨</w:t>
      </w:r>
      <w:proofErr w:type="gramEnd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蝶</w:t>
      </w:r>
      <w:proofErr w:type="gramStart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呤</w:t>
      </w:r>
      <w:proofErr w:type="gramEnd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低，对于因有肝损伤而不宜选用甲氨蝶</w:t>
      </w:r>
      <w:proofErr w:type="gramStart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呤</w:t>
      </w:r>
      <w:proofErr w:type="gramEnd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，或用甲氨蝶</w:t>
      </w:r>
      <w:proofErr w:type="gramStart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呤</w:t>
      </w:r>
      <w:proofErr w:type="gramEnd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无效的严重银屑病患者，适宜选用本药。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药动学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本药口服吸收较快，1-2小时后血药浓度达高峰，可透过血-脑脊液屏障，脑脊液中的达峰时间为3小时。20%在肝内代谢，80%随尿液排出，4小时内可排出60%，12小时内可排出80%。半衰期为3-4小时。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遗传、生殖毒性与致癌性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◆遗传毒性  动物试验表明本药具有遗传毒性。本药可诱导体外的细菌、真菌、原生动物和哺乳动物细胞基因突变，诱导体外仓鼠细胞和人淋巴细胞染色体断裂，并引起胚胎细胞致瘤表型改变。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◆致癌性  无长期用药的致癌性研究数据。腹腔内给予雌性</w:t>
      </w:r>
      <w:proofErr w:type="gramStart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大鼠本药</w:t>
      </w:r>
      <w:proofErr w:type="gramEnd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一次125-250mg/kg(按体表面积计，相当于人推荐剂量的0.6-1.2倍)，一周3次，连续用药6个月，可增加乳腺癌的发生率。长期使用本药治疗骨髓增生异常(如真性红细胞增多症和血小板增多症)的患者，有出现继发性白血病的报道；此外还有长期使用本药，导致皮肤癌的报道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【制剂与规格】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羟基</w:t>
      </w:r>
      <w:proofErr w:type="gramStart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脲</w:t>
      </w:r>
      <w:proofErr w:type="gramEnd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片  500mg。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羟基</w:t>
      </w:r>
      <w:proofErr w:type="gramStart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脲</w:t>
      </w:r>
      <w:proofErr w:type="gramEnd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胶囊  (1)250mg。(2)400mg。(3)500mg。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【贮藏】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片剂：遮光、密闭保存。</w:t>
      </w:r>
    </w:p>
    <w:p w:rsidR="00B10A2C" w:rsidRPr="00B10A2C" w:rsidRDefault="00B10A2C" w:rsidP="00B10A2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胶囊：遮光、密闭保存。</w:t>
      </w:r>
    </w:p>
    <w:p w:rsidR="00B10A2C" w:rsidRPr="00B10A2C" w:rsidRDefault="00B10A2C" w:rsidP="00B10A2C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</w:t>
      </w:r>
      <w:proofErr w:type="spellStart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UpToDate</w:t>
      </w:r>
      <w:proofErr w:type="spellEnd"/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临床顾问须遵循</w:t>
      </w:r>
      <w:hyperlink r:id="rId5" w:tgtFrame="_blank" w:history="1">
        <w:r w:rsidRPr="00B10A2C">
          <w:rPr>
            <w:rFonts w:ascii="宋体" w:eastAsia="宋体" w:hAnsi="宋体" w:cs="宋体" w:hint="eastAsia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B10A2C" w:rsidRPr="00B10A2C" w:rsidRDefault="00B10A2C" w:rsidP="00B10A2C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0A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专题 94063 版本 1.0</w:t>
      </w:r>
    </w:p>
    <w:p w:rsidR="00F249C2" w:rsidRDefault="00F249C2">
      <w:pPr>
        <w:rPr>
          <w:rFonts w:hint="eastAsia"/>
        </w:rPr>
      </w:pPr>
    </w:p>
    <w:sectPr w:rsidR="00F2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CEC"/>
    <w:rsid w:val="00004821"/>
    <w:rsid w:val="00066237"/>
    <w:rsid w:val="00073143"/>
    <w:rsid w:val="000B38BF"/>
    <w:rsid w:val="000C08B0"/>
    <w:rsid w:val="000C6442"/>
    <w:rsid w:val="001E5F70"/>
    <w:rsid w:val="001F5F78"/>
    <w:rsid w:val="00223E70"/>
    <w:rsid w:val="00225438"/>
    <w:rsid w:val="00225C91"/>
    <w:rsid w:val="002C6FD3"/>
    <w:rsid w:val="002D752C"/>
    <w:rsid w:val="0031147A"/>
    <w:rsid w:val="0031453D"/>
    <w:rsid w:val="00367A47"/>
    <w:rsid w:val="00375332"/>
    <w:rsid w:val="003A12DC"/>
    <w:rsid w:val="003D0C42"/>
    <w:rsid w:val="003D36E3"/>
    <w:rsid w:val="00425882"/>
    <w:rsid w:val="00445BCB"/>
    <w:rsid w:val="004648F0"/>
    <w:rsid w:val="00491CEC"/>
    <w:rsid w:val="004B1819"/>
    <w:rsid w:val="004C61DD"/>
    <w:rsid w:val="0051192D"/>
    <w:rsid w:val="00516203"/>
    <w:rsid w:val="00537B69"/>
    <w:rsid w:val="00586C73"/>
    <w:rsid w:val="00587BDD"/>
    <w:rsid w:val="005E6210"/>
    <w:rsid w:val="005F4F0C"/>
    <w:rsid w:val="00601536"/>
    <w:rsid w:val="006114AC"/>
    <w:rsid w:val="0065304C"/>
    <w:rsid w:val="006864D1"/>
    <w:rsid w:val="006B2F84"/>
    <w:rsid w:val="006C4B5E"/>
    <w:rsid w:val="006F61A0"/>
    <w:rsid w:val="00734E5A"/>
    <w:rsid w:val="007547FF"/>
    <w:rsid w:val="007622E5"/>
    <w:rsid w:val="007958AE"/>
    <w:rsid w:val="007E5C52"/>
    <w:rsid w:val="007F5F90"/>
    <w:rsid w:val="008765A8"/>
    <w:rsid w:val="00906984"/>
    <w:rsid w:val="00917C91"/>
    <w:rsid w:val="009746BA"/>
    <w:rsid w:val="009913E6"/>
    <w:rsid w:val="00A27205"/>
    <w:rsid w:val="00AA5520"/>
    <w:rsid w:val="00AB4160"/>
    <w:rsid w:val="00AB568E"/>
    <w:rsid w:val="00AC2F02"/>
    <w:rsid w:val="00B10A2C"/>
    <w:rsid w:val="00B40150"/>
    <w:rsid w:val="00B61210"/>
    <w:rsid w:val="00B771D5"/>
    <w:rsid w:val="00BB08DC"/>
    <w:rsid w:val="00BC1217"/>
    <w:rsid w:val="00BD3846"/>
    <w:rsid w:val="00C1018D"/>
    <w:rsid w:val="00D01360"/>
    <w:rsid w:val="00D526BA"/>
    <w:rsid w:val="00D710CA"/>
    <w:rsid w:val="00D75272"/>
    <w:rsid w:val="00DA2E11"/>
    <w:rsid w:val="00DA7700"/>
    <w:rsid w:val="00DC298E"/>
    <w:rsid w:val="00E000AF"/>
    <w:rsid w:val="00E70A56"/>
    <w:rsid w:val="00EC5536"/>
    <w:rsid w:val="00ED27D2"/>
    <w:rsid w:val="00ED2D23"/>
    <w:rsid w:val="00EF6F7E"/>
    <w:rsid w:val="00F249C2"/>
    <w:rsid w:val="00F626EE"/>
    <w:rsid w:val="00F80B5C"/>
    <w:rsid w:val="00FC3539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0A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B10A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B10A2C"/>
  </w:style>
  <w:style w:type="character" w:customStyle="1" w:styleId="h2">
    <w:name w:val="h2"/>
    <w:basedOn w:val="a0"/>
    <w:rsid w:val="00B10A2C"/>
  </w:style>
  <w:style w:type="character" w:customStyle="1" w:styleId="nowrap">
    <w:name w:val="nowrap"/>
    <w:basedOn w:val="a0"/>
    <w:rsid w:val="00B10A2C"/>
  </w:style>
  <w:style w:type="character" w:styleId="a4">
    <w:name w:val="Hyperlink"/>
    <w:basedOn w:val="a0"/>
    <w:uiPriority w:val="99"/>
    <w:semiHidden/>
    <w:unhideWhenUsed/>
    <w:rsid w:val="00B10A2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0A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B10A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B10A2C"/>
  </w:style>
  <w:style w:type="character" w:customStyle="1" w:styleId="h2">
    <w:name w:val="h2"/>
    <w:basedOn w:val="a0"/>
    <w:rsid w:val="00B10A2C"/>
  </w:style>
  <w:style w:type="character" w:customStyle="1" w:styleId="nowrap">
    <w:name w:val="nowrap"/>
    <w:basedOn w:val="a0"/>
    <w:rsid w:val="00B10A2C"/>
  </w:style>
  <w:style w:type="character" w:styleId="a4">
    <w:name w:val="Hyperlink"/>
    <w:basedOn w:val="a0"/>
    <w:uiPriority w:val="99"/>
    <w:semiHidden/>
    <w:unhideWhenUsed/>
    <w:rsid w:val="00B10A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2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41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ptodate.com/contents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591</Words>
  <Characters>3373</Characters>
  <Application>Microsoft Office Word</Application>
  <DocSecurity>0</DocSecurity>
  <Lines>28</Lines>
  <Paragraphs>7</Paragraphs>
  <ScaleCrop>false</ScaleCrop>
  <Company>China</Company>
  <LinksUpToDate>false</LinksUpToDate>
  <CharactersWithSpaces>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2015-02-09T02:43:00Z</dcterms:created>
  <dcterms:modified xsi:type="dcterms:W3CDTF">2015-02-09T02:43:00Z</dcterms:modified>
</cp:coreProperties>
</file>