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C73" w:rsidRPr="00395C73" w:rsidRDefault="00395C73" w:rsidP="00395C73">
      <w:pPr>
        <w:widowControl/>
        <w:jc w:val="left"/>
        <w:rPr>
          <w:rFonts w:ascii="Arial" w:eastAsia="宋体" w:hAnsi="Arial" w:cs="Arial"/>
          <w:b/>
          <w:bCs/>
          <w:kern w:val="0"/>
          <w:sz w:val="20"/>
          <w:szCs w:val="20"/>
        </w:rPr>
      </w:pPr>
      <w:bookmarkStart w:id="0" w:name="_GoBack"/>
      <w:r w:rsidRPr="00395C73">
        <w:rPr>
          <w:rFonts w:ascii="Arial" w:eastAsia="宋体" w:hAnsi="Arial" w:cs="Arial"/>
          <w:b/>
          <w:bCs/>
          <w:kern w:val="0"/>
          <w:sz w:val="20"/>
          <w:szCs w:val="20"/>
        </w:rPr>
        <w:t>利福平</w:t>
      </w:r>
    </w:p>
    <w:bookmarkEnd w:id="0"/>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文章版本号：</w:t>
      </w:r>
      <w:r w:rsidRPr="00395C73">
        <w:rPr>
          <w:rFonts w:ascii="Arial" w:eastAsia="宋体" w:hAnsi="Arial" w:cs="Arial"/>
          <w:kern w:val="0"/>
          <w:sz w:val="20"/>
          <w:szCs w:val="20"/>
        </w:rPr>
        <w:t>2</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最后发布时间：</w:t>
      </w:r>
      <w:r w:rsidRPr="00395C73">
        <w:rPr>
          <w:rFonts w:ascii="Arial" w:eastAsia="宋体" w:hAnsi="Arial" w:cs="Arial"/>
          <w:kern w:val="0"/>
          <w:sz w:val="20"/>
          <w:szCs w:val="20"/>
        </w:rPr>
        <w:t>2014-4-15 9:48:51</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【药物名称】</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中文通用名称：利福平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英文通用名称：</w:t>
      </w:r>
      <w:r w:rsidRPr="00395C73">
        <w:rPr>
          <w:rFonts w:ascii="Arial" w:eastAsia="宋体" w:hAnsi="Arial" w:cs="Arial"/>
          <w:kern w:val="0"/>
          <w:sz w:val="20"/>
          <w:szCs w:val="20"/>
        </w:rPr>
        <w:t>Rifampicin</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其他名称：甲哌利福霉素、力复平、利米定、舒兰新、威福仙、维夫欣、仙道纶、</w:t>
      </w:r>
      <w:r w:rsidRPr="00395C73">
        <w:rPr>
          <w:rFonts w:ascii="Arial" w:eastAsia="宋体" w:hAnsi="Arial" w:cs="Arial"/>
          <w:kern w:val="0"/>
          <w:sz w:val="20"/>
          <w:szCs w:val="20"/>
        </w:rPr>
        <w:t>Benemicin</w:t>
      </w:r>
      <w:r w:rsidRPr="00395C73">
        <w:rPr>
          <w:rFonts w:ascii="Arial" w:eastAsia="宋体" w:hAnsi="Arial" w:cs="Arial"/>
          <w:kern w:val="0"/>
          <w:sz w:val="20"/>
          <w:szCs w:val="20"/>
        </w:rPr>
        <w:t>、</w:t>
      </w:r>
      <w:r w:rsidRPr="00395C73">
        <w:rPr>
          <w:rFonts w:ascii="Arial" w:eastAsia="宋体" w:hAnsi="Arial" w:cs="Arial"/>
          <w:kern w:val="0"/>
          <w:sz w:val="20"/>
          <w:szCs w:val="20"/>
        </w:rPr>
        <w:t>Rifadin</w:t>
      </w:r>
      <w:r w:rsidRPr="00395C73">
        <w:rPr>
          <w:rFonts w:ascii="Arial" w:eastAsia="宋体" w:hAnsi="Arial" w:cs="Arial"/>
          <w:kern w:val="0"/>
          <w:sz w:val="20"/>
          <w:szCs w:val="20"/>
        </w:rPr>
        <w:t>、</w:t>
      </w:r>
      <w:r w:rsidRPr="00395C73">
        <w:rPr>
          <w:rFonts w:ascii="Arial" w:eastAsia="宋体" w:hAnsi="Arial" w:cs="Arial"/>
          <w:kern w:val="0"/>
          <w:sz w:val="20"/>
          <w:szCs w:val="20"/>
        </w:rPr>
        <w:t>Rifaldin</w:t>
      </w:r>
      <w:r w:rsidRPr="00395C73">
        <w:rPr>
          <w:rFonts w:ascii="Arial" w:eastAsia="宋体" w:hAnsi="Arial" w:cs="Arial"/>
          <w:kern w:val="0"/>
          <w:sz w:val="20"/>
          <w:szCs w:val="20"/>
        </w:rPr>
        <w:t>、</w:t>
      </w:r>
      <w:r w:rsidRPr="00395C73">
        <w:rPr>
          <w:rFonts w:ascii="Arial" w:eastAsia="宋体" w:hAnsi="Arial" w:cs="Arial"/>
          <w:kern w:val="0"/>
          <w:sz w:val="20"/>
          <w:szCs w:val="20"/>
        </w:rPr>
        <w:t>Rifam</w:t>
      </w:r>
      <w:r w:rsidRPr="00395C73">
        <w:rPr>
          <w:rFonts w:ascii="Arial" w:eastAsia="宋体" w:hAnsi="Arial" w:cs="Arial"/>
          <w:kern w:val="0"/>
          <w:sz w:val="20"/>
          <w:szCs w:val="20"/>
        </w:rPr>
        <w:t>、</w:t>
      </w:r>
      <w:r w:rsidRPr="00395C73">
        <w:rPr>
          <w:rFonts w:ascii="Arial" w:eastAsia="宋体" w:hAnsi="Arial" w:cs="Arial"/>
          <w:kern w:val="0"/>
          <w:sz w:val="20"/>
          <w:szCs w:val="20"/>
        </w:rPr>
        <w:t>Rifampicinum</w:t>
      </w:r>
      <w:r w:rsidRPr="00395C73">
        <w:rPr>
          <w:rFonts w:ascii="Arial" w:eastAsia="宋体" w:hAnsi="Arial" w:cs="Arial"/>
          <w:kern w:val="0"/>
          <w:sz w:val="20"/>
          <w:szCs w:val="20"/>
        </w:rPr>
        <w:t>、</w:t>
      </w:r>
      <w:r w:rsidRPr="00395C73">
        <w:rPr>
          <w:rFonts w:ascii="Arial" w:eastAsia="宋体" w:hAnsi="Arial" w:cs="Arial"/>
          <w:kern w:val="0"/>
          <w:sz w:val="20"/>
          <w:szCs w:val="20"/>
        </w:rPr>
        <w:t>Rifampin</w:t>
      </w:r>
      <w:r w:rsidRPr="00395C73">
        <w:rPr>
          <w:rFonts w:ascii="Arial" w:eastAsia="宋体" w:hAnsi="Arial" w:cs="Arial"/>
          <w:kern w:val="0"/>
          <w:sz w:val="20"/>
          <w:szCs w:val="20"/>
        </w:rPr>
        <w:t>、</w:t>
      </w:r>
      <w:r w:rsidRPr="00395C73">
        <w:rPr>
          <w:rFonts w:ascii="Arial" w:eastAsia="宋体" w:hAnsi="Arial" w:cs="Arial"/>
          <w:kern w:val="0"/>
          <w:sz w:val="20"/>
          <w:szCs w:val="20"/>
        </w:rPr>
        <w:t>Rifant</w:t>
      </w:r>
      <w:r w:rsidRPr="00395C73">
        <w:rPr>
          <w:rFonts w:ascii="Arial" w:eastAsia="宋体" w:hAnsi="Arial" w:cs="Arial"/>
          <w:kern w:val="0"/>
          <w:sz w:val="20"/>
          <w:szCs w:val="20"/>
        </w:rPr>
        <w:t>、</w:t>
      </w:r>
      <w:r w:rsidRPr="00395C73">
        <w:rPr>
          <w:rFonts w:ascii="Arial" w:eastAsia="宋体" w:hAnsi="Arial" w:cs="Arial"/>
          <w:kern w:val="0"/>
          <w:sz w:val="20"/>
          <w:szCs w:val="20"/>
        </w:rPr>
        <w:t>Rifasynt</w:t>
      </w:r>
      <w:r w:rsidRPr="00395C73">
        <w:rPr>
          <w:rFonts w:ascii="Arial" w:eastAsia="宋体" w:hAnsi="Arial" w:cs="Arial"/>
          <w:kern w:val="0"/>
          <w:sz w:val="20"/>
          <w:szCs w:val="20"/>
        </w:rPr>
        <w:t>、</w:t>
      </w:r>
      <w:r w:rsidRPr="00395C73">
        <w:rPr>
          <w:rFonts w:ascii="Arial" w:eastAsia="宋体" w:hAnsi="Arial" w:cs="Arial"/>
          <w:kern w:val="0"/>
          <w:sz w:val="20"/>
          <w:szCs w:val="20"/>
        </w:rPr>
        <w:t>Rimactan</w:t>
      </w:r>
      <w:r w:rsidRPr="00395C73">
        <w:rPr>
          <w:rFonts w:ascii="Arial" w:eastAsia="宋体" w:hAnsi="Arial" w:cs="Arial"/>
          <w:kern w:val="0"/>
          <w:sz w:val="20"/>
          <w:szCs w:val="20"/>
        </w:rPr>
        <w:t>、</w:t>
      </w:r>
      <w:r w:rsidRPr="00395C73">
        <w:rPr>
          <w:rFonts w:ascii="Arial" w:eastAsia="宋体" w:hAnsi="Arial" w:cs="Arial"/>
          <w:kern w:val="0"/>
          <w:sz w:val="20"/>
          <w:szCs w:val="20"/>
        </w:rPr>
        <w:t>Rimactane</w:t>
      </w:r>
      <w:r w:rsidRPr="00395C73">
        <w:rPr>
          <w:rFonts w:ascii="Arial" w:eastAsia="宋体" w:hAnsi="Arial" w:cs="Arial"/>
          <w:kern w:val="0"/>
          <w:sz w:val="20"/>
          <w:szCs w:val="20"/>
        </w:rPr>
        <w:t>、</w:t>
      </w:r>
      <w:r w:rsidRPr="00395C73">
        <w:rPr>
          <w:rFonts w:ascii="Arial" w:eastAsia="宋体" w:hAnsi="Arial" w:cs="Arial"/>
          <w:kern w:val="0"/>
          <w:sz w:val="20"/>
          <w:szCs w:val="20"/>
        </w:rPr>
        <w:t>Santadin</w:t>
      </w:r>
      <w:r w:rsidRPr="00395C73">
        <w:rPr>
          <w:rFonts w:ascii="Arial" w:eastAsia="宋体" w:hAnsi="Arial" w:cs="Arial"/>
          <w:kern w:val="0"/>
          <w:sz w:val="20"/>
          <w:szCs w:val="20"/>
        </w:rPr>
        <w:t>、</w:t>
      </w:r>
      <w:r w:rsidRPr="00395C73">
        <w:rPr>
          <w:rFonts w:ascii="Arial" w:eastAsia="宋体" w:hAnsi="Arial" w:cs="Arial"/>
          <w:kern w:val="0"/>
          <w:sz w:val="20"/>
          <w:szCs w:val="20"/>
        </w:rPr>
        <w:t>Syntoren</w:t>
      </w:r>
      <w:r w:rsidRPr="00395C73">
        <w:rPr>
          <w:rFonts w:ascii="Arial" w:eastAsia="宋体" w:hAnsi="Arial" w:cs="Arial"/>
          <w:kern w:val="0"/>
          <w:sz w:val="20"/>
          <w:szCs w:val="20"/>
        </w:rPr>
        <w:t>、</w:t>
      </w:r>
      <w:r w:rsidRPr="00395C73">
        <w:rPr>
          <w:rFonts w:ascii="Arial" w:eastAsia="宋体" w:hAnsi="Arial" w:cs="Arial"/>
          <w:kern w:val="0"/>
          <w:sz w:val="20"/>
          <w:szCs w:val="20"/>
        </w:rPr>
        <w:t>Tubocin</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【药理分类】</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皮肤及皮下用药</w:t>
      </w:r>
      <w:r w:rsidRPr="00395C73">
        <w:rPr>
          <w:rFonts w:ascii="Arial" w:eastAsia="宋体" w:hAnsi="Arial" w:cs="Arial"/>
          <w:kern w:val="0"/>
          <w:sz w:val="20"/>
          <w:szCs w:val="20"/>
        </w:rPr>
        <w:t>&gt;&gt;</w:t>
      </w:r>
      <w:r w:rsidRPr="00395C73">
        <w:rPr>
          <w:rFonts w:ascii="Arial" w:eastAsia="宋体" w:hAnsi="Arial" w:cs="Arial"/>
          <w:kern w:val="0"/>
          <w:sz w:val="20"/>
          <w:szCs w:val="20"/>
        </w:rPr>
        <w:t>皮肤抗感染药</w:t>
      </w:r>
      <w:r w:rsidRPr="00395C73">
        <w:rPr>
          <w:rFonts w:ascii="Arial" w:eastAsia="宋体" w:hAnsi="Arial" w:cs="Arial"/>
          <w:kern w:val="0"/>
          <w:sz w:val="20"/>
          <w:szCs w:val="20"/>
        </w:rPr>
        <w:t>&gt;&gt;</w:t>
      </w:r>
      <w:r w:rsidRPr="00395C73">
        <w:rPr>
          <w:rFonts w:ascii="Arial" w:eastAsia="宋体" w:hAnsi="Arial" w:cs="Arial"/>
          <w:kern w:val="0"/>
          <w:sz w:val="20"/>
          <w:szCs w:val="20"/>
        </w:rPr>
        <w:t>皮肤抗细菌药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眼科用药</w:t>
      </w:r>
      <w:r w:rsidRPr="00395C73">
        <w:rPr>
          <w:rFonts w:ascii="Arial" w:eastAsia="宋体" w:hAnsi="Arial" w:cs="Arial"/>
          <w:kern w:val="0"/>
          <w:sz w:val="20"/>
          <w:szCs w:val="20"/>
        </w:rPr>
        <w:t>&gt;&gt;</w:t>
      </w:r>
      <w:r w:rsidRPr="00395C73">
        <w:rPr>
          <w:rFonts w:ascii="Arial" w:eastAsia="宋体" w:hAnsi="Arial" w:cs="Arial"/>
          <w:kern w:val="0"/>
          <w:sz w:val="20"/>
          <w:szCs w:val="20"/>
        </w:rPr>
        <w:t>眼用抗细菌药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抗感染药</w:t>
      </w:r>
      <w:r w:rsidRPr="00395C73">
        <w:rPr>
          <w:rFonts w:ascii="Arial" w:eastAsia="宋体" w:hAnsi="Arial" w:cs="Arial"/>
          <w:kern w:val="0"/>
          <w:sz w:val="20"/>
          <w:szCs w:val="20"/>
        </w:rPr>
        <w:t>&gt;&gt;</w:t>
      </w:r>
      <w:r w:rsidRPr="00395C73">
        <w:rPr>
          <w:rFonts w:ascii="Arial" w:eastAsia="宋体" w:hAnsi="Arial" w:cs="Arial"/>
          <w:kern w:val="0"/>
          <w:sz w:val="20"/>
          <w:szCs w:val="20"/>
        </w:rPr>
        <w:t>抗生素</w:t>
      </w:r>
      <w:r w:rsidRPr="00395C73">
        <w:rPr>
          <w:rFonts w:ascii="Arial" w:eastAsia="宋体" w:hAnsi="Arial" w:cs="Arial"/>
          <w:kern w:val="0"/>
          <w:sz w:val="20"/>
          <w:szCs w:val="20"/>
        </w:rPr>
        <w:t>&gt;&gt;</w:t>
      </w:r>
      <w:r w:rsidRPr="00395C73">
        <w:rPr>
          <w:rFonts w:ascii="Arial" w:eastAsia="宋体" w:hAnsi="Arial" w:cs="Arial"/>
          <w:kern w:val="0"/>
          <w:sz w:val="20"/>
          <w:szCs w:val="20"/>
        </w:rPr>
        <w:t>其它抗生素</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抗感染药</w:t>
      </w:r>
      <w:r w:rsidRPr="00395C73">
        <w:rPr>
          <w:rFonts w:ascii="Arial" w:eastAsia="宋体" w:hAnsi="Arial" w:cs="Arial"/>
          <w:kern w:val="0"/>
          <w:sz w:val="20"/>
          <w:szCs w:val="20"/>
        </w:rPr>
        <w:t>&gt;&gt;</w:t>
      </w:r>
      <w:r w:rsidRPr="00395C73">
        <w:rPr>
          <w:rFonts w:ascii="Arial" w:eastAsia="宋体" w:hAnsi="Arial" w:cs="Arial"/>
          <w:kern w:val="0"/>
          <w:sz w:val="20"/>
          <w:szCs w:val="20"/>
        </w:rPr>
        <w:t>抗分枝杆菌药</w:t>
      </w:r>
      <w:r w:rsidRPr="00395C73">
        <w:rPr>
          <w:rFonts w:ascii="Arial" w:eastAsia="宋体" w:hAnsi="Arial" w:cs="Arial"/>
          <w:kern w:val="0"/>
          <w:sz w:val="20"/>
          <w:szCs w:val="20"/>
        </w:rPr>
        <w:t>&gt;&gt;</w:t>
      </w:r>
      <w:r w:rsidRPr="00395C73">
        <w:rPr>
          <w:rFonts w:ascii="Arial" w:eastAsia="宋体" w:hAnsi="Arial" w:cs="Arial"/>
          <w:kern w:val="0"/>
          <w:sz w:val="20"/>
          <w:szCs w:val="20"/>
        </w:rPr>
        <w:t>抗结核病药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抗感染药</w:t>
      </w:r>
      <w:r w:rsidRPr="00395C73">
        <w:rPr>
          <w:rFonts w:ascii="Arial" w:eastAsia="宋体" w:hAnsi="Arial" w:cs="Arial"/>
          <w:kern w:val="0"/>
          <w:sz w:val="20"/>
          <w:szCs w:val="20"/>
        </w:rPr>
        <w:t>&gt;&gt;</w:t>
      </w:r>
      <w:r w:rsidRPr="00395C73">
        <w:rPr>
          <w:rFonts w:ascii="Arial" w:eastAsia="宋体" w:hAnsi="Arial" w:cs="Arial"/>
          <w:kern w:val="0"/>
          <w:sz w:val="20"/>
          <w:szCs w:val="20"/>
        </w:rPr>
        <w:t>抗分枝杆菌药</w:t>
      </w:r>
      <w:r w:rsidRPr="00395C73">
        <w:rPr>
          <w:rFonts w:ascii="Arial" w:eastAsia="宋体" w:hAnsi="Arial" w:cs="Arial"/>
          <w:kern w:val="0"/>
          <w:sz w:val="20"/>
          <w:szCs w:val="20"/>
        </w:rPr>
        <w:t>&gt;&gt;</w:t>
      </w:r>
      <w:r w:rsidRPr="00395C73">
        <w:rPr>
          <w:rFonts w:ascii="Arial" w:eastAsia="宋体" w:hAnsi="Arial" w:cs="Arial"/>
          <w:kern w:val="0"/>
          <w:sz w:val="20"/>
          <w:szCs w:val="20"/>
        </w:rPr>
        <w:t>抗麻风病药及抗麻风病反应药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【临床应用】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CFDA</w:t>
      </w:r>
      <w:r w:rsidRPr="00395C73">
        <w:rPr>
          <w:rFonts w:ascii="Arial" w:eastAsia="宋体" w:hAnsi="Arial" w:cs="Arial"/>
          <w:b/>
          <w:bCs/>
          <w:kern w:val="0"/>
          <w:sz w:val="20"/>
          <w:szCs w:val="20"/>
        </w:rPr>
        <w:t>说明书适应症</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与其他抗结核药联用于结核病的初治与复治，包括结核性脑膜炎的治疗。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用于无症状脑膜炎球菌带菌者，以消除鼻咽部奈瑟脑膜炎球菌。</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与其他药物联用于麻风、非结核分枝杆菌感染的治疗。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与万古霉素</w:t>
      </w:r>
      <w:r w:rsidRPr="00395C73">
        <w:rPr>
          <w:rFonts w:ascii="Arial" w:eastAsia="宋体" w:hAnsi="Arial" w:cs="Arial"/>
          <w:kern w:val="0"/>
          <w:sz w:val="20"/>
          <w:szCs w:val="20"/>
        </w:rPr>
        <w:t>(</w:t>
      </w:r>
      <w:r w:rsidRPr="00395C73">
        <w:rPr>
          <w:rFonts w:ascii="Arial" w:eastAsia="宋体" w:hAnsi="Arial" w:cs="Arial"/>
          <w:kern w:val="0"/>
          <w:sz w:val="20"/>
          <w:szCs w:val="20"/>
        </w:rPr>
        <w:t>静脉</w:t>
      </w:r>
      <w:r w:rsidRPr="00395C73">
        <w:rPr>
          <w:rFonts w:ascii="Arial" w:eastAsia="宋体" w:hAnsi="Arial" w:cs="Arial"/>
          <w:kern w:val="0"/>
          <w:sz w:val="20"/>
          <w:szCs w:val="20"/>
        </w:rPr>
        <w:t>)</w:t>
      </w:r>
      <w:r w:rsidRPr="00395C73">
        <w:rPr>
          <w:rFonts w:ascii="Arial" w:eastAsia="宋体" w:hAnsi="Arial" w:cs="Arial"/>
          <w:kern w:val="0"/>
          <w:sz w:val="20"/>
          <w:szCs w:val="20"/>
        </w:rPr>
        <w:t>联用于甲氧西林耐药葡萄球菌所致的严重感染。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与红霉素联用于军团菌属严重感染。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w:t>
      </w:r>
      <w:r w:rsidRPr="00395C73">
        <w:rPr>
          <w:rFonts w:ascii="Arial" w:eastAsia="宋体" w:hAnsi="Arial" w:cs="Arial"/>
          <w:kern w:val="0"/>
          <w:sz w:val="20"/>
          <w:szCs w:val="20"/>
        </w:rPr>
        <w:t>本药滴眼液用于沙眼、结膜炎、角膜炎。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其他临床应用参考</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1.</w:t>
      </w:r>
      <w:r w:rsidRPr="00395C73">
        <w:rPr>
          <w:rFonts w:ascii="Arial" w:eastAsia="宋体" w:hAnsi="Arial" w:cs="Arial"/>
          <w:kern w:val="0"/>
          <w:sz w:val="20"/>
          <w:szCs w:val="20"/>
        </w:rPr>
        <w:t>用于人类免疫缺陷病毒</w:t>
      </w:r>
      <w:r w:rsidRPr="00395C73">
        <w:rPr>
          <w:rFonts w:ascii="Arial" w:eastAsia="宋体" w:hAnsi="Arial" w:cs="Arial"/>
          <w:kern w:val="0"/>
          <w:sz w:val="20"/>
          <w:szCs w:val="20"/>
        </w:rPr>
        <w:t>(HIV)</w:t>
      </w:r>
      <w:r w:rsidRPr="00395C73">
        <w:rPr>
          <w:rFonts w:ascii="Arial" w:eastAsia="宋体" w:hAnsi="Arial" w:cs="Arial"/>
          <w:kern w:val="0"/>
          <w:sz w:val="20"/>
          <w:szCs w:val="20"/>
        </w:rPr>
        <w:t>感染患者的活动性结核病。</w:t>
      </w:r>
      <w:r w:rsidRPr="00395C73">
        <w:rPr>
          <w:rFonts w:ascii="Arial" w:eastAsia="宋体" w:hAnsi="Arial" w:cs="Arial"/>
          <w:kern w:val="0"/>
          <w:sz w:val="20"/>
          <w:szCs w:val="20"/>
        </w:rPr>
        <w:t>(FDA</w:t>
      </w:r>
      <w:r w:rsidRPr="00395C73">
        <w:rPr>
          <w:rFonts w:ascii="Arial" w:eastAsia="宋体" w:hAnsi="Arial" w:cs="Arial"/>
          <w:kern w:val="0"/>
          <w:sz w:val="20"/>
          <w:szCs w:val="20"/>
        </w:rPr>
        <w:t>批准适应症</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用于</w:t>
      </w:r>
      <w:r w:rsidRPr="00395C73">
        <w:rPr>
          <w:rFonts w:ascii="Arial" w:eastAsia="宋体" w:hAnsi="Arial" w:cs="Arial"/>
          <w:kern w:val="0"/>
          <w:sz w:val="20"/>
          <w:szCs w:val="20"/>
        </w:rPr>
        <w:t>HIV</w:t>
      </w:r>
      <w:r w:rsidRPr="00395C73">
        <w:rPr>
          <w:rFonts w:ascii="Arial" w:eastAsia="宋体" w:hAnsi="Arial" w:cs="Arial"/>
          <w:kern w:val="0"/>
          <w:sz w:val="20"/>
          <w:szCs w:val="20"/>
        </w:rPr>
        <w:t>感染患者的非活动性结核病。</w:t>
      </w:r>
      <w:r w:rsidRPr="00395C73">
        <w:rPr>
          <w:rFonts w:ascii="Arial" w:eastAsia="宋体" w:hAnsi="Arial" w:cs="Arial"/>
          <w:kern w:val="0"/>
          <w:sz w:val="20"/>
          <w:szCs w:val="20"/>
        </w:rPr>
        <w:t>(FDA</w:t>
      </w:r>
      <w:r w:rsidRPr="00395C73">
        <w:rPr>
          <w:rFonts w:ascii="Arial" w:eastAsia="宋体" w:hAnsi="Arial" w:cs="Arial"/>
          <w:kern w:val="0"/>
          <w:sz w:val="20"/>
          <w:szCs w:val="20"/>
        </w:rPr>
        <w:t>批准适应症</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用于感染性心内膜炎。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用于肺部鸟分枝杆菌复合物感染。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用于布鲁杆菌病的辅助治疗。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【用法与用量】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成人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常规剂量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结核病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一日</w:t>
      </w:r>
      <w:r w:rsidRPr="00395C73">
        <w:rPr>
          <w:rFonts w:ascii="Arial" w:eastAsia="宋体" w:hAnsi="Arial" w:cs="Arial"/>
          <w:kern w:val="0"/>
          <w:sz w:val="20"/>
          <w:szCs w:val="20"/>
        </w:rPr>
        <w:t>450-600mg</w:t>
      </w:r>
      <w:r w:rsidRPr="00395C73">
        <w:rPr>
          <w:rFonts w:ascii="Arial" w:eastAsia="宋体" w:hAnsi="Arial" w:cs="Arial"/>
          <w:kern w:val="0"/>
          <w:sz w:val="20"/>
          <w:szCs w:val="20"/>
        </w:rPr>
        <w:t>，空腹顿服。最大日剂量为</w:t>
      </w:r>
      <w:r w:rsidRPr="00395C73">
        <w:rPr>
          <w:rFonts w:ascii="Arial" w:eastAsia="宋体" w:hAnsi="Arial" w:cs="Arial"/>
          <w:kern w:val="0"/>
          <w:sz w:val="20"/>
          <w:szCs w:val="20"/>
        </w:rPr>
        <w:t>1200mg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600mg(</w:t>
      </w:r>
      <w:r w:rsidRPr="00395C73">
        <w:rPr>
          <w:rFonts w:ascii="Arial" w:eastAsia="宋体" w:hAnsi="Arial" w:cs="Arial"/>
          <w:kern w:val="0"/>
          <w:sz w:val="20"/>
          <w:szCs w:val="20"/>
        </w:rPr>
        <w:t>或</w:t>
      </w:r>
      <w:r w:rsidRPr="00395C73">
        <w:rPr>
          <w:rFonts w:ascii="Arial" w:eastAsia="宋体" w:hAnsi="Arial" w:cs="Arial"/>
          <w:kern w:val="0"/>
          <w:sz w:val="20"/>
          <w:szCs w:val="20"/>
        </w:rPr>
        <w:t>10mg/kg)</w:t>
      </w:r>
      <w:r w:rsidRPr="00395C73">
        <w:rPr>
          <w:rFonts w:ascii="Arial" w:eastAsia="宋体" w:hAnsi="Arial" w:cs="Arial"/>
          <w:kern w:val="0"/>
          <w:sz w:val="20"/>
          <w:szCs w:val="20"/>
        </w:rPr>
        <w:t>，一日</w:t>
      </w:r>
      <w:r w:rsidRPr="00395C73">
        <w:rPr>
          <w:rFonts w:ascii="Arial" w:eastAsia="宋体" w:hAnsi="Arial" w:cs="Arial"/>
          <w:kern w:val="0"/>
          <w:sz w:val="20"/>
          <w:szCs w:val="20"/>
        </w:rPr>
        <w:t>1</w:t>
      </w:r>
      <w:r w:rsidRPr="00395C73">
        <w:rPr>
          <w:rFonts w:ascii="Arial" w:eastAsia="宋体" w:hAnsi="Arial" w:cs="Arial"/>
          <w:kern w:val="0"/>
          <w:sz w:val="20"/>
          <w:szCs w:val="20"/>
        </w:rPr>
        <w:t>次。最大日剂量为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脑膜炎球菌带菌者</w:t>
      </w:r>
      <w:r w:rsidRPr="00395C73">
        <w:rPr>
          <w:rFonts w:ascii="Arial" w:eastAsia="宋体" w:hAnsi="Arial" w:cs="Arial"/>
          <w:kern w:val="0"/>
          <w:sz w:val="20"/>
          <w:szCs w:val="20"/>
        </w:rPr>
        <w:t>(</w:t>
      </w:r>
      <w:r w:rsidRPr="00395C73">
        <w:rPr>
          <w:rFonts w:ascii="Arial" w:eastAsia="宋体" w:hAnsi="Arial" w:cs="Arial"/>
          <w:kern w:val="0"/>
          <w:sz w:val="20"/>
          <w:szCs w:val="20"/>
        </w:rPr>
        <w:t>无症状</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5mg/kg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次，连服</w:t>
      </w:r>
      <w:r w:rsidRPr="00395C73">
        <w:rPr>
          <w:rFonts w:ascii="Arial" w:eastAsia="宋体" w:hAnsi="Arial" w:cs="Arial"/>
          <w:kern w:val="0"/>
          <w:sz w:val="20"/>
          <w:szCs w:val="20"/>
        </w:rPr>
        <w:t>2</w:t>
      </w:r>
      <w:r w:rsidRPr="00395C73">
        <w:rPr>
          <w:rFonts w:ascii="Arial" w:eastAsia="宋体" w:hAnsi="Arial" w:cs="Arial"/>
          <w:kern w:val="0"/>
          <w:sz w:val="20"/>
          <w:szCs w:val="20"/>
        </w:rPr>
        <w:t>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军团菌或重症葡萄球菌感染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一日</w:t>
      </w:r>
      <w:r w:rsidRPr="00395C73">
        <w:rPr>
          <w:rFonts w:ascii="Arial" w:eastAsia="宋体" w:hAnsi="Arial" w:cs="Arial"/>
          <w:kern w:val="0"/>
          <w:sz w:val="20"/>
          <w:szCs w:val="20"/>
        </w:rPr>
        <w:t>600-1200mg</w:t>
      </w:r>
      <w:r w:rsidRPr="00395C73">
        <w:rPr>
          <w:rFonts w:ascii="Arial" w:eastAsia="宋体" w:hAnsi="Arial" w:cs="Arial"/>
          <w:kern w:val="0"/>
          <w:sz w:val="20"/>
          <w:szCs w:val="20"/>
        </w:rPr>
        <w:t>，分</w:t>
      </w:r>
      <w:r w:rsidRPr="00395C73">
        <w:rPr>
          <w:rFonts w:ascii="Arial" w:eastAsia="宋体" w:hAnsi="Arial" w:cs="Arial"/>
          <w:kern w:val="0"/>
          <w:sz w:val="20"/>
          <w:szCs w:val="20"/>
        </w:rPr>
        <w:t>2-4</w:t>
      </w:r>
      <w:r w:rsidRPr="00395C73">
        <w:rPr>
          <w:rFonts w:ascii="Arial" w:eastAsia="宋体" w:hAnsi="Arial" w:cs="Arial"/>
          <w:kern w:val="0"/>
          <w:sz w:val="20"/>
          <w:szCs w:val="20"/>
        </w:rPr>
        <w:t>次给药。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沙眼、结膜炎、角膜炎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经眼给药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滴眼液：一次</w:t>
      </w:r>
      <w:r w:rsidRPr="00395C73">
        <w:rPr>
          <w:rFonts w:ascii="Arial" w:eastAsia="宋体" w:hAnsi="Arial" w:cs="Arial"/>
          <w:kern w:val="0"/>
          <w:sz w:val="20"/>
          <w:szCs w:val="20"/>
        </w:rPr>
        <w:t>1-2</w:t>
      </w:r>
      <w:r w:rsidRPr="00395C73">
        <w:rPr>
          <w:rFonts w:ascii="Arial" w:eastAsia="宋体" w:hAnsi="Arial" w:cs="Arial"/>
          <w:kern w:val="0"/>
          <w:sz w:val="20"/>
          <w:szCs w:val="20"/>
        </w:rPr>
        <w:t>滴，一日</w:t>
      </w:r>
      <w:r w:rsidRPr="00395C73">
        <w:rPr>
          <w:rFonts w:ascii="Arial" w:eastAsia="宋体" w:hAnsi="Arial" w:cs="Arial"/>
          <w:kern w:val="0"/>
          <w:sz w:val="20"/>
          <w:szCs w:val="20"/>
        </w:rPr>
        <w:t>4-6</w:t>
      </w:r>
      <w:r w:rsidRPr="00395C73">
        <w:rPr>
          <w:rFonts w:ascii="Arial" w:eastAsia="宋体" w:hAnsi="Arial" w:cs="Arial"/>
          <w:kern w:val="0"/>
          <w:sz w:val="20"/>
          <w:szCs w:val="20"/>
        </w:rPr>
        <w:t>次。治疗沙眼的疗程为</w:t>
      </w:r>
      <w:r w:rsidRPr="00395C73">
        <w:rPr>
          <w:rFonts w:ascii="Arial" w:eastAsia="宋体" w:hAnsi="Arial" w:cs="Arial"/>
          <w:kern w:val="0"/>
          <w:sz w:val="20"/>
          <w:szCs w:val="20"/>
        </w:rPr>
        <w:t>6</w:t>
      </w:r>
      <w:r w:rsidRPr="00395C73">
        <w:rPr>
          <w:rFonts w:ascii="Arial" w:eastAsia="宋体" w:hAnsi="Arial" w:cs="Arial"/>
          <w:kern w:val="0"/>
          <w:sz w:val="20"/>
          <w:szCs w:val="20"/>
        </w:rPr>
        <w:t>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肾功能不全时剂量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肾功能减退者无需减量。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肝功能不全时剂量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肝功能不全者需减量，一日不超过</w:t>
      </w:r>
      <w:r w:rsidRPr="00395C73">
        <w:rPr>
          <w:rFonts w:ascii="Arial" w:eastAsia="宋体" w:hAnsi="Arial" w:cs="Arial"/>
          <w:kern w:val="0"/>
          <w:sz w:val="20"/>
          <w:szCs w:val="20"/>
        </w:rPr>
        <w:t>8mg/kg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老年人剂量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老年人肝功能减退，应减量，一日</w:t>
      </w:r>
      <w:r w:rsidRPr="00395C73">
        <w:rPr>
          <w:rFonts w:ascii="Arial" w:eastAsia="宋体" w:hAnsi="Arial" w:cs="Arial"/>
          <w:kern w:val="0"/>
          <w:sz w:val="20"/>
          <w:szCs w:val="20"/>
        </w:rPr>
        <w:t>10mg/kg</w:t>
      </w:r>
      <w:r w:rsidRPr="00395C73">
        <w:rPr>
          <w:rFonts w:ascii="Arial" w:eastAsia="宋体" w:hAnsi="Arial" w:cs="Arial"/>
          <w:kern w:val="0"/>
          <w:sz w:val="20"/>
          <w:szCs w:val="20"/>
        </w:rPr>
        <w:t>，空腹顿服。</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儿童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常规剂量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结核病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(1)1</w:t>
      </w:r>
      <w:r w:rsidRPr="00395C73">
        <w:rPr>
          <w:rFonts w:ascii="Arial" w:eastAsia="宋体" w:hAnsi="Arial" w:cs="Arial"/>
          <w:kern w:val="0"/>
          <w:sz w:val="20"/>
          <w:szCs w:val="20"/>
        </w:rPr>
        <w:t>个月以上儿童，一日</w:t>
      </w:r>
      <w:r w:rsidRPr="00395C73">
        <w:rPr>
          <w:rFonts w:ascii="Arial" w:eastAsia="宋体" w:hAnsi="Arial" w:cs="Arial"/>
          <w:kern w:val="0"/>
          <w:sz w:val="20"/>
          <w:szCs w:val="20"/>
        </w:rPr>
        <w:t>10-20mg/kg</w:t>
      </w:r>
      <w:r w:rsidRPr="00395C73">
        <w:rPr>
          <w:rFonts w:ascii="Arial" w:eastAsia="宋体" w:hAnsi="Arial" w:cs="Arial"/>
          <w:kern w:val="0"/>
          <w:sz w:val="20"/>
          <w:szCs w:val="20"/>
        </w:rPr>
        <w:t>，空腹顿服。最大日剂量为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w:t>
      </w:r>
      <w:r w:rsidRPr="00395C73">
        <w:rPr>
          <w:rFonts w:ascii="Arial" w:eastAsia="宋体" w:hAnsi="Arial" w:cs="Arial"/>
          <w:kern w:val="0"/>
          <w:sz w:val="20"/>
          <w:szCs w:val="20"/>
        </w:rPr>
        <w:t>(2)</w:t>
      </w:r>
      <w:r w:rsidRPr="00395C73">
        <w:rPr>
          <w:rFonts w:ascii="Arial" w:eastAsia="宋体" w:hAnsi="Arial" w:cs="Arial"/>
          <w:kern w:val="0"/>
          <w:sz w:val="20"/>
          <w:szCs w:val="20"/>
        </w:rPr>
        <w:t>新生儿，一次</w:t>
      </w:r>
      <w:r w:rsidRPr="00395C73">
        <w:rPr>
          <w:rFonts w:ascii="Arial" w:eastAsia="宋体" w:hAnsi="Arial" w:cs="Arial"/>
          <w:kern w:val="0"/>
          <w:sz w:val="20"/>
          <w:szCs w:val="20"/>
        </w:rPr>
        <w:t>5mg/kg</w:t>
      </w:r>
      <w:r w:rsidRPr="00395C73">
        <w:rPr>
          <w:rFonts w:ascii="Arial" w:eastAsia="宋体" w:hAnsi="Arial" w:cs="Arial"/>
          <w:kern w:val="0"/>
          <w:sz w:val="20"/>
          <w:szCs w:val="20"/>
        </w:rPr>
        <w:t>，一日</w:t>
      </w:r>
      <w:r w:rsidRPr="00395C73">
        <w:rPr>
          <w:rFonts w:ascii="Arial" w:eastAsia="宋体" w:hAnsi="Arial" w:cs="Arial"/>
          <w:kern w:val="0"/>
          <w:sz w:val="20"/>
          <w:szCs w:val="20"/>
        </w:rPr>
        <w:t>2</w:t>
      </w:r>
      <w:r w:rsidRPr="00395C73">
        <w:rPr>
          <w:rFonts w:ascii="Arial" w:eastAsia="宋体" w:hAnsi="Arial" w:cs="Arial"/>
          <w:kern w:val="0"/>
          <w:sz w:val="20"/>
          <w:szCs w:val="20"/>
        </w:rPr>
        <w:t>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10-20mg/kg</w:t>
      </w:r>
      <w:r w:rsidRPr="00395C73">
        <w:rPr>
          <w:rFonts w:ascii="Arial" w:eastAsia="宋体" w:hAnsi="Arial" w:cs="Arial"/>
          <w:kern w:val="0"/>
          <w:sz w:val="20"/>
          <w:szCs w:val="20"/>
        </w:rPr>
        <w:t>，一日</w:t>
      </w:r>
      <w:r w:rsidRPr="00395C73">
        <w:rPr>
          <w:rFonts w:ascii="Arial" w:eastAsia="宋体" w:hAnsi="Arial" w:cs="Arial"/>
          <w:kern w:val="0"/>
          <w:sz w:val="20"/>
          <w:szCs w:val="20"/>
        </w:rPr>
        <w:t>1</w:t>
      </w:r>
      <w:r w:rsidRPr="00395C73">
        <w:rPr>
          <w:rFonts w:ascii="Arial" w:eastAsia="宋体" w:hAnsi="Arial" w:cs="Arial"/>
          <w:kern w:val="0"/>
          <w:sz w:val="20"/>
          <w:szCs w:val="20"/>
        </w:rPr>
        <w:t>次，最大日剂量为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脑膜炎球菌带菌者</w:t>
      </w:r>
      <w:r w:rsidRPr="00395C73">
        <w:rPr>
          <w:rFonts w:ascii="Arial" w:eastAsia="宋体" w:hAnsi="Arial" w:cs="Arial"/>
          <w:kern w:val="0"/>
          <w:sz w:val="20"/>
          <w:szCs w:val="20"/>
        </w:rPr>
        <w:t>(</w:t>
      </w:r>
      <w:r w:rsidRPr="00395C73">
        <w:rPr>
          <w:rFonts w:ascii="Arial" w:eastAsia="宋体" w:hAnsi="Arial" w:cs="Arial"/>
          <w:kern w:val="0"/>
          <w:sz w:val="20"/>
          <w:szCs w:val="20"/>
        </w:rPr>
        <w:t>无症状</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1</w:t>
      </w:r>
      <w:r w:rsidRPr="00395C73">
        <w:rPr>
          <w:rFonts w:ascii="Arial" w:eastAsia="宋体" w:hAnsi="Arial" w:cs="Arial"/>
          <w:kern w:val="0"/>
          <w:sz w:val="20"/>
          <w:szCs w:val="20"/>
        </w:rPr>
        <w:t>个月以上儿童，一次</w:t>
      </w:r>
      <w:r w:rsidRPr="00395C73">
        <w:rPr>
          <w:rFonts w:ascii="Arial" w:eastAsia="宋体" w:hAnsi="Arial" w:cs="Arial"/>
          <w:kern w:val="0"/>
          <w:sz w:val="20"/>
          <w:szCs w:val="20"/>
        </w:rPr>
        <w:t>5mg/kg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次，连服</w:t>
      </w:r>
      <w:r w:rsidRPr="00395C73">
        <w:rPr>
          <w:rFonts w:ascii="Arial" w:eastAsia="宋体" w:hAnsi="Arial" w:cs="Arial"/>
          <w:kern w:val="0"/>
          <w:sz w:val="20"/>
          <w:szCs w:val="20"/>
        </w:rPr>
        <w:t>4</w:t>
      </w:r>
      <w:r w:rsidRPr="00395C73">
        <w:rPr>
          <w:rFonts w:ascii="Arial" w:eastAsia="宋体" w:hAnsi="Arial" w:cs="Arial"/>
          <w:kern w:val="0"/>
          <w:sz w:val="20"/>
          <w:szCs w:val="20"/>
        </w:rPr>
        <w:t>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【国外用法用量参考】</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成人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常规剂量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活动性肺结核、非活动性肺结核、复发性肺结核、肺外结核、</w:t>
      </w:r>
      <w:r w:rsidRPr="00395C73">
        <w:rPr>
          <w:rFonts w:ascii="Arial" w:eastAsia="宋体" w:hAnsi="Arial" w:cs="Arial"/>
          <w:kern w:val="0"/>
          <w:sz w:val="20"/>
          <w:szCs w:val="20"/>
        </w:rPr>
        <w:t>HIV</w:t>
      </w:r>
      <w:r w:rsidRPr="00395C73">
        <w:rPr>
          <w:rFonts w:ascii="Arial" w:eastAsia="宋体" w:hAnsi="Arial" w:cs="Arial"/>
          <w:kern w:val="0"/>
          <w:sz w:val="20"/>
          <w:szCs w:val="20"/>
        </w:rPr>
        <w:t>感染者的活动性肺结核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初始剂量为一日</w:t>
      </w:r>
      <w:r w:rsidRPr="00395C73">
        <w:rPr>
          <w:rFonts w:ascii="Arial" w:eastAsia="宋体" w:hAnsi="Arial" w:cs="Arial"/>
          <w:kern w:val="0"/>
          <w:sz w:val="20"/>
          <w:szCs w:val="20"/>
        </w:rPr>
        <w:t>10mg/kg</w:t>
      </w:r>
      <w:r w:rsidRPr="00395C73">
        <w:rPr>
          <w:rFonts w:ascii="Arial" w:eastAsia="宋体" w:hAnsi="Arial" w:cs="Arial"/>
          <w:kern w:val="0"/>
          <w:sz w:val="20"/>
          <w:szCs w:val="20"/>
        </w:rPr>
        <w:t>，最大日剂量为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。与异烟肼、吡嗪酰胺联合治疗</w:t>
      </w:r>
      <w:r w:rsidRPr="00395C73">
        <w:rPr>
          <w:rFonts w:ascii="Arial" w:eastAsia="宋体" w:hAnsi="Arial" w:cs="Arial"/>
          <w:kern w:val="0"/>
          <w:sz w:val="20"/>
          <w:szCs w:val="20"/>
        </w:rPr>
        <w:t>2</w:t>
      </w:r>
      <w:r w:rsidRPr="00395C73">
        <w:rPr>
          <w:rFonts w:ascii="Arial" w:eastAsia="宋体" w:hAnsi="Arial" w:cs="Arial"/>
          <w:kern w:val="0"/>
          <w:sz w:val="20"/>
          <w:szCs w:val="20"/>
        </w:rPr>
        <w:t>个月后，再与异烟肼联合治疗至少</w:t>
      </w:r>
      <w:r w:rsidRPr="00395C73">
        <w:rPr>
          <w:rFonts w:ascii="Arial" w:eastAsia="宋体" w:hAnsi="Arial" w:cs="Arial"/>
          <w:kern w:val="0"/>
          <w:sz w:val="20"/>
          <w:szCs w:val="20"/>
        </w:rPr>
        <w:t>4</w:t>
      </w:r>
      <w:r w:rsidRPr="00395C73">
        <w:rPr>
          <w:rFonts w:ascii="Arial" w:eastAsia="宋体" w:hAnsi="Arial" w:cs="Arial"/>
          <w:kern w:val="0"/>
          <w:sz w:val="20"/>
          <w:szCs w:val="20"/>
        </w:rPr>
        <w:t>个月。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脑膜炎球菌带菌者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600mg</w:t>
      </w:r>
      <w:r w:rsidRPr="00395C73">
        <w:rPr>
          <w:rFonts w:ascii="Arial" w:eastAsia="宋体" w:hAnsi="Arial" w:cs="Arial"/>
          <w:kern w:val="0"/>
          <w:sz w:val="20"/>
          <w:szCs w:val="20"/>
        </w:rPr>
        <w:t>，一日</w:t>
      </w:r>
      <w:r w:rsidRPr="00395C73">
        <w:rPr>
          <w:rFonts w:ascii="Arial" w:eastAsia="宋体" w:hAnsi="Arial" w:cs="Arial"/>
          <w:kern w:val="0"/>
          <w:sz w:val="20"/>
          <w:szCs w:val="20"/>
        </w:rPr>
        <w:t>2</w:t>
      </w:r>
      <w:r w:rsidRPr="00395C73">
        <w:rPr>
          <w:rFonts w:ascii="Arial" w:eastAsia="宋体" w:hAnsi="Arial" w:cs="Arial"/>
          <w:kern w:val="0"/>
          <w:sz w:val="20"/>
          <w:szCs w:val="20"/>
        </w:rPr>
        <w:t>次，疗程</w:t>
      </w:r>
      <w:r w:rsidRPr="00395C73">
        <w:rPr>
          <w:rFonts w:ascii="Arial" w:eastAsia="宋体" w:hAnsi="Arial" w:cs="Arial"/>
          <w:kern w:val="0"/>
          <w:sz w:val="20"/>
          <w:szCs w:val="20"/>
        </w:rPr>
        <w:t>2</w:t>
      </w:r>
      <w:r w:rsidRPr="00395C73">
        <w:rPr>
          <w:rFonts w:ascii="Arial" w:eastAsia="宋体" w:hAnsi="Arial" w:cs="Arial"/>
          <w:kern w:val="0"/>
          <w:sz w:val="20"/>
          <w:szCs w:val="20"/>
        </w:rPr>
        <w:t>日，单次最大剂量为</w:t>
      </w:r>
      <w:r w:rsidRPr="00395C73">
        <w:rPr>
          <w:rFonts w:ascii="Arial" w:eastAsia="宋体" w:hAnsi="Arial" w:cs="Arial"/>
          <w:kern w:val="0"/>
          <w:sz w:val="20"/>
          <w:szCs w:val="20"/>
        </w:rPr>
        <w:t>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麻风病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600mg</w:t>
      </w:r>
      <w:r w:rsidRPr="00395C73">
        <w:rPr>
          <w:rFonts w:ascii="Arial" w:eastAsia="宋体" w:hAnsi="Arial" w:cs="Arial"/>
          <w:kern w:val="0"/>
          <w:sz w:val="20"/>
          <w:szCs w:val="20"/>
        </w:rPr>
        <w:t>，一日</w:t>
      </w:r>
      <w:r w:rsidRPr="00395C73">
        <w:rPr>
          <w:rFonts w:ascii="Arial" w:eastAsia="宋体" w:hAnsi="Arial" w:cs="Arial"/>
          <w:kern w:val="0"/>
          <w:sz w:val="20"/>
          <w:szCs w:val="20"/>
        </w:rPr>
        <w:t>1</w:t>
      </w:r>
      <w:r w:rsidRPr="00395C73">
        <w:rPr>
          <w:rFonts w:ascii="Arial" w:eastAsia="宋体" w:hAnsi="Arial" w:cs="Arial"/>
          <w:kern w:val="0"/>
          <w:sz w:val="20"/>
          <w:szCs w:val="20"/>
        </w:rPr>
        <w:t>次，与氨苯砜联用，同时加用或不加用氯法齐明。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葡萄球菌感染性疾病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300-600mg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·HIV</w:t>
      </w:r>
      <w:r w:rsidRPr="00395C73">
        <w:rPr>
          <w:rFonts w:ascii="Arial" w:eastAsia="宋体" w:hAnsi="Arial" w:cs="Arial"/>
          <w:kern w:val="0"/>
          <w:sz w:val="20"/>
          <w:szCs w:val="20"/>
        </w:rPr>
        <w:t>感染患者的非活动性肺结核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一日</w:t>
      </w:r>
      <w:r w:rsidRPr="00395C73">
        <w:rPr>
          <w:rFonts w:ascii="Arial" w:eastAsia="宋体" w:hAnsi="Arial" w:cs="Arial"/>
          <w:kern w:val="0"/>
          <w:sz w:val="20"/>
          <w:szCs w:val="20"/>
        </w:rPr>
        <w:t>600mg</w:t>
      </w:r>
      <w:r w:rsidRPr="00395C73">
        <w:rPr>
          <w:rFonts w:ascii="Arial" w:eastAsia="宋体" w:hAnsi="Arial" w:cs="Arial"/>
          <w:kern w:val="0"/>
          <w:sz w:val="20"/>
          <w:szCs w:val="20"/>
        </w:rPr>
        <w:t>，疗程</w:t>
      </w:r>
      <w:r w:rsidRPr="00395C73">
        <w:rPr>
          <w:rFonts w:ascii="Arial" w:eastAsia="宋体" w:hAnsi="Arial" w:cs="Arial"/>
          <w:kern w:val="0"/>
          <w:sz w:val="20"/>
          <w:szCs w:val="20"/>
        </w:rPr>
        <w:t>4</w:t>
      </w:r>
      <w:r w:rsidRPr="00395C73">
        <w:rPr>
          <w:rFonts w:ascii="Arial" w:eastAsia="宋体" w:hAnsi="Arial" w:cs="Arial"/>
          <w:kern w:val="0"/>
          <w:sz w:val="20"/>
          <w:szCs w:val="20"/>
        </w:rPr>
        <w:t>个月。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感染性心内膜炎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(1)</w:t>
      </w:r>
      <w:r w:rsidRPr="00395C73">
        <w:rPr>
          <w:rFonts w:ascii="Arial" w:eastAsia="宋体" w:hAnsi="Arial" w:cs="Arial"/>
          <w:kern w:val="0"/>
          <w:sz w:val="20"/>
          <w:szCs w:val="20"/>
        </w:rPr>
        <w:t>人工瓣膜感染性心内膜炎：一次</w:t>
      </w:r>
      <w:r w:rsidRPr="00395C73">
        <w:rPr>
          <w:rFonts w:ascii="Arial" w:eastAsia="宋体" w:hAnsi="Arial" w:cs="Arial"/>
          <w:kern w:val="0"/>
          <w:sz w:val="20"/>
          <w:szCs w:val="20"/>
        </w:rPr>
        <w:t>300mg</w:t>
      </w:r>
      <w:r w:rsidRPr="00395C73">
        <w:rPr>
          <w:rFonts w:ascii="Arial" w:eastAsia="宋体" w:hAnsi="Arial" w:cs="Arial"/>
          <w:kern w:val="0"/>
          <w:sz w:val="20"/>
          <w:szCs w:val="20"/>
        </w:rPr>
        <w:t>，每</w:t>
      </w:r>
      <w:r w:rsidRPr="00395C73">
        <w:rPr>
          <w:rFonts w:ascii="Arial" w:eastAsia="宋体" w:hAnsi="Arial" w:cs="Arial"/>
          <w:kern w:val="0"/>
          <w:sz w:val="20"/>
          <w:szCs w:val="20"/>
        </w:rPr>
        <w:t>8</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次。疗程至少</w:t>
      </w:r>
      <w:r w:rsidRPr="00395C73">
        <w:rPr>
          <w:rFonts w:ascii="Arial" w:eastAsia="宋体" w:hAnsi="Arial" w:cs="Arial"/>
          <w:kern w:val="0"/>
          <w:sz w:val="20"/>
          <w:szCs w:val="20"/>
        </w:rPr>
        <w:t>6</w:t>
      </w:r>
      <w:r w:rsidRPr="00395C73">
        <w:rPr>
          <w:rFonts w:ascii="Arial" w:eastAsia="宋体" w:hAnsi="Arial" w:cs="Arial"/>
          <w:kern w:val="0"/>
          <w:sz w:val="20"/>
          <w:szCs w:val="20"/>
        </w:rPr>
        <w:t>周。</w:t>
      </w:r>
      <w:r w:rsidRPr="00395C73">
        <w:rPr>
          <w:rFonts w:ascii="Arial" w:eastAsia="宋体" w:hAnsi="Arial" w:cs="Arial"/>
          <w:kern w:val="0"/>
          <w:sz w:val="20"/>
          <w:szCs w:val="20"/>
        </w:rPr>
        <w:t>(2)</w:t>
      </w:r>
      <w:r w:rsidRPr="00395C73">
        <w:rPr>
          <w:rFonts w:ascii="Arial" w:eastAsia="宋体" w:hAnsi="Arial" w:cs="Arial"/>
          <w:kern w:val="0"/>
          <w:sz w:val="20"/>
          <w:szCs w:val="20"/>
        </w:rPr>
        <w:t>培养阳性巴尔通体属感染：一次</w:t>
      </w:r>
      <w:r w:rsidRPr="00395C73">
        <w:rPr>
          <w:rFonts w:ascii="Arial" w:eastAsia="宋体" w:hAnsi="Arial" w:cs="Arial"/>
          <w:kern w:val="0"/>
          <w:sz w:val="20"/>
          <w:szCs w:val="20"/>
        </w:rPr>
        <w:t>300mg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次，疗程</w:t>
      </w:r>
      <w:r w:rsidRPr="00395C73">
        <w:rPr>
          <w:rFonts w:ascii="Arial" w:eastAsia="宋体" w:hAnsi="Arial" w:cs="Arial"/>
          <w:kern w:val="0"/>
          <w:sz w:val="20"/>
          <w:szCs w:val="20"/>
        </w:rPr>
        <w:t>2</w:t>
      </w:r>
      <w:r w:rsidRPr="00395C73">
        <w:rPr>
          <w:rFonts w:ascii="Arial" w:eastAsia="宋体" w:hAnsi="Arial" w:cs="Arial"/>
          <w:kern w:val="0"/>
          <w:sz w:val="20"/>
          <w:szCs w:val="20"/>
        </w:rPr>
        <w:t>周，与多西环素</w:t>
      </w:r>
      <w:r w:rsidRPr="00395C73">
        <w:rPr>
          <w:rFonts w:ascii="Arial" w:eastAsia="宋体" w:hAnsi="Arial" w:cs="Arial"/>
          <w:kern w:val="0"/>
          <w:sz w:val="20"/>
          <w:szCs w:val="20"/>
        </w:rPr>
        <w:t>(</w:t>
      </w:r>
      <w:r w:rsidRPr="00395C73">
        <w:rPr>
          <w:rFonts w:ascii="Arial" w:eastAsia="宋体" w:hAnsi="Arial" w:cs="Arial"/>
          <w:kern w:val="0"/>
          <w:sz w:val="20"/>
          <w:szCs w:val="20"/>
        </w:rPr>
        <w:t>一次</w:t>
      </w:r>
      <w:r w:rsidRPr="00395C73">
        <w:rPr>
          <w:rFonts w:ascii="Arial" w:eastAsia="宋体" w:hAnsi="Arial" w:cs="Arial"/>
          <w:kern w:val="0"/>
          <w:sz w:val="20"/>
          <w:szCs w:val="20"/>
        </w:rPr>
        <w:t>100mg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次，疗程</w:t>
      </w:r>
      <w:r w:rsidRPr="00395C73">
        <w:rPr>
          <w:rFonts w:ascii="Arial" w:eastAsia="宋体" w:hAnsi="Arial" w:cs="Arial"/>
          <w:kern w:val="0"/>
          <w:sz w:val="20"/>
          <w:szCs w:val="20"/>
        </w:rPr>
        <w:t>6</w:t>
      </w:r>
      <w:r w:rsidRPr="00395C73">
        <w:rPr>
          <w:rFonts w:ascii="Arial" w:eastAsia="宋体" w:hAnsi="Arial" w:cs="Arial"/>
          <w:kern w:val="0"/>
          <w:sz w:val="20"/>
          <w:szCs w:val="20"/>
        </w:rPr>
        <w:t>周，口服给药或静脉注射</w:t>
      </w:r>
      <w:r w:rsidRPr="00395C73">
        <w:rPr>
          <w:rFonts w:ascii="Arial" w:eastAsia="宋体" w:hAnsi="Arial" w:cs="Arial"/>
          <w:kern w:val="0"/>
          <w:sz w:val="20"/>
          <w:szCs w:val="20"/>
        </w:rPr>
        <w:t>)</w:t>
      </w:r>
      <w:r w:rsidRPr="00395C73">
        <w:rPr>
          <w:rFonts w:ascii="Arial" w:eastAsia="宋体" w:hAnsi="Arial" w:cs="Arial"/>
          <w:kern w:val="0"/>
          <w:sz w:val="20"/>
          <w:szCs w:val="20"/>
        </w:rPr>
        <w:t>联用。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肺部鸟分枝杆菌复合物感染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(1)</w:t>
      </w:r>
      <w:r w:rsidRPr="00395C73">
        <w:rPr>
          <w:rFonts w:ascii="Arial" w:eastAsia="宋体" w:hAnsi="Arial" w:cs="Arial"/>
          <w:kern w:val="0"/>
          <w:sz w:val="20"/>
          <w:szCs w:val="20"/>
        </w:rPr>
        <w:t>结节性或支气管扩张性疾病：初始剂量为一次</w:t>
      </w:r>
      <w:r w:rsidRPr="00395C73">
        <w:rPr>
          <w:rFonts w:ascii="Arial" w:eastAsia="宋体" w:hAnsi="Arial" w:cs="Arial"/>
          <w:kern w:val="0"/>
          <w:sz w:val="20"/>
          <w:szCs w:val="20"/>
        </w:rPr>
        <w:t>600mg</w:t>
      </w:r>
      <w:r w:rsidRPr="00395C73">
        <w:rPr>
          <w:rFonts w:ascii="Arial" w:eastAsia="宋体" w:hAnsi="Arial" w:cs="Arial"/>
          <w:kern w:val="0"/>
          <w:sz w:val="20"/>
          <w:szCs w:val="20"/>
        </w:rPr>
        <w:t>，一周</w:t>
      </w:r>
      <w:r w:rsidRPr="00395C73">
        <w:rPr>
          <w:rFonts w:ascii="Arial" w:eastAsia="宋体" w:hAnsi="Arial" w:cs="Arial"/>
          <w:kern w:val="0"/>
          <w:sz w:val="20"/>
          <w:szCs w:val="20"/>
        </w:rPr>
        <w:t>3</w:t>
      </w:r>
      <w:r w:rsidRPr="00395C73">
        <w:rPr>
          <w:rFonts w:ascii="Arial" w:eastAsia="宋体" w:hAnsi="Arial" w:cs="Arial"/>
          <w:kern w:val="0"/>
          <w:sz w:val="20"/>
          <w:szCs w:val="20"/>
        </w:rPr>
        <w:t>次，与克拉霉素</w:t>
      </w:r>
      <w:r w:rsidRPr="00395C73">
        <w:rPr>
          <w:rFonts w:ascii="Arial" w:eastAsia="宋体" w:hAnsi="Arial" w:cs="Arial"/>
          <w:kern w:val="0"/>
          <w:sz w:val="20"/>
          <w:szCs w:val="20"/>
        </w:rPr>
        <w:t>(</w:t>
      </w:r>
      <w:r w:rsidRPr="00395C73">
        <w:rPr>
          <w:rFonts w:ascii="Arial" w:eastAsia="宋体" w:hAnsi="Arial" w:cs="Arial"/>
          <w:kern w:val="0"/>
          <w:sz w:val="20"/>
          <w:szCs w:val="20"/>
        </w:rPr>
        <w:t>一次</w:t>
      </w:r>
      <w:r w:rsidRPr="00395C73">
        <w:rPr>
          <w:rFonts w:ascii="Arial" w:eastAsia="宋体" w:hAnsi="Arial" w:cs="Arial"/>
          <w:kern w:val="0"/>
          <w:sz w:val="20"/>
          <w:szCs w:val="20"/>
        </w:rPr>
        <w:t>1g</w:t>
      </w:r>
      <w:r w:rsidRPr="00395C73">
        <w:rPr>
          <w:rFonts w:ascii="Arial" w:eastAsia="宋体" w:hAnsi="Arial" w:cs="Arial"/>
          <w:kern w:val="0"/>
          <w:sz w:val="20"/>
          <w:szCs w:val="20"/>
        </w:rPr>
        <w:t>，一周</w:t>
      </w:r>
      <w:r w:rsidRPr="00395C73">
        <w:rPr>
          <w:rFonts w:ascii="Arial" w:eastAsia="宋体" w:hAnsi="Arial" w:cs="Arial"/>
          <w:kern w:val="0"/>
          <w:sz w:val="20"/>
          <w:szCs w:val="20"/>
        </w:rPr>
        <w:t>3</w:t>
      </w:r>
      <w:r w:rsidRPr="00395C73">
        <w:rPr>
          <w:rFonts w:ascii="Arial" w:eastAsia="宋体" w:hAnsi="Arial" w:cs="Arial"/>
          <w:kern w:val="0"/>
          <w:sz w:val="20"/>
          <w:szCs w:val="20"/>
        </w:rPr>
        <w:t>次，口服给药</w:t>
      </w:r>
      <w:r w:rsidRPr="00395C73">
        <w:rPr>
          <w:rFonts w:ascii="Arial" w:eastAsia="宋体" w:hAnsi="Arial" w:cs="Arial"/>
          <w:kern w:val="0"/>
          <w:sz w:val="20"/>
          <w:szCs w:val="20"/>
        </w:rPr>
        <w:t>)</w:t>
      </w:r>
      <w:r w:rsidRPr="00395C73">
        <w:rPr>
          <w:rFonts w:ascii="Arial" w:eastAsia="宋体" w:hAnsi="Arial" w:cs="Arial"/>
          <w:kern w:val="0"/>
          <w:sz w:val="20"/>
          <w:szCs w:val="20"/>
        </w:rPr>
        <w:t>或阿奇霉素</w:t>
      </w:r>
      <w:r w:rsidRPr="00395C73">
        <w:rPr>
          <w:rFonts w:ascii="Arial" w:eastAsia="宋体" w:hAnsi="Arial" w:cs="Arial"/>
          <w:kern w:val="0"/>
          <w:sz w:val="20"/>
          <w:szCs w:val="20"/>
        </w:rPr>
        <w:t>(</w:t>
      </w:r>
      <w:r w:rsidRPr="00395C73">
        <w:rPr>
          <w:rFonts w:ascii="Arial" w:eastAsia="宋体" w:hAnsi="Arial" w:cs="Arial"/>
          <w:kern w:val="0"/>
          <w:sz w:val="20"/>
          <w:szCs w:val="20"/>
        </w:rPr>
        <w:t>一次</w:t>
      </w:r>
      <w:r w:rsidRPr="00395C73">
        <w:rPr>
          <w:rFonts w:ascii="Arial" w:eastAsia="宋体" w:hAnsi="Arial" w:cs="Arial"/>
          <w:kern w:val="0"/>
          <w:sz w:val="20"/>
          <w:szCs w:val="20"/>
        </w:rPr>
        <w:t>500-600mg</w:t>
      </w:r>
      <w:r w:rsidRPr="00395C73">
        <w:rPr>
          <w:rFonts w:ascii="Arial" w:eastAsia="宋体" w:hAnsi="Arial" w:cs="Arial"/>
          <w:kern w:val="0"/>
          <w:sz w:val="20"/>
          <w:szCs w:val="20"/>
        </w:rPr>
        <w:t>，一周</w:t>
      </w:r>
      <w:r w:rsidRPr="00395C73">
        <w:rPr>
          <w:rFonts w:ascii="Arial" w:eastAsia="宋体" w:hAnsi="Arial" w:cs="Arial"/>
          <w:kern w:val="0"/>
          <w:sz w:val="20"/>
          <w:szCs w:val="20"/>
        </w:rPr>
        <w:t>3</w:t>
      </w:r>
      <w:r w:rsidRPr="00395C73">
        <w:rPr>
          <w:rFonts w:ascii="Arial" w:eastAsia="宋体" w:hAnsi="Arial" w:cs="Arial"/>
          <w:kern w:val="0"/>
          <w:sz w:val="20"/>
          <w:szCs w:val="20"/>
        </w:rPr>
        <w:t>次，口服给药</w:t>
      </w:r>
      <w:r w:rsidRPr="00395C73">
        <w:rPr>
          <w:rFonts w:ascii="Arial" w:eastAsia="宋体" w:hAnsi="Arial" w:cs="Arial"/>
          <w:kern w:val="0"/>
          <w:sz w:val="20"/>
          <w:szCs w:val="20"/>
        </w:rPr>
        <w:t>)</w:t>
      </w:r>
      <w:r w:rsidRPr="00395C73">
        <w:rPr>
          <w:rFonts w:ascii="Arial" w:eastAsia="宋体" w:hAnsi="Arial" w:cs="Arial"/>
          <w:kern w:val="0"/>
          <w:sz w:val="20"/>
          <w:szCs w:val="20"/>
        </w:rPr>
        <w:t>联用，同时与乙胺丁醇</w:t>
      </w:r>
      <w:r w:rsidRPr="00395C73">
        <w:rPr>
          <w:rFonts w:ascii="Arial" w:eastAsia="宋体" w:hAnsi="Arial" w:cs="Arial"/>
          <w:kern w:val="0"/>
          <w:sz w:val="20"/>
          <w:szCs w:val="20"/>
        </w:rPr>
        <w:t>(</w:t>
      </w:r>
      <w:r w:rsidRPr="00395C73">
        <w:rPr>
          <w:rFonts w:ascii="Arial" w:eastAsia="宋体" w:hAnsi="Arial" w:cs="Arial"/>
          <w:kern w:val="0"/>
          <w:sz w:val="20"/>
          <w:szCs w:val="20"/>
        </w:rPr>
        <w:t>一次</w:t>
      </w:r>
      <w:r w:rsidRPr="00395C73">
        <w:rPr>
          <w:rFonts w:ascii="Arial" w:eastAsia="宋体" w:hAnsi="Arial" w:cs="Arial"/>
          <w:kern w:val="0"/>
          <w:sz w:val="20"/>
          <w:szCs w:val="20"/>
        </w:rPr>
        <w:t>25mg/kg</w:t>
      </w:r>
      <w:r w:rsidRPr="00395C73">
        <w:rPr>
          <w:rFonts w:ascii="Arial" w:eastAsia="宋体" w:hAnsi="Arial" w:cs="Arial"/>
          <w:kern w:val="0"/>
          <w:sz w:val="20"/>
          <w:szCs w:val="20"/>
        </w:rPr>
        <w:t>，一周</w:t>
      </w:r>
      <w:r w:rsidRPr="00395C73">
        <w:rPr>
          <w:rFonts w:ascii="Arial" w:eastAsia="宋体" w:hAnsi="Arial" w:cs="Arial"/>
          <w:kern w:val="0"/>
          <w:sz w:val="20"/>
          <w:szCs w:val="20"/>
        </w:rPr>
        <w:t>3</w:t>
      </w:r>
      <w:r w:rsidRPr="00395C73">
        <w:rPr>
          <w:rFonts w:ascii="Arial" w:eastAsia="宋体" w:hAnsi="Arial" w:cs="Arial"/>
          <w:kern w:val="0"/>
          <w:sz w:val="20"/>
          <w:szCs w:val="20"/>
        </w:rPr>
        <w:t>次，口服给药</w:t>
      </w:r>
      <w:r w:rsidRPr="00395C73">
        <w:rPr>
          <w:rFonts w:ascii="Arial" w:eastAsia="宋体" w:hAnsi="Arial" w:cs="Arial"/>
          <w:kern w:val="0"/>
          <w:sz w:val="20"/>
          <w:szCs w:val="20"/>
        </w:rPr>
        <w:t>)</w:t>
      </w:r>
      <w:r w:rsidRPr="00395C73">
        <w:rPr>
          <w:rFonts w:ascii="Arial" w:eastAsia="宋体" w:hAnsi="Arial" w:cs="Arial"/>
          <w:kern w:val="0"/>
          <w:sz w:val="20"/>
          <w:szCs w:val="20"/>
        </w:rPr>
        <w:t>联用。</w:t>
      </w:r>
      <w:r w:rsidRPr="00395C73">
        <w:rPr>
          <w:rFonts w:ascii="Arial" w:eastAsia="宋体" w:hAnsi="Arial" w:cs="Arial"/>
          <w:kern w:val="0"/>
          <w:sz w:val="20"/>
          <w:szCs w:val="20"/>
        </w:rPr>
        <w:t>(2)</w:t>
      </w:r>
      <w:r w:rsidRPr="00395C73">
        <w:rPr>
          <w:rFonts w:ascii="Arial" w:eastAsia="宋体" w:hAnsi="Arial" w:cs="Arial"/>
          <w:kern w:val="0"/>
          <w:sz w:val="20"/>
          <w:szCs w:val="20"/>
        </w:rPr>
        <w:t>空洞性疾病：初始剂量为一日</w:t>
      </w:r>
      <w:r w:rsidRPr="00395C73">
        <w:rPr>
          <w:rFonts w:ascii="Arial" w:eastAsia="宋体" w:hAnsi="Arial" w:cs="Arial"/>
          <w:kern w:val="0"/>
          <w:sz w:val="20"/>
          <w:szCs w:val="20"/>
        </w:rPr>
        <w:t>10mg/kg</w:t>
      </w:r>
      <w:r w:rsidRPr="00395C73">
        <w:rPr>
          <w:rFonts w:ascii="Arial" w:eastAsia="宋体" w:hAnsi="Arial" w:cs="Arial"/>
          <w:kern w:val="0"/>
          <w:sz w:val="20"/>
          <w:szCs w:val="20"/>
        </w:rPr>
        <w:t>，最大日剂量为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，与克拉霉素</w:t>
      </w:r>
      <w:r w:rsidRPr="00395C73">
        <w:rPr>
          <w:rFonts w:ascii="Arial" w:eastAsia="宋体" w:hAnsi="Arial" w:cs="Arial"/>
          <w:kern w:val="0"/>
          <w:sz w:val="20"/>
          <w:szCs w:val="20"/>
        </w:rPr>
        <w:t>(</w:t>
      </w:r>
      <w:r w:rsidRPr="00395C73">
        <w:rPr>
          <w:rFonts w:ascii="Arial" w:eastAsia="宋体" w:hAnsi="Arial" w:cs="Arial"/>
          <w:kern w:val="0"/>
          <w:sz w:val="20"/>
          <w:szCs w:val="20"/>
        </w:rPr>
        <w:t>一日</w:t>
      </w:r>
      <w:r w:rsidRPr="00395C73">
        <w:rPr>
          <w:rFonts w:ascii="Arial" w:eastAsia="宋体" w:hAnsi="Arial" w:cs="Arial"/>
          <w:kern w:val="0"/>
          <w:sz w:val="20"/>
          <w:szCs w:val="20"/>
        </w:rPr>
        <w:t>1g</w:t>
      </w:r>
      <w:r w:rsidRPr="00395C73">
        <w:rPr>
          <w:rFonts w:ascii="Arial" w:eastAsia="宋体" w:hAnsi="Arial" w:cs="Arial"/>
          <w:kern w:val="0"/>
          <w:sz w:val="20"/>
          <w:szCs w:val="20"/>
        </w:rPr>
        <w:t>；或一次</w:t>
      </w:r>
      <w:r w:rsidRPr="00395C73">
        <w:rPr>
          <w:rFonts w:ascii="Arial" w:eastAsia="宋体" w:hAnsi="Arial" w:cs="Arial"/>
          <w:kern w:val="0"/>
          <w:sz w:val="20"/>
          <w:szCs w:val="20"/>
        </w:rPr>
        <w:t>500mg</w:t>
      </w:r>
      <w:r w:rsidRPr="00395C73">
        <w:rPr>
          <w:rFonts w:ascii="Arial" w:eastAsia="宋体" w:hAnsi="Arial" w:cs="Arial"/>
          <w:kern w:val="0"/>
          <w:sz w:val="20"/>
          <w:szCs w:val="20"/>
        </w:rPr>
        <w:t>，一日</w:t>
      </w:r>
      <w:r w:rsidRPr="00395C73">
        <w:rPr>
          <w:rFonts w:ascii="Arial" w:eastAsia="宋体" w:hAnsi="Arial" w:cs="Arial"/>
          <w:kern w:val="0"/>
          <w:sz w:val="20"/>
          <w:szCs w:val="20"/>
        </w:rPr>
        <w:t>2</w:t>
      </w:r>
      <w:r w:rsidRPr="00395C73">
        <w:rPr>
          <w:rFonts w:ascii="Arial" w:eastAsia="宋体" w:hAnsi="Arial" w:cs="Arial"/>
          <w:kern w:val="0"/>
          <w:sz w:val="20"/>
          <w:szCs w:val="20"/>
        </w:rPr>
        <w:t>次，口服给药</w:t>
      </w:r>
      <w:r w:rsidRPr="00395C73">
        <w:rPr>
          <w:rFonts w:ascii="Arial" w:eastAsia="宋体" w:hAnsi="Arial" w:cs="Arial"/>
          <w:kern w:val="0"/>
          <w:sz w:val="20"/>
          <w:szCs w:val="20"/>
        </w:rPr>
        <w:t>)</w:t>
      </w:r>
      <w:r w:rsidRPr="00395C73">
        <w:rPr>
          <w:rFonts w:ascii="Arial" w:eastAsia="宋体" w:hAnsi="Arial" w:cs="Arial"/>
          <w:kern w:val="0"/>
          <w:sz w:val="20"/>
          <w:szCs w:val="20"/>
        </w:rPr>
        <w:t>或阿奇霉素</w:t>
      </w:r>
      <w:r w:rsidRPr="00395C73">
        <w:rPr>
          <w:rFonts w:ascii="Arial" w:eastAsia="宋体" w:hAnsi="Arial" w:cs="Arial"/>
          <w:kern w:val="0"/>
          <w:sz w:val="20"/>
          <w:szCs w:val="20"/>
        </w:rPr>
        <w:t>(</w:t>
      </w:r>
      <w:r w:rsidRPr="00395C73">
        <w:rPr>
          <w:rFonts w:ascii="Arial" w:eastAsia="宋体" w:hAnsi="Arial" w:cs="Arial"/>
          <w:kern w:val="0"/>
          <w:sz w:val="20"/>
          <w:szCs w:val="20"/>
        </w:rPr>
        <w:t>一日</w:t>
      </w:r>
      <w:r w:rsidRPr="00395C73">
        <w:rPr>
          <w:rFonts w:ascii="Arial" w:eastAsia="宋体" w:hAnsi="Arial" w:cs="Arial"/>
          <w:kern w:val="0"/>
          <w:sz w:val="20"/>
          <w:szCs w:val="20"/>
        </w:rPr>
        <w:t>250mg</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联用，同时与乙胺丁醇</w:t>
      </w:r>
      <w:r w:rsidRPr="00395C73">
        <w:rPr>
          <w:rFonts w:ascii="Arial" w:eastAsia="宋体" w:hAnsi="Arial" w:cs="Arial"/>
          <w:kern w:val="0"/>
          <w:sz w:val="20"/>
          <w:szCs w:val="20"/>
        </w:rPr>
        <w:t>(</w:t>
      </w:r>
      <w:r w:rsidRPr="00395C73">
        <w:rPr>
          <w:rFonts w:ascii="Arial" w:eastAsia="宋体" w:hAnsi="Arial" w:cs="Arial"/>
          <w:kern w:val="0"/>
          <w:sz w:val="20"/>
          <w:szCs w:val="20"/>
        </w:rPr>
        <w:t>一日</w:t>
      </w:r>
      <w:r w:rsidRPr="00395C73">
        <w:rPr>
          <w:rFonts w:ascii="Arial" w:eastAsia="宋体" w:hAnsi="Arial" w:cs="Arial"/>
          <w:kern w:val="0"/>
          <w:sz w:val="20"/>
          <w:szCs w:val="20"/>
        </w:rPr>
        <w:t>15mg/kg</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联用。可考虑加用链霉素或阿米卡星。</w:t>
      </w:r>
      <w:r w:rsidRPr="00395C73">
        <w:rPr>
          <w:rFonts w:ascii="Arial" w:eastAsia="宋体" w:hAnsi="Arial" w:cs="Arial"/>
          <w:kern w:val="0"/>
          <w:sz w:val="20"/>
          <w:szCs w:val="20"/>
        </w:rPr>
        <w:t>(3)</w:t>
      </w:r>
      <w:r w:rsidRPr="00395C73">
        <w:rPr>
          <w:rFonts w:ascii="Arial" w:eastAsia="宋体" w:hAnsi="Arial" w:cs="Arial"/>
          <w:kern w:val="0"/>
          <w:sz w:val="20"/>
          <w:szCs w:val="20"/>
        </w:rPr>
        <w:t>严重或已接受过治疗的患者：一日</w:t>
      </w:r>
      <w:r w:rsidRPr="00395C73">
        <w:rPr>
          <w:rFonts w:ascii="Arial" w:eastAsia="宋体" w:hAnsi="Arial" w:cs="Arial"/>
          <w:kern w:val="0"/>
          <w:sz w:val="20"/>
          <w:szCs w:val="20"/>
        </w:rPr>
        <w:t>10mg/kg</w:t>
      </w:r>
      <w:r w:rsidRPr="00395C73">
        <w:rPr>
          <w:rFonts w:ascii="Arial" w:eastAsia="宋体" w:hAnsi="Arial" w:cs="Arial"/>
          <w:kern w:val="0"/>
          <w:sz w:val="20"/>
          <w:szCs w:val="20"/>
        </w:rPr>
        <w:t>，最大剂量为</w:t>
      </w:r>
      <w:r w:rsidRPr="00395C73">
        <w:rPr>
          <w:rFonts w:ascii="Arial" w:eastAsia="宋体" w:hAnsi="Arial" w:cs="Arial"/>
          <w:kern w:val="0"/>
          <w:sz w:val="20"/>
          <w:szCs w:val="20"/>
        </w:rPr>
        <w:t>600mg</w:t>
      </w:r>
      <w:r w:rsidRPr="00395C73">
        <w:rPr>
          <w:rFonts w:ascii="Arial" w:eastAsia="宋体" w:hAnsi="Arial" w:cs="Arial"/>
          <w:kern w:val="0"/>
          <w:sz w:val="20"/>
          <w:szCs w:val="20"/>
        </w:rPr>
        <w:t>；或一日</w:t>
      </w:r>
      <w:r w:rsidRPr="00395C73">
        <w:rPr>
          <w:rFonts w:ascii="Arial" w:eastAsia="宋体" w:hAnsi="Arial" w:cs="Arial"/>
          <w:kern w:val="0"/>
          <w:sz w:val="20"/>
          <w:szCs w:val="20"/>
        </w:rPr>
        <w:t>150-300mg</w:t>
      </w:r>
      <w:r w:rsidRPr="00395C73">
        <w:rPr>
          <w:rFonts w:ascii="Arial" w:eastAsia="宋体" w:hAnsi="Arial" w:cs="Arial"/>
          <w:kern w:val="0"/>
          <w:sz w:val="20"/>
          <w:szCs w:val="20"/>
        </w:rPr>
        <w:t>，与克拉霉素</w:t>
      </w:r>
      <w:r w:rsidRPr="00395C73">
        <w:rPr>
          <w:rFonts w:ascii="Arial" w:eastAsia="宋体" w:hAnsi="Arial" w:cs="Arial"/>
          <w:kern w:val="0"/>
          <w:sz w:val="20"/>
          <w:szCs w:val="20"/>
        </w:rPr>
        <w:t>(</w:t>
      </w:r>
      <w:r w:rsidRPr="00395C73">
        <w:rPr>
          <w:rFonts w:ascii="Arial" w:eastAsia="宋体" w:hAnsi="Arial" w:cs="Arial"/>
          <w:kern w:val="0"/>
          <w:sz w:val="20"/>
          <w:szCs w:val="20"/>
        </w:rPr>
        <w:t>一日</w:t>
      </w:r>
      <w:r w:rsidRPr="00395C73">
        <w:rPr>
          <w:rFonts w:ascii="Arial" w:eastAsia="宋体" w:hAnsi="Arial" w:cs="Arial"/>
          <w:kern w:val="0"/>
          <w:sz w:val="20"/>
          <w:szCs w:val="20"/>
        </w:rPr>
        <w:t>1000mg</w:t>
      </w:r>
      <w:r w:rsidRPr="00395C73">
        <w:rPr>
          <w:rFonts w:ascii="Arial" w:eastAsia="宋体" w:hAnsi="Arial" w:cs="Arial"/>
          <w:kern w:val="0"/>
          <w:sz w:val="20"/>
          <w:szCs w:val="20"/>
        </w:rPr>
        <w:t>；或一次</w:t>
      </w:r>
      <w:r w:rsidRPr="00395C73">
        <w:rPr>
          <w:rFonts w:ascii="Arial" w:eastAsia="宋体" w:hAnsi="Arial" w:cs="Arial"/>
          <w:kern w:val="0"/>
          <w:sz w:val="20"/>
          <w:szCs w:val="20"/>
        </w:rPr>
        <w:t>500mg</w:t>
      </w:r>
      <w:r w:rsidRPr="00395C73">
        <w:rPr>
          <w:rFonts w:ascii="Arial" w:eastAsia="宋体" w:hAnsi="Arial" w:cs="Arial"/>
          <w:kern w:val="0"/>
          <w:sz w:val="20"/>
          <w:szCs w:val="20"/>
        </w:rPr>
        <w:t>，一日</w:t>
      </w:r>
      <w:r w:rsidRPr="00395C73">
        <w:rPr>
          <w:rFonts w:ascii="Arial" w:eastAsia="宋体" w:hAnsi="Arial" w:cs="Arial"/>
          <w:kern w:val="0"/>
          <w:sz w:val="20"/>
          <w:szCs w:val="20"/>
        </w:rPr>
        <w:t>2</w:t>
      </w:r>
      <w:r w:rsidRPr="00395C73">
        <w:rPr>
          <w:rFonts w:ascii="Arial" w:eastAsia="宋体" w:hAnsi="Arial" w:cs="Arial"/>
          <w:kern w:val="0"/>
          <w:sz w:val="20"/>
          <w:szCs w:val="20"/>
        </w:rPr>
        <w:t>次，口服给药</w:t>
      </w:r>
      <w:r w:rsidRPr="00395C73">
        <w:rPr>
          <w:rFonts w:ascii="Arial" w:eastAsia="宋体" w:hAnsi="Arial" w:cs="Arial"/>
          <w:kern w:val="0"/>
          <w:sz w:val="20"/>
          <w:szCs w:val="20"/>
        </w:rPr>
        <w:t>)</w:t>
      </w:r>
      <w:r w:rsidRPr="00395C73">
        <w:rPr>
          <w:rFonts w:ascii="Arial" w:eastAsia="宋体" w:hAnsi="Arial" w:cs="Arial"/>
          <w:kern w:val="0"/>
          <w:sz w:val="20"/>
          <w:szCs w:val="20"/>
        </w:rPr>
        <w:t>或阿奇霉素</w:t>
      </w:r>
      <w:r w:rsidRPr="00395C73">
        <w:rPr>
          <w:rFonts w:ascii="Arial" w:eastAsia="宋体" w:hAnsi="Arial" w:cs="Arial"/>
          <w:kern w:val="0"/>
          <w:sz w:val="20"/>
          <w:szCs w:val="20"/>
        </w:rPr>
        <w:t>(</w:t>
      </w:r>
      <w:r w:rsidRPr="00395C73">
        <w:rPr>
          <w:rFonts w:ascii="Arial" w:eastAsia="宋体" w:hAnsi="Arial" w:cs="Arial"/>
          <w:kern w:val="0"/>
          <w:sz w:val="20"/>
          <w:szCs w:val="20"/>
        </w:rPr>
        <w:t>一日</w:t>
      </w:r>
      <w:r w:rsidRPr="00395C73">
        <w:rPr>
          <w:rFonts w:ascii="Arial" w:eastAsia="宋体" w:hAnsi="Arial" w:cs="Arial"/>
          <w:kern w:val="0"/>
          <w:sz w:val="20"/>
          <w:szCs w:val="20"/>
        </w:rPr>
        <w:t>250mg</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联用，同时与乙胺丁醇</w:t>
      </w:r>
      <w:r w:rsidRPr="00395C73">
        <w:rPr>
          <w:rFonts w:ascii="Arial" w:eastAsia="宋体" w:hAnsi="Arial" w:cs="Arial"/>
          <w:kern w:val="0"/>
          <w:sz w:val="20"/>
          <w:szCs w:val="20"/>
        </w:rPr>
        <w:t>(</w:t>
      </w:r>
      <w:r w:rsidRPr="00395C73">
        <w:rPr>
          <w:rFonts w:ascii="Arial" w:eastAsia="宋体" w:hAnsi="Arial" w:cs="Arial"/>
          <w:kern w:val="0"/>
          <w:sz w:val="20"/>
          <w:szCs w:val="20"/>
        </w:rPr>
        <w:t>一日</w:t>
      </w:r>
      <w:r w:rsidRPr="00395C73">
        <w:rPr>
          <w:rFonts w:ascii="Arial" w:eastAsia="宋体" w:hAnsi="Arial" w:cs="Arial"/>
          <w:kern w:val="0"/>
          <w:sz w:val="20"/>
          <w:szCs w:val="20"/>
        </w:rPr>
        <w:t>15mg/kg</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联用。可考虑加用链霉素或阿米卡星。</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布鲁杆菌病的辅助治疗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一日</w:t>
      </w:r>
      <w:r w:rsidRPr="00395C73">
        <w:rPr>
          <w:rFonts w:ascii="Arial" w:eastAsia="宋体" w:hAnsi="Arial" w:cs="Arial"/>
          <w:kern w:val="0"/>
          <w:sz w:val="20"/>
          <w:szCs w:val="20"/>
        </w:rPr>
        <w:t>600-900mg</w:t>
      </w:r>
      <w:r w:rsidRPr="00395C73">
        <w:rPr>
          <w:rFonts w:ascii="Arial" w:eastAsia="宋体" w:hAnsi="Arial" w:cs="Arial"/>
          <w:kern w:val="0"/>
          <w:sz w:val="20"/>
          <w:szCs w:val="20"/>
        </w:rPr>
        <w:t>，分</w:t>
      </w:r>
      <w:r w:rsidRPr="00395C73">
        <w:rPr>
          <w:rFonts w:ascii="Arial" w:eastAsia="宋体" w:hAnsi="Arial" w:cs="Arial"/>
          <w:kern w:val="0"/>
          <w:sz w:val="20"/>
          <w:szCs w:val="20"/>
        </w:rPr>
        <w:t>1-2</w:t>
      </w:r>
      <w:r w:rsidRPr="00395C73">
        <w:rPr>
          <w:rFonts w:ascii="Arial" w:eastAsia="宋体" w:hAnsi="Arial" w:cs="Arial"/>
          <w:kern w:val="0"/>
          <w:sz w:val="20"/>
          <w:szCs w:val="20"/>
        </w:rPr>
        <w:t>次给药，疗程至少</w:t>
      </w:r>
      <w:r w:rsidRPr="00395C73">
        <w:rPr>
          <w:rFonts w:ascii="Arial" w:eastAsia="宋体" w:hAnsi="Arial" w:cs="Arial"/>
          <w:kern w:val="0"/>
          <w:sz w:val="20"/>
          <w:szCs w:val="20"/>
        </w:rPr>
        <w:t>6</w:t>
      </w:r>
      <w:r w:rsidRPr="00395C73">
        <w:rPr>
          <w:rFonts w:ascii="Arial" w:eastAsia="宋体" w:hAnsi="Arial" w:cs="Arial"/>
          <w:kern w:val="0"/>
          <w:sz w:val="20"/>
          <w:szCs w:val="20"/>
        </w:rPr>
        <w:t>周，与四环素类药物联用。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肾功能不全时剂量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肌酐清除率大于</w:t>
      </w:r>
      <w:r w:rsidRPr="00395C73">
        <w:rPr>
          <w:rFonts w:ascii="Arial" w:eastAsia="宋体" w:hAnsi="Arial" w:cs="Arial"/>
          <w:kern w:val="0"/>
          <w:sz w:val="20"/>
          <w:szCs w:val="20"/>
        </w:rPr>
        <w:t>50ml/min</w:t>
      </w:r>
      <w:r w:rsidRPr="00395C73">
        <w:rPr>
          <w:rFonts w:ascii="Arial" w:eastAsia="宋体" w:hAnsi="Arial" w:cs="Arial"/>
          <w:kern w:val="0"/>
          <w:sz w:val="20"/>
          <w:szCs w:val="20"/>
        </w:rPr>
        <w:t>者，推荐使用常规剂量；肌酐清除率为</w:t>
      </w:r>
      <w:r w:rsidRPr="00395C73">
        <w:rPr>
          <w:rFonts w:ascii="Arial" w:eastAsia="宋体" w:hAnsi="Arial" w:cs="Arial"/>
          <w:kern w:val="0"/>
          <w:sz w:val="20"/>
          <w:szCs w:val="20"/>
        </w:rPr>
        <w:t>10-50ml/min</w:t>
      </w:r>
      <w:r w:rsidRPr="00395C73">
        <w:rPr>
          <w:rFonts w:ascii="Arial" w:eastAsia="宋体" w:hAnsi="Arial" w:cs="Arial"/>
          <w:kern w:val="0"/>
          <w:sz w:val="20"/>
          <w:szCs w:val="20"/>
        </w:rPr>
        <w:t>者，给予常规剂量的</w:t>
      </w:r>
      <w:r w:rsidRPr="00395C73">
        <w:rPr>
          <w:rFonts w:ascii="Arial" w:eastAsia="宋体" w:hAnsi="Arial" w:cs="Arial"/>
          <w:kern w:val="0"/>
          <w:sz w:val="20"/>
          <w:szCs w:val="20"/>
        </w:rPr>
        <w:t>50%-100%</w:t>
      </w:r>
      <w:r w:rsidRPr="00395C73">
        <w:rPr>
          <w:rFonts w:ascii="Arial" w:eastAsia="宋体" w:hAnsi="Arial" w:cs="Arial"/>
          <w:kern w:val="0"/>
          <w:sz w:val="20"/>
          <w:szCs w:val="20"/>
        </w:rPr>
        <w:t>；肌酐清除率低于</w:t>
      </w:r>
      <w:r w:rsidRPr="00395C73">
        <w:rPr>
          <w:rFonts w:ascii="Arial" w:eastAsia="宋体" w:hAnsi="Arial" w:cs="Arial"/>
          <w:kern w:val="0"/>
          <w:sz w:val="20"/>
          <w:szCs w:val="20"/>
        </w:rPr>
        <w:t>10ml/min</w:t>
      </w:r>
      <w:r w:rsidRPr="00395C73">
        <w:rPr>
          <w:rFonts w:ascii="Arial" w:eastAsia="宋体" w:hAnsi="Arial" w:cs="Arial"/>
          <w:kern w:val="0"/>
          <w:sz w:val="20"/>
          <w:szCs w:val="20"/>
        </w:rPr>
        <w:t>者，给予常规剂量的</w:t>
      </w:r>
      <w:r w:rsidRPr="00395C73">
        <w:rPr>
          <w:rFonts w:ascii="Arial" w:eastAsia="宋体" w:hAnsi="Arial" w:cs="Arial"/>
          <w:kern w:val="0"/>
          <w:sz w:val="20"/>
          <w:szCs w:val="20"/>
        </w:rPr>
        <w:t>50%</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儿童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常规剂量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活动性肺结核、非活动性肺结核、复发性肺结核、肺外结核、</w:t>
      </w:r>
      <w:r w:rsidRPr="00395C73">
        <w:rPr>
          <w:rFonts w:ascii="Arial" w:eastAsia="宋体" w:hAnsi="Arial" w:cs="Arial"/>
          <w:kern w:val="0"/>
          <w:sz w:val="20"/>
          <w:szCs w:val="20"/>
        </w:rPr>
        <w:t>HIV</w:t>
      </w:r>
      <w:r w:rsidRPr="00395C73">
        <w:rPr>
          <w:rFonts w:ascii="Arial" w:eastAsia="宋体" w:hAnsi="Arial" w:cs="Arial"/>
          <w:kern w:val="0"/>
          <w:sz w:val="20"/>
          <w:szCs w:val="20"/>
        </w:rPr>
        <w:t>感染者的活动性肺结核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初始剂量为一日</w:t>
      </w:r>
      <w:r w:rsidRPr="00395C73">
        <w:rPr>
          <w:rFonts w:ascii="Arial" w:eastAsia="宋体" w:hAnsi="Arial" w:cs="Arial"/>
          <w:kern w:val="0"/>
          <w:sz w:val="20"/>
          <w:szCs w:val="20"/>
        </w:rPr>
        <w:t>10-20mg/kg</w:t>
      </w:r>
      <w:r w:rsidRPr="00395C73">
        <w:rPr>
          <w:rFonts w:ascii="Arial" w:eastAsia="宋体" w:hAnsi="Arial" w:cs="Arial"/>
          <w:kern w:val="0"/>
          <w:sz w:val="20"/>
          <w:szCs w:val="20"/>
        </w:rPr>
        <w:t>，最大日剂量为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。与异烟肼、吡嗪酰胺联合治疗</w:t>
      </w:r>
      <w:r w:rsidRPr="00395C73">
        <w:rPr>
          <w:rFonts w:ascii="Arial" w:eastAsia="宋体" w:hAnsi="Arial" w:cs="Arial"/>
          <w:kern w:val="0"/>
          <w:sz w:val="20"/>
          <w:szCs w:val="20"/>
        </w:rPr>
        <w:t>2</w:t>
      </w:r>
      <w:r w:rsidRPr="00395C73">
        <w:rPr>
          <w:rFonts w:ascii="Arial" w:eastAsia="宋体" w:hAnsi="Arial" w:cs="Arial"/>
          <w:kern w:val="0"/>
          <w:sz w:val="20"/>
          <w:szCs w:val="20"/>
        </w:rPr>
        <w:t>个月后，再与异烟肼联合治疗至少</w:t>
      </w:r>
      <w:r w:rsidRPr="00395C73">
        <w:rPr>
          <w:rFonts w:ascii="Arial" w:eastAsia="宋体" w:hAnsi="Arial" w:cs="Arial"/>
          <w:kern w:val="0"/>
          <w:sz w:val="20"/>
          <w:szCs w:val="20"/>
        </w:rPr>
        <w:t>4</w:t>
      </w:r>
      <w:r w:rsidRPr="00395C73">
        <w:rPr>
          <w:rFonts w:ascii="Arial" w:eastAsia="宋体" w:hAnsi="Arial" w:cs="Arial"/>
          <w:kern w:val="0"/>
          <w:sz w:val="20"/>
          <w:szCs w:val="20"/>
        </w:rPr>
        <w:t>个月。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脑膜炎球菌带菌者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(1)1</w:t>
      </w:r>
      <w:r w:rsidRPr="00395C73">
        <w:rPr>
          <w:rFonts w:ascii="Arial" w:eastAsia="宋体" w:hAnsi="Arial" w:cs="Arial"/>
          <w:kern w:val="0"/>
          <w:sz w:val="20"/>
          <w:szCs w:val="20"/>
        </w:rPr>
        <w:t>个月及</w:t>
      </w:r>
      <w:r w:rsidRPr="00395C73">
        <w:rPr>
          <w:rFonts w:ascii="Arial" w:eastAsia="宋体" w:hAnsi="Arial" w:cs="Arial"/>
          <w:kern w:val="0"/>
          <w:sz w:val="20"/>
          <w:szCs w:val="20"/>
        </w:rPr>
        <w:t>1</w:t>
      </w:r>
      <w:r w:rsidRPr="00395C73">
        <w:rPr>
          <w:rFonts w:ascii="Arial" w:eastAsia="宋体" w:hAnsi="Arial" w:cs="Arial"/>
          <w:kern w:val="0"/>
          <w:sz w:val="20"/>
          <w:szCs w:val="20"/>
        </w:rPr>
        <w:t>个月以上儿童：一次</w:t>
      </w:r>
      <w:r w:rsidRPr="00395C73">
        <w:rPr>
          <w:rFonts w:ascii="Arial" w:eastAsia="宋体" w:hAnsi="Arial" w:cs="Arial"/>
          <w:kern w:val="0"/>
          <w:sz w:val="20"/>
          <w:szCs w:val="20"/>
        </w:rPr>
        <w:t>10mg/kg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次，疗程</w:t>
      </w:r>
      <w:r w:rsidRPr="00395C73">
        <w:rPr>
          <w:rFonts w:ascii="Arial" w:eastAsia="宋体" w:hAnsi="Arial" w:cs="Arial"/>
          <w:kern w:val="0"/>
          <w:sz w:val="20"/>
          <w:szCs w:val="20"/>
        </w:rPr>
        <w:t>2</w:t>
      </w:r>
      <w:r w:rsidRPr="00395C73">
        <w:rPr>
          <w:rFonts w:ascii="Arial" w:eastAsia="宋体" w:hAnsi="Arial" w:cs="Arial"/>
          <w:kern w:val="0"/>
          <w:sz w:val="20"/>
          <w:szCs w:val="20"/>
        </w:rPr>
        <w:t>日。最大日剂量为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w:t>
      </w:r>
      <w:r w:rsidRPr="00395C73">
        <w:rPr>
          <w:rFonts w:ascii="Arial" w:eastAsia="宋体" w:hAnsi="Arial" w:cs="Arial"/>
          <w:kern w:val="0"/>
          <w:sz w:val="20"/>
          <w:szCs w:val="20"/>
        </w:rPr>
        <w:t>(2)1</w:t>
      </w:r>
      <w:r w:rsidRPr="00395C73">
        <w:rPr>
          <w:rFonts w:ascii="Arial" w:eastAsia="宋体" w:hAnsi="Arial" w:cs="Arial"/>
          <w:kern w:val="0"/>
          <w:sz w:val="20"/>
          <w:szCs w:val="20"/>
        </w:rPr>
        <w:t>个月以下儿童：一次</w:t>
      </w:r>
      <w:r w:rsidRPr="00395C73">
        <w:rPr>
          <w:rFonts w:ascii="Arial" w:eastAsia="宋体" w:hAnsi="Arial" w:cs="Arial"/>
          <w:kern w:val="0"/>
          <w:sz w:val="20"/>
          <w:szCs w:val="20"/>
        </w:rPr>
        <w:t>5mg/kg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次，疗程</w:t>
      </w:r>
      <w:r w:rsidRPr="00395C73">
        <w:rPr>
          <w:rFonts w:ascii="Arial" w:eastAsia="宋体" w:hAnsi="Arial" w:cs="Arial"/>
          <w:kern w:val="0"/>
          <w:sz w:val="20"/>
          <w:szCs w:val="20"/>
        </w:rPr>
        <w:t>2</w:t>
      </w:r>
      <w:r w:rsidRPr="00395C73">
        <w:rPr>
          <w:rFonts w:ascii="Arial" w:eastAsia="宋体" w:hAnsi="Arial" w:cs="Arial"/>
          <w:kern w:val="0"/>
          <w:sz w:val="20"/>
          <w:szCs w:val="20"/>
        </w:rPr>
        <w:t>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麻风病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一次</w:t>
      </w:r>
      <w:r w:rsidRPr="00395C73">
        <w:rPr>
          <w:rFonts w:ascii="Arial" w:eastAsia="宋体" w:hAnsi="Arial" w:cs="Arial"/>
          <w:kern w:val="0"/>
          <w:sz w:val="20"/>
          <w:szCs w:val="20"/>
        </w:rPr>
        <w:t>10mg/kg</w:t>
      </w:r>
      <w:r w:rsidRPr="00395C73">
        <w:rPr>
          <w:rFonts w:ascii="Arial" w:eastAsia="宋体" w:hAnsi="Arial" w:cs="Arial"/>
          <w:kern w:val="0"/>
          <w:sz w:val="20"/>
          <w:szCs w:val="20"/>
        </w:rPr>
        <w:t>，一日</w:t>
      </w:r>
      <w:r w:rsidRPr="00395C73">
        <w:rPr>
          <w:rFonts w:ascii="Arial" w:eastAsia="宋体" w:hAnsi="Arial" w:cs="Arial"/>
          <w:kern w:val="0"/>
          <w:sz w:val="20"/>
          <w:szCs w:val="20"/>
        </w:rPr>
        <w:t>1</w:t>
      </w:r>
      <w:r w:rsidRPr="00395C73">
        <w:rPr>
          <w:rFonts w:ascii="Arial" w:eastAsia="宋体" w:hAnsi="Arial" w:cs="Arial"/>
          <w:kern w:val="0"/>
          <w:sz w:val="20"/>
          <w:szCs w:val="20"/>
        </w:rPr>
        <w:t>次，最大日剂量为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，与氨苯砜联用，同时加用或不加用氯法齐明。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葡萄球菌感染性疾病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一日</w:t>
      </w:r>
      <w:r w:rsidRPr="00395C73">
        <w:rPr>
          <w:rFonts w:ascii="Arial" w:eastAsia="宋体" w:hAnsi="Arial" w:cs="Arial"/>
          <w:kern w:val="0"/>
          <w:sz w:val="20"/>
          <w:szCs w:val="20"/>
        </w:rPr>
        <w:t>10-20mg/kg</w:t>
      </w:r>
      <w:r w:rsidRPr="00395C73">
        <w:rPr>
          <w:rFonts w:ascii="Arial" w:eastAsia="宋体" w:hAnsi="Arial" w:cs="Arial"/>
          <w:kern w:val="0"/>
          <w:sz w:val="20"/>
          <w:szCs w:val="20"/>
        </w:rPr>
        <w:t>，分</w:t>
      </w:r>
      <w:r w:rsidRPr="00395C73">
        <w:rPr>
          <w:rFonts w:ascii="Arial" w:eastAsia="宋体" w:hAnsi="Arial" w:cs="Arial"/>
          <w:kern w:val="0"/>
          <w:sz w:val="20"/>
          <w:szCs w:val="20"/>
        </w:rPr>
        <w:t>1-2</w:t>
      </w:r>
      <w:r w:rsidRPr="00395C73">
        <w:rPr>
          <w:rFonts w:ascii="Arial" w:eastAsia="宋体" w:hAnsi="Arial" w:cs="Arial"/>
          <w:kern w:val="0"/>
          <w:sz w:val="20"/>
          <w:szCs w:val="20"/>
        </w:rPr>
        <w:t>次服用，最大日剂量为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感染性心内膜炎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(1)</w:t>
      </w:r>
      <w:r w:rsidRPr="00395C73">
        <w:rPr>
          <w:rFonts w:ascii="Arial" w:eastAsia="宋体" w:hAnsi="Arial" w:cs="Arial"/>
          <w:kern w:val="0"/>
          <w:sz w:val="20"/>
          <w:szCs w:val="20"/>
        </w:rPr>
        <w:t>人工瓣膜感染性心内膜炎：一日</w:t>
      </w:r>
      <w:r w:rsidRPr="00395C73">
        <w:rPr>
          <w:rFonts w:ascii="Arial" w:eastAsia="宋体" w:hAnsi="Arial" w:cs="Arial"/>
          <w:kern w:val="0"/>
          <w:sz w:val="20"/>
          <w:szCs w:val="20"/>
        </w:rPr>
        <w:t>20mg/kg</w:t>
      </w:r>
      <w:r w:rsidRPr="00395C73">
        <w:rPr>
          <w:rFonts w:ascii="Arial" w:eastAsia="宋体" w:hAnsi="Arial" w:cs="Arial"/>
          <w:kern w:val="0"/>
          <w:sz w:val="20"/>
          <w:szCs w:val="20"/>
        </w:rPr>
        <w:t>，均分为</w:t>
      </w:r>
      <w:r w:rsidRPr="00395C73">
        <w:rPr>
          <w:rFonts w:ascii="Arial" w:eastAsia="宋体" w:hAnsi="Arial" w:cs="Arial"/>
          <w:kern w:val="0"/>
          <w:sz w:val="20"/>
          <w:szCs w:val="20"/>
        </w:rPr>
        <w:t>3</w:t>
      </w:r>
      <w:r w:rsidRPr="00395C73">
        <w:rPr>
          <w:rFonts w:ascii="Arial" w:eastAsia="宋体" w:hAnsi="Arial" w:cs="Arial"/>
          <w:kern w:val="0"/>
          <w:sz w:val="20"/>
          <w:szCs w:val="20"/>
        </w:rPr>
        <w:t>次给药，最大日剂量为</w:t>
      </w:r>
      <w:r w:rsidRPr="00395C73">
        <w:rPr>
          <w:rFonts w:ascii="Arial" w:eastAsia="宋体" w:hAnsi="Arial" w:cs="Arial"/>
          <w:kern w:val="0"/>
          <w:sz w:val="20"/>
          <w:szCs w:val="20"/>
        </w:rPr>
        <w:t>900mg</w:t>
      </w:r>
      <w:r w:rsidRPr="00395C73">
        <w:rPr>
          <w:rFonts w:ascii="Arial" w:eastAsia="宋体" w:hAnsi="Arial" w:cs="Arial"/>
          <w:kern w:val="0"/>
          <w:sz w:val="20"/>
          <w:szCs w:val="20"/>
        </w:rPr>
        <w:t>，疗程至少</w:t>
      </w:r>
      <w:r w:rsidRPr="00395C73">
        <w:rPr>
          <w:rFonts w:ascii="Arial" w:eastAsia="宋体" w:hAnsi="Arial" w:cs="Arial"/>
          <w:kern w:val="0"/>
          <w:sz w:val="20"/>
          <w:szCs w:val="20"/>
        </w:rPr>
        <w:t>6</w:t>
      </w:r>
      <w:r w:rsidRPr="00395C73">
        <w:rPr>
          <w:rFonts w:ascii="Arial" w:eastAsia="宋体" w:hAnsi="Arial" w:cs="Arial"/>
          <w:kern w:val="0"/>
          <w:sz w:val="20"/>
          <w:szCs w:val="20"/>
        </w:rPr>
        <w:t>周。</w:t>
      </w:r>
      <w:r w:rsidRPr="00395C73">
        <w:rPr>
          <w:rFonts w:ascii="Arial" w:eastAsia="宋体" w:hAnsi="Arial" w:cs="Arial"/>
          <w:kern w:val="0"/>
          <w:sz w:val="20"/>
          <w:szCs w:val="20"/>
        </w:rPr>
        <w:t>(2)</w:t>
      </w:r>
      <w:r w:rsidRPr="00395C73">
        <w:rPr>
          <w:rFonts w:ascii="Arial" w:eastAsia="宋体" w:hAnsi="Arial" w:cs="Arial"/>
          <w:kern w:val="0"/>
          <w:sz w:val="20"/>
          <w:szCs w:val="20"/>
        </w:rPr>
        <w:t>培养阳性巴尔通体属感染：一次</w:t>
      </w:r>
      <w:r w:rsidRPr="00395C73">
        <w:rPr>
          <w:rFonts w:ascii="Arial" w:eastAsia="宋体" w:hAnsi="Arial" w:cs="Arial"/>
          <w:kern w:val="0"/>
          <w:sz w:val="20"/>
          <w:szCs w:val="20"/>
        </w:rPr>
        <w:t>10mg/kg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次，最大日剂量为</w:t>
      </w:r>
      <w:r w:rsidRPr="00395C73">
        <w:rPr>
          <w:rFonts w:ascii="Arial" w:eastAsia="宋体" w:hAnsi="Arial" w:cs="Arial"/>
          <w:kern w:val="0"/>
          <w:sz w:val="20"/>
          <w:szCs w:val="20"/>
        </w:rPr>
        <w:t>600mg</w:t>
      </w:r>
      <w:r w:rsidRPr="00395C73">
        <w:rPr>
          <w:rFonts w:ascii="Arial" w:eastAsia="宋体" w:hAnsi="Arial" w:cs="Arial"/>
          <w:kern w:val="0"/>
          <w:sz w:val="20"/>
          <w:szCs w:val="20"/>
        </w:rPr>
        <w:t>，疗程</w:t>
      </w:r>
      <w:r w:rsidRPr="00395C73">
        <w:rPr>
          <w:rFonts w:ascii="Arial" w:eastAsia="宋体" w:hAnsi="Arial" w:cs="Arial"/>
          <w:kern w:val="0"/>
          <w:sz w:val="20"/>
          <w:szCs w:val="20"/>
        </w:rPr>
        <w:t>2</w:t>
      </w:r>
      <w:r w:rsidRPr="00395C73">
        <w:rPr>
          <w:rFonts w:ascii="Arial" w:eastAsia="宋体" w:hAnsi="Arial" w:cs="Arial"/>
          <w:kern w:val="0"/>
          <w:sz w:val="20"/>
          <w:szCs w:val="20"/>
        </w:rPr>
        <w:t>周，与多西环素</w:t>
      </w:r>
      <w:r w:rsidRPr="00395C73">
        <w:rPr>
          <w:rFonts w:ascii="Arial" w:eastAsia="宋体" w:hAnsi="Arial" w:cs="Arial"/>
          <w:kern w:val="0"/>
          <w:sz w:val="20"/>
          <w:szCs w:val="20"/>
        </w:rPr>
        <w:t>(</w:t>
      </w:r>
      <w:r w:rsidRPr="00395C73">
        <w:rPr>
          <w:rFonts w:ascii="Arial" w:eastAsia="宋体" w:hAnsi="Arial" w:cs="Arial"/>
          <w:kern w:val="0"/>
          <w:sz w:val="20"/>
          <w:szCs w:val="20"/>
        </w:rPr>
        <w:t>一次</w:t>
      </w:r>
      <w:r w:rsidRPr="00395C73">
        <w:rPr>
          <w:rFonts w:ascii="Arial" w:eastAsia="宋体" w:hAnsi="Arial" w:cs="Arial"/>
          <w:kern w:val="0"/>
          <w:sz w:val="20"/>
          <w:szCs w:val="20"/>
        </w:rPr>
        <w:t>1-2mg/kg</w:t>
      </w:r>
      <w:r w:rsidRPr="00395C73">
        <w:rPr>
          <w:rFonts w:ascii="Arial" w:eastAsia="宋体" w:hAnsi="Arial" w:cs="Arial"/>
          <w:kern w:val="0"/>
          <w:sz w:val="20"/>
          <w:szCs w:val="20"/>
        </w:rPr>
        <w:t>，每</w:t>
      </w:r>
      <w:r w:rsidRPr="00395C73">
        <w:rPr>
          <w:rFonts w:ascii="Arial" w:eastAsia="宋体" w:hAnsi="Arial" w:cs="Arial"/>
          <w:kern w:val="0"/>
          <w:sz w:val="20"/>
          <w:szCs w:val="20"/>
        </w:rPr>
        <w:t>12</w:t>
      </w:r>
      <w:r w:rsidRPr="00395C73">
        <w:rPr>
          <w:rFonts w:ascii="Arial" w:eastAsia="宋体" w:hAnsi="Arial" w:cs="Arial"/>
          <w:kern w:val="0"/>
          <w:sz w:val="20"/>
          <w:szCs w:val="20"/>
        </w:rPr>
        <w:t>小时</w:t>
      </w:r>
      <w:r w:rsidRPr="00395C73">
        <w:rPr>
          <w:rFonts w:ascii="Arial" w:eastAsia="宋体" w:hAnsi="Arial" w:cs="Arial"/>
          <w:kern w:val="0"/>
          <w:sz w:val="20"/>
          <w:szCs w:val="20"/>
        </w:rPr>
        <w:t>1</w:t>
      </w:r>
      <w:r w:rsidRPr="00395C73">
        <w:rPr>
          <w:rFonts w:ascii="Arial" w:eastAsia="宋体" w:hAnsi="Arial" w:cs="Arial"/>
          <w:kern w:val="0"/>
          <w:sz w:val="20"/>
          <w:szCs w:val="20"/>
        </w:rPr>
        <w:t>次，最大日剂量为</w:t>
      </w:r>
      <w:r w:rsidRPr="00395C73">
        <w:rPr>
          <w:rFonts w:ascii="Arial" w:eastAsia="宋体" w:hAnsi="Arial" w:cs="Arial"/>
          <w:kern w:val="0"/>
          <w:sz w:val="20"/>
          <w:szCs w:val="20"/>
        </w:rPr>
        <w:t>200mg</w:t>
      </w:r>
      <w:r w:rsidRPr="00395C73">
        <w:rPr>
          <w:rFonts w:ascii="Arial" w:eastAsia="宋体" w:hAnsi="Arial" w:cs="Arial"/>
          <w:kern w:val="0"/>
          <w:sz w:val="20"/>
          <w:szCs w:val="20"/>
        </w:rPr>
        <w:t>，疗程</w:t>
      </w:r>
      <w:r w:rsidRPr="00395C73">
        <w:rPr>
          <w:rFonts w:ascii="Arial" w:eastAsia="宋体" w:hAnsi="Arial" w:cs="Arial"/>
          <w:kern w:val="0"/>
          <w:sz w:val="20"/>
          <w:szCs w:val="20"/>
        </w:rPr>
        <w:t>6</w:t>
      </w:r>
      <w:r w:rsidRPr="00395C73">
        <w:rPr>
          <w:rFonts w:ascii="Arial" w:eastAsia="宋体" w:hAnsi="Arial" w:cs="Arial"/>
          <w:kern w:val="0"/>
          <w:sz w:val="20"/>
          <w:szCs w:val="20"/>
        </w:rPr>
        <w:t>周，口服给药或静脉注射</w:t>
      </w:r>
      <w:r w:rsidRPr="00395C73">
        <w:rPr>
          <w:rFonts w:ascii="Arial" w:eastAsia="宋体" w:hAnsi="Arial" w:cs="Arial"/>
          <w:kern w:val="0"/>
          <w:sz w:val="20"/>
          <w:szCs w:val="20"/>
        </w:rPr>
        <w:t>)</w:t>
      </w:r>
      <w:r w:rsidRPr="00395C73">
        <w:rPr>
          <w:rFonts w:ascii="Arial" w:eastAsia="宋体" w:hAnsi="Arial" w:cs="Arial"/>
          <w:kern w:val="0"/>
          <w:sz w:val="20"/>
          <w:szCs w:val="20"/>
        </w:rPr>
        <w:t>联用。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w:t>
      </w:r>
      <w:r w:rsidRPr="00395C73">
        <w:rPr>
          <w:rFonts w:ascii="Arial" w:eastAsia="宋体" w:hAnsi="Arial" w:cs="Arial"/>
          <w:kern w:val="0"/>
          <w:sz w:val="20"/>
          <w:szCs w:val="20"/>
        </w:rPr>
        <w:t>布鲁杆菌病的辅助治疗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一日</w:t>
      </w:r>
      <w:r w:rsidRPr="00395C73">
        <w:rPr>
          <w:rFonts w:ascii="Arial" w:eastAsia="宋体" w:hAnsi="Arial" w:cs="Arial"/>
          <w:kern w:val="0"/>
          <w:sz w:val="20"/>
          <w:szCs w:val="20"/>
        </w:rPr>
        <w:t>15-20mg/kg(</w:t>
      </w:r>
      <w:r w:rsidRPr="00395C73">
        <w:rPr>
          <w:rFonts w:ascii="Arial" w:eastAsia="宋体" w:hAnsi="Arial" w:cs="Arial"/>
          <w:kern w:val="0"/>
          <w:sz w:val="20"/>
          <w:szCs w:val="20"/>
        </w:rPr>
        <w:t>最大日剂量为</w:t>
      </w:r>
      <w:r w:rsidRPr="00395C73">
        <w:rPr>
          <w:rFonts w:ascii="Arial" w:eastAsia="宋体" w:hAnsi="Arial" w:cs="Arial"/>
          <w:kern w:val="0"/>
          <w:sz w:val="20"/>
          <w:szCs w:val="20"/>
        </w:rPr>
        <w:t>600-900mg)</w:t>
      </w:r>
      <w:r w:rsidRPr="00395C73">
        <w:rPr>
          <w:rFonts w:ascii="Arial" w:eastAsia="宋体" w:hAnsi="Arial" w:cs="Arial"/>
          <w:kern w:val="0"/>
          <w:sz w:val="20"/>
          <w:szCs w:val="20"/>
        </w:rPr>
        <w:t>，分</w:t>
      </w:r>
      <w:r w:rsidRPr="00395C73">
        <w:rPr>
          <w:rFonts w:ascii="Arial" w:eastAsia="宋体" w:hAnsi="Arial" w:cs="Arial"/>
          <w:kern w:val="0"/>
          <w:sz w:val="20"/>
          <w:szCs w:val="20"/>
        </w:rPr>
        <w:t>1-2</w:t>
      </w:r>
      <w:r w:rsidRPr="00395C73">
        <w:rPr>
          <w:rFonts w:ascii="Arial" w:eastAsia="宋体" w:hAnsi="Arial" w:cs="Arial"/>
          <w:kern w:val="0"/>
          <w:sz w:val="20"/>
          <w:szCs w:val="20"/>
        </w:rPr>
        <w:t>次服用，疗程至少</w:t>
      </w:r>
      <w:r w:rsidRPr="00395C73">
        <w:rPr>
          <w:rFonts w:ascii="Arial" w:eastAsia="宋体" w:hAnsi="Arial" w:cs="Arial"/>
          <w:kern w:val="0"/>
          <w:sz w:val="20"/>
          <w:szCs w:val="20"/>
        </w:rPr>
        <w:t>6</w:t>
      </w:r>
      <w:r w:rsidRPr="00395C73">
        <w:rPr>
          <w:rFonts w:ascii="Arial" w:eastAsia="宋体" w:hAnsi="Arial" w:cs="Arial"/>
          <w:kern w:val="0"/>
          <w:sz w:val="20"/>
          <w:szCs w:val="20"/>
        </w:rPr>
        <w:t>周。与四环素类药</w:t>
      </w:r>
      <w:r w:rsidRPr="00395C73">
        <w:rPr>
          <w:rFonts w:ascii="Arial" w:eastAsia="宋体" w:hAnsi="Arial" w:cs="Arial"/>
          <w:kern w:val="0"/>
          <w:sz w:val="20"/>
          <w:szCs w:val="20"/>
        </w:rPr>
        <w:t>(</w:t>
      </w:r>
      <w:r w:rsidRPr="00395C73">
        <w:rPr>
          <w:rFonts w:ascii="Arial" w:eastAsia="宋体" w:hAnsi="Arial" w:cs="Arial"/>
          <w:kern w:val="0"/>
          <w:sz w:val="20"/>
          <w:szCs w:val="20"/>
        </w:rPr>
        <w:t>幼儿可使用磺胺甲噁唑</w:t>
      </w:r>
      <w:r w:rsidRPr="00395C73">
        <w:rPr>
          <w:rFonts w:ascii="Arial" w:eastAsia="宋体" w:hAnsi="Arial" w:cs="Arial"/>
          <w:kern w:val="0"/>
          <w:sz w:val="20"/>
          <w:szCs w:val="20"/>
        </w:rPr>
        <w:t>/</w:t>
      </w:r>
      <w:r w:rsidRPr="00395C73">
        <w:rPr>
          <w:rFonts w:ascii="Arial" w:eastAsia="宋体" w:hAnsi="Arial" w:cs="Arial"/>
          <w:kern w:val="0"/>
          <w:sz w:val="20"/>
          <w:szCs w:val="20"/>
        </w:rPr>
        <w:t>甲氧苄啶</w:t>
      </w:r>
      <w:r w:rsidRPr="00395C73">
        <w:rPr>
          <w:rFonts w:ascii="Arial" w:eastAsia="宋体" w:hAnsi="Arial" w:cs="Arial"/>
          <w:kern w:val="0"/>
          <w:sz w:val="20"/>
          <w:szCs w:val="20"/>
        </w:rPr>
        <w:t>)</w:t>
      </w:r>
      <w:r w:rsidRPr="00395C73">
        <w:rPr>
          <w:rFonts w:ascii="Arial" w:eastAsia="宋体" w:hAnsi="Arial" w:cs="Arial"/>
          <w:kern w:val="0"/>
          <w:sz w:val="20"/>
          <w:szCs w:val="20"/>
        </w:rPr>
        <w:t>联用。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参见</w:t>
      </w:r>
      <w:r w:rsidRPr="00395C73">
        <w:rPr>
          <w:rFonts w:ascii="Arial" w:eastAsia="宋体" w:hAnsi="Arial" w:cs="Arial"/>
          <w:kern w:val="0"/>
          <w:sz w:val="20"/>
          <w:szCs w:val="20"/>
        </w:rPr>
        <w:t>“</w:t>
      </w:r>
      <w:r w:rsidRPr="00395C73">
        <w:rPr>
          <w:rFonts w:ascii="Arial" w:eastAsia="宋体" w:hAnsi="Arial" w:cs="Arial"/>
          <w:kern w:val="0"/>
          <w:sz w:val="20"/>
          <w:szCs w:val="20"/>
        </w:rPr>
        <w:t>口服给药</w:t>
      </w:r>
      <w:r w:rsidRPr="00395C73">
        <w:rPr>
          <w:rFonts w:ascii="Arial" w:eastAsia="宋体" w:hAnsi="Arial" w:cs="Arial"/>
          <w:kern w:val="0"/>
          <w:sz w:val="20"/>
          <w:szCs w:val="20"/>
        </w:rPr>
        <w:t>”</w:t>
      </w:r>
      <w:r w:rsidRPr="00395C73">
        <w:rPr>
          <w:rFonts w:ascii="Arial" w:eastAsia="宋体" w:hAnsi="Arial" w:cs="Arial"/>
          <w:kern w:val="0"/>
          <w:sz w:val="20"/>
          <w:szCs w:val="20"/>
        </w:rPr>
        <w:t>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【给药说明】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给药方式说明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1.</w:t>
      </w:r>
      <w:r w:rsidRPr="00395C73">
        <w:rPr>
          <w:rFonts w:ascii="Arial" w:eastAsia="宋体" w:hAnsi="Arial" w:cs="Arial"/>
          <w:kern w:val="0"/>
          <w:sz w:val="20"/>
          <w:szCs w:val="20"/>
        </w:rPr>
        <w:t>口服给药</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本药应于餐前</w:t>
      </w:r>
      <w:r w:rsidRPr="00395C73">
        <w:rPr>
          <w:rFonts w:ascii="Arial" w:eastAsia="宋体" w:hAnsi="Arial" w:cs="Arial"/>
          <w:kern w:val="0"/>
          <w:sz w:val="20"/>
          <w:szCs w:val="20"/>
        </w:rPr>
        <w:t>1</w:t>
      </w:r>
      <w:r w:rsidRPr="00395C73">
        <w:rPr>
          <w:rFonts w:ascii="Arial" w:eastAsia="宋体" w:hAnsi="Arial" w:cs="Arial"/>
          <w:kern w:val="0"/>
          <w:sz w:val="20"/>
          <w:szCs w:val="20"/>
        </w:rPr>
        <w:t>小时或餐后</w:t>
      </w:r>
      <w:r w:rsidRPr="00395C73">
        <w:rPr>
          <w:rFonts w:ascii="Arial" w:eastAsia="宋体" w:hAnsi="Arial" w:cs="Arial"/>
          <w:kern w:val="0"/>
          <w:sz w:val="20"/>
          <w:szCs w:val="20"/>
        </w:rPr>
        <w:t>2</w:t>
      </w:r>
      <w:r w:rsidRPr="00395C73">
        <w:rPr>
          <w:rFonts w:ascii="Arial" w:eastAsia="宋体" w:hAnsi="Arial" w:cs="Arial"/>
          <w:kern w:val="0"/>
          <w:sz w:val="20"/>
          <w:szCs w:val="20"/>
        </w:rPr>
        <w:t>小时服用，清晨空腹顿服吸收最好，因食物可影响本药的吸收。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 xml:space="preserve">  (1)</w:t>
      </w:r>
      <w:r w:rsidRPr="00395C73">
        <w:rPr>
          <w:rFonts w:ascii="Arial" w:eastAsia="宋体" w:hAnsi="Arial" w:cs="Arial"/>
          <w:kern w:val="0"/>
          <w:sz w:val="20"/>
          <w:szCs w:val="20"/>
        </w:rPr>
        <w:t>本药粉针剂和注射液仅用于静脉滴注，不可用于肌内注射或皮下注射，滴注时应避免药液外渗。</w:t>
      </w:r>
      <w:r w:rsidRPr="00395C73">
        <w:rPr>
          <w:rFonts w:ascii="Arial" w:eastAsia="宋体" w:hAnsi="Arial" w:cs="Arial"/>
          <w:kern w:val="0"/>
          <w:sz w:val="20"/>
          <w:szCs w:val="20"/>
        </w:rPr>
        <w:t>(2)</w:t>
      </w:r>
      <w:r w:rsidRPr="00395C73">
        <w:rPr>
          <w:rFonts w:ascii="Arial" w:eastAsia="宋体" w:hAnsi="Arial" w:cs="Arial"/>
          <w:kern w:val="0"/>
          <w:sz w:val="20"/>
          <w:szCs w:val="20"/>
        </w:rPr>
        <w:t>与其他静脉注射药物合用时应通过不同部位注射。</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注射液的配制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静脉滴注液：本药注射剂以</w:t>
      </w:r>
      <w:r w:rsidRPr="00395C73">
        <w:rPr>
          <w:rFonts w:ascii="Arial" w:eastAsia="宋体" w:hAnsi="Arial" w:cs="Arial"/>
          <w:kern w:val="0"/>
          <w:sz w:val="20"/>
          <w:szCs w:val="20"/>
        </w:rPr>
        <w:t>5%</w:t>
      </w:r>
      <w:r w:rsidRPr="00395C73">
        <w:rPr>
          <w:rFonts w:ascii="Arial" w:eastAsia="宋体" w:hAnsi="Arial" w:cs="Arial"/>
          <w:kern w:val="0"/>
          <w:sz w:val="20"/>
          <w:szCs w:val="20"/>
        </w:rPr>
        <w:t>葡萄糖注射液或</w:t>
      </w:r>
      <w:r w:rsidRPr="00395C73">
        <w:rPr>
          <w:rFonts w:ascii="Arial" w:eastAsia="宋体" w:hAnsi="Arial" w:cs="Arial"/>
          <w:kern w:val="0"/>
          <w:sz w:val="20"/>
          <w:szCs w:val="20"/>
        </w:rPr>
        <w:t>0.9%</w:t>
      </w:r>
      <w:r w:rsidRPr="00395C73">
        <w:rPr>
          <w:rFonts w:ascii="Arial" w:eastAsia="宋体" w:hAnsi="Arial" w:cs="Arial"/>
          <w:kern w:val="0"/>
          <w:sz w:val="20"/>
          <w:szCs w:val="20"/>
        </w:rPr>
        <w:t>氯化钠注射液</w:t>
      </w:r>
      <w:r w:rsidRPr="00395C73">
        <w:rPr>
          <w:rFonts w:ascii="Arial" w:eastAsia="宋体" w:hAnsi="Arial" w:cs="Arial"/>
          <w:kern w:val="0"/>
          <w:sz w:val="20"/>
          <w:szCs w:val="20"/>
        </w:rPr>
        <w:t>500ml</w:t>
      </w:r>
      <w:r w:rsidRPr="00395C73">
        <w:rPr>
          <w:rFonts w:ascii="Arial" w:eastAsia="宋体" w:hAnsi="Arial" w:cs="Arial"/>
          <w:kern w:val="0"/>
          <w:sz w:val="20"/>
          <w:szCs w:val="20"/>
        </w:rPr>
        <w:t>稀释后滴注，滴注时间应超过</w:t>
      </w:r>
      <w:r w:rsidRPr="00395C73">
        <w:rPr>
          <w:rFonts w:ascii="Arial" w:eastAsia="宋体" w:hAnsi="Arial" w:cs="Arial"/>
          <w:kern w:val="0"/>
          <w:sz w:val="20"/>
          <w:szCs w:val="20"/>
        </w:rPr>
        <w:t>2-3</w:t>
      </w:r>
      <w:r w:rsidRPr="00395C73">
        <w:rPr>
          <w:rFonts w:ascii="Arial" w:eastAsia="宋体" w:hAnsi="Arial" w:cs="Arial"/>
          <w:kern w:val="0"/>
          <w:sz w:val="20"/>
          <w:szCs w:val="20"/>
        </w:rPr>
        <w:t>小时，但应在</w:t>
      </w:r>
      <w:r w:rsidRPr="00395C73">
        <w:rPr>
          <w:rFonts w:ascii="Arial" w:eastAsia="宋体" w:hAnsi="Arial" w:cs="Arial"/>
          <w:kern w:val="0"/>
          <w:sz w:val="20"/>
          <w:szCs w:val="20"/>
        </w:rPr>
        <w:t>4</w:t>
      </w:r>
      <w:r w:rsidRPr="00395C73">
        <w:rPr>
          <w:rFonts w:ascii="Arial" w:eastAsia="宋体" w:hAnsi="Arial" w:cs="Arial"/>
          <w:kern w:val="0"/>
          <w:sz w:val="20"/>
          <w:szCs w:val="20"/>
        </w:rPr>
        <w:t>小时内滴完。粉针剂应先用</w:t>
      </w:r>
      <w:r w:rsidRPr="00395C73">
        <w:rPr>
          <w:rFonts w:ascii="Arial" w:eastAsia="宋体" w:hAnsi="Arial" w:cs="Arial"/>
          <w:kern w:val="0"/>
          <w:sz w:val="20"/>
          <w:szCs w:val="20"/>
        </w:rPr>
        <w:t>10ml</w:t>
      </w:r>
      <w:r w:rsidRPr="00395C73">
        <w:rPr>
          <w:rFonts w:ascii="Arial" w:eastAsia="宋体" w:hAnsi="Arial" w:cs="Arial"/>
          <w:kern w:val="0"/>
          <w:sz w:val="20"/>
          <w:szCs w:val="20"/>
        </w:rPr>
        <w:t>注射用水完全溶解后再稀释。</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【禁忌症】</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对本药或利福霉素类药物过敏者。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严重肝功能不全者。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胆道阻塞者。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妊娠早期妇女。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【慎用】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酒精中毒者。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肝功能损害者。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卟啉病患者。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4. 5</w:t>
      </w:r>
      <w:r w:rsidRPr="00395C73">
        <w:rPr>
          <w:rFonts w:ascii="Arial" w:eastAsia="宋体" w:hAnsi="Arial" w:cs="Arial"/>
          <w:kern w:val="0"/>
          <w:sz w:val="20"/>
          <w:szCs w:val="20"/>
        </w:rPr>
        <w:t>岁以下儿童。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老年人。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w:t>
      </w:r>
      <w:r w:rsidRPr="00395C73">
        <w:rPr>
          <w:rFonts w:ascii="Arial" w:eastAsia="宋体" w:hAnsi="Arial" w:cs="Arial"/>
          <w:kern w:val="0"/>
          <w:sz w:val="20"/>
          <w:szCs w:val="20"/>
        </w:rPr>
        <w:t>妊娠中、晚期妇女。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【特殊人群】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儿童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岁以下儿童用药的安全性尚不明确，故慎用。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老人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老年患者肝功能下降，应慎用。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lastRenderedPageBreak/>
        <w:t>妊娠期妇女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本药可透过胎盘，动物试验曾引起畸胎。人类临床试验虽尚无致畸报道，但妊娠早期妇女禁用，妊娠中、晚期妇女慎用。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美国食品药品管理局</w:t>
      </w:r>
      <w:r w:rsidRPr="00395C73">
        <w:rPr>
          <w:rFonts w:ascii="Arial" w:eastAsia="宋体" w:hAnsi="Arial" w:cs="Arial"/>
          <w:kern w:val="0"/>
          <w:sz w:val="20"/>
          <w:szCs w:val="20"/>
        </w:rPr>
        <w:t>(FDA)</w:t>
      </w:r>
      <w:r w:rsidRPr="00395C73">
        <w:rPr>
          <w:rFonts w:ascii="Arial" w:eastAsia="宋体" w:hAnsi="Arial" w:cs="Arial"/>
          <w:kern w:val="0"/>
          <w:sz w:val="20"/>
          <w:szCs w:val="20"/>
        </w:rPr>
        <w:t>对本药的妊娠安全性分级为</w:t>
      </w:r>
      <w:r w:rsidRPr="00395C73">
        <w:rPr>
          <w:rFonts w:ascii="Arial" w:eastAsia="宋体" w:hAnsi="Arial" w:cs="Arial"/>
          <w:kern w:val="0"/>
          <w:sz w:val="20"/>
          <w:szCs w:val="20"/>
        </w:rPr>
        <w:t>C</w:t>
      </w:r>
      <w:r w:rsidRPr="00395C73">
        <w:rPr>
          <w:rFonts w:ascii="Arial" w:eastAsia="宋体" w:hAnsi="Arial" w:cs="Arial"/>
          <w:kern w:val="0"/>
          <w:sz w:val="20"/>
          <w:szCs w:val="20"/>
        </w:rPr>
        <w:t>级。</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哺乳期妇女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本药可随乳汁排泄，且动物试验观察到本药的致癌性，故哺乳期妇女用药应权衡利弊。</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【不良反应】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心血管系统</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间歇疗法可引起血压降低。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代谢</w:t>
      </w:r>
      <w:r w:rsidRPr="00395C73">
        <w:rPr>
          <w:rFonts w:ascii="Arial" w:eastAsia="宋体" w:hAnsi="Arial" w:cs="Arial"/>
          <w:kern w:val="0"/>
          <w:sz w:val="20"/>
          <w:szCs w:val="20"/>
        </w:rPr>
        <w:t>/</w:t>
      </w:r>
      <w:r w:rsidRPr="00395C73">
        <w:rPr>
          <w:rFonts w:ascii="Arial" w:eastAsia="宋体" w:hAnsi="Arial" w:cs="Arial"/>
          <w:kern w:val="0"/>
          <w:sz w:val="20"/>
          <w:szCs w:val="20"/>
        </w:rPr>
        <w:t>内分泌系统</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可见血清尿酸浓度升高，还有甲状腺功能减退的报道。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呼吸系统</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间歇疗法可引起呼吸短促。</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肌肉骨骼系统</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有肌病、四肢疼痛的报道。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泌尿生殖系统</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可见血尿素氮升高、月经紊乱。偶见血红蛋白尿、血尿、间质性肾炎、急性肾小管坏死、肾功能不全。偶有肾上腺功能不全的报道。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w:t>
      </w:r>
      <w:r w:rsidRPr="00395C73">
        <w:rPr>
          <w:rFonts w:ascii="Arial" w:eastAsia="宋体" w:hAnsi="Arial" w:cs="Arial"/>
          <w:kern w:val="0"/>
          <w:sz w:val="20"/>
          <w:szCs w:val="20"/>
        </w:rPr>
        <w:t>神经系统</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偶见头痛、眩晕。有嗜睡、头晕、共济失调、注意力不集中、全身麻木的报道。还可见意识模糊。</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w:t>
      </w:r>
      <w:r w:rsidRPr="00395C73">
        <w:rPr>
          <w:rFonts w:ascii="Arial" w:eastAsia="宋体" w:hAnsi="Arial" w:cs="Arial"/>
          <w:kern w:val="0"/>
          <w:sz w:val="20"/>
          <w:szCs w:val="20"/>
        </w:rPr>
        <w:t>精神</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偶有精神错乱的报道。还可见行为改变。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8.</w:t>
      </w:r>
      <w:r w:rsidRPr="00395C73">
        <w:rPr>
          <w:rFonts w:ascii="Arial" w:eastAsia="宋体" w:hAnsi="Arial" w:cs="Arial"/>
          <w:kern w:val="0"/>
          <w:sz w:val="20"/>
          <w:szCs w:val="20"/>
        </w:rPr>
        <w:t>肝脏</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肝毒性为主要不良反应，少见血清氨基转移酶升高、肝肿大、黄疸。也可见血清碱性磷酸酶升高、血胆红素升高。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9.</w:t>
      </w:r>
      <w:r w:rsidRPr="00395C73">
        <w:rPr>
          <w:rFonts w:ascii="Arial" w:eastAsia="宋体" w:hAnsi="Arial" w:cs="Arial"/>
          <w:kern w:val="0"/>
          <w:sz w:val="20"/>
          <w:szCs w:val="20"/>
        </w:rPr>
        <w:t>胃肠道</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可见厌食、恶心、呕吐、上腹部不适、腹泻、烧心、胃肠胀气。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10.</w:t>
      </w:r>
      <w:r w:rsidRPr="00395C73">
        <w:rPr>
          <w:rFonts w:ascii="Arial" w:eastAsia="宋体" w:hAnsi="Arial" w:cs="Arial"/>
          <w:kern w:val="0"/>
          <w:sz w:val="20"/>
          <w:szCs w:val="20"/>
        </w:rPr>
        <w:t>血液</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偶见白细胞减少、凝血酶原时间缩短。也可见血小板减少。偶有溶血性贫血和血红蛋白降低的报道。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11.</w:t>
      </w:r>
      <w:r w:rsidRPr="00395C73">
        <w:rPr>
          <w:rFonts w:ascii="Arial" w:eastAsia="宋体" w:hAnsi="Arial" w:cs="Arial"/>
          <w:kern w:val="0"/>
          <w:sz w:val="20"/>
          <w:szCs w:val="20"/>
        </w:rPr>
        <w:t>皮肤</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可见瘙痒，还有丘疹、迟发性皮肤卟啉病、血小板减少性紫癜的报道。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12.</w:t>
      </w:r>
      <w:r w:rsidRPr="00395C73">
        <w:rPr>
          <w:rFonts w:ascii="Arial" w:eastAsia="宋体" w:hAnsi="Arial" w:cs="Arial"/>
          <w:kern w:val="0"/>
          <w:sz w:val="20"/>
          <w:szCs w:val="20"/>
        </w:rPr>
        <w:t>眼</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偶见视力障碍。</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13.</w:t>
      </w:r>
      <w:r w:rsidRPr="00395C73">
        <w:rPr>
          <w:rFonts w:ascii="Arial" w:eastAsia="宋体" w:hAnsi="Arial" w:cs="Arial"/>
          <w:kern w:val="0"/>
          <w:sz w:val="20"/>
          <w:szCs w:val="20"/>
        </w:rPr>
        <w:t>过敏反应</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可见皮肤发红或皮疹。偶见荨麻疹、皮疹、多形性红斑、中毒性表皮坏死松解症、脉管炎。大剂量间歇疗法后偶见</w:t>
      </w:r>
      <w:r w:rsidRPr="00395C73">
        <w:rPr>
          <w:rFonts w:ascii="Arial" w:eastAsia="宋体" w:hAnsi="Arial" w:cs="Arial"/>
          <w:kern w:val="0"/>
          <w:sz w:val="20"/>
          <w:szCs w:val="20"/>
        </w:rPr>
        <w:t>“</w:t>
      </w:r>
      <w:r w:rsidRPr="00395C73">
        <w:rPr>
          <w:rFonts w:ascii="Arial" w:eastAsia="宋体" w:hAnsi="Arial" w:cs="Arial"/>
          <w:kern w:val="0"/>
          <w:sz w:val="20"/>
          <w:szCs w:val="20"/>
        </w:rPr>
        <w:t>流感样综合征</w:t>
      </w:r>
      <w:r w:rsidRPr="00395C73">
        <w:rPr>
          <w:rFonts w:ascii="Arial" w:eastAsia="宋体" w:hAnsi="Arial" w:cs="Arial"/>
          <w:kern w:val="0"/>
          <w:sz w:val="20"/>
          <w:szCs w:val="20"/>
        </w:rPr>
        <w:t>”</w:t>
      </w:r>
      <w:r w:rsidRPr="00395C73">
        <w:rPr>
          <w:rFonts w:ascii="Arial" w:eastAsia="宋体" w:hAnsi="Arial" w:cs="Arial"/>
          <w:kern w:val="0"/>
          <w:sz w:val="20"/>
          <w:szCs w:val="20"/>
        </w:rPr>
        <w:t>，表现为畏寒、寒战、发热、不适、呼吸困难、头晕、嗜睡及肌肉疼痛等。</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14.</w:t>
      </w:r>
      <w:r w:rsidRPr="00395C73">
        <w:rPr>
          <w:rFonts w:ascii="Arial" w:eastAsia="宋体" w:hAnsi="Arial" w:cs="Arial"/>
          <w:kern w:val="0"/>
          <w:sz w:val="20"/>
          <w:szCs w:val="20"/>
        </w:rPr>
        <w:t>其他</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可见疲劳、面部和四肢水肿。间歇疗法还可引起休克。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【药物相互作用】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w:t>
      </w:r>
      <w:r w:rsidRPr="00395C73">
        <w:rPr>
          <w:rFonts w:ascii="Arial" w:eastAsia="宋体" w:hAnsi="Arial" w:cs="Arial"/>
          <w:b/>
          <w:bCs/>
          <w:kern w:val="0"/>
          <w:sz w:val="20"/>
          <w:szCs w:val="20"/>
        </w:rPr>
        <w:t>-</w:t>
      </w:r>
      <w:r w:rsidRPr="00395C73">
        <w:rPr>
          <w:rFonts w:ascii="Arial" w:eastAsia="宋体" w:hAnsi="Arial" w:cs="Arial"/>
          <w:b/>
          <w:bCs/>
          <w:kern w:val="0"/>
          <w:sz w:val="20"/>
          <w:szCs w:val="20"/>
        </w:rPr>
        <w:t>药物相互作用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丙磺舒：</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结果：合用可升高本药的血药浓度并产生毒性反应。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机制：两者竞争被肝细胞摄入。</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处理：该作用不稳定，故不宜加用丙磺舒以升高本药的血药浓度。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匹伐他汀钙：</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结果：合用可升高匹伐他汀钙的血药浓度。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处理：合用时匹伐他汀钙的剂量不应超过一日</w:t>
      </w:r>
      <w:r w:rsidRPr="00395C73">
        <w:rPr>
          <w:rFonts w:ascii="Arial" w:eastAsia="宋体" w:hAnsi="Arial" w:cs="Arial"/>
          <w:kern w:val="0"/>
          <w:sz w:val="20"/>
          <w:szCs w:val="20"/>
        </w:rPr>
        <w:t>2mg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缬沙坦：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结果：合用可增加缬沙坦的暴露量。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机制：本药可抑制有机阴离子转运蛋白</w:t>
      </w:r>
      <w:r w:rsidRPr="00395C73">
        <w:rPr>
          <w:rFonts w:ascii="Arial" w:eastAsia="宋体" w:hAnsi="Arial" w:cs="Arial"/>
          <w:kern w:val="0"/>
          <w:sz w:val="20"/>
          <w:szCs w:val="20"/>
        </w:rPr>
        <w:t>(OATP) 1B1</w:t>
      </w:r>
      <w:r w:rsidRPr="00395C73">
        <w:rPr>
          <w:rFonts w:ascii="Arial" w:eastAsia="宋体" w:hAnsi="Arial" w:cs="Arial"/>
          <w:kern w:val="0"/>
          <w:sz w:val="20"/>
          <w:szCs w:val="20"/>
        </w:rPr>
        <w:t>介导的缬沙坦的清除。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来氟米特：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结果：合用可增加来氟米特的代谢物水平。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机制：本药可减少细胞色素</w:t>
      </w:r>
      <w:r w:rsidRPr="00395C73">
        <w:rPr>
          <w:rFonts w:ascii="Arial" w:eastAsia="宋体" w:hAnsi="Arial" w:cs="Arial"/>
          <w:kern w:val="0"/>
          <w:sz w:val="20"/>
          <w:szCs w:val="20"/>
        </w:rPr>
        <w:t>P</w:t>
      </w:r>
      <w:r w:rsidRPr="00395C73">
        <w:rPr>
          <w:rFonts w:ascii="Arial" w:eastAsia="宋体" w:hAnsi="Arial" w:cs="Arial"/>
          <w:kern w:val="0"/>
          <w:sz w:val="20"/>
          <w:szCs w:val="20"/>
          <w:vertAlign w:val="subscript"/>
        </w:rPr>
        <w:t>450</w:t>
      </w:r>
      <w:r w:rsidRPr="00395C73">
        <w:rPr>
          <w:rFonts w:ascii="Arial" w:eastAsia="宋体" w:hAnsi="Arial" w:cs="Arial"/>
          <w:kern w:val="0"/>
          <w:sz w:val="20"/>
          <w:szCs w:val="20"/>
        </w:rPr>
        <w:t>(CYP)</w:t>
      </w:r>
      <w:r w:rsidRPr="00395C73">
        <w:rPr>
          <w:rFonts w:ascii="Arial" w:eastAsia="宋体" w:hAnsi="Arial" w:cs="Arial"/>
          <w:kern w:val="0"/>
          <w:sz w:val="20"/>
          <w:szCs w:val="20"/>
        </w:rPr>
        <w:t>介导的来氟米特的代谢。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处理：合用时应密切监测来氟米特的毒性</w:t>
      </w:r>
      <w:r w:rsidRPr="00395C73">
        <w:rPr>
          <w:rFonts w:ascii="Arial" w:eastAsia="宋体" w:hAnsi="Arial" w:cs="Arial"/>
          <w:kern w:val="0"/>
          <w:sz w:val="20"/>
          <w:szCs w:val="20"/>
        </w:rPr>
        <w:t>(</w:t>
      </w:r>
      <w:r w:rsidRPr="00395C73">
        <w:rPr>
          <w:rFonts w:ascii="Arial" w:eastAsia="宋体" w:hAnsi="Arial" w:cs="Arial"/>
          <w:kern w:val="0"/>
          <w:sz w:val="20"/>
          <w:szCs w:val="20"/>
        </w:rPr>
        <w:t>如肝毒性</w:t>
      </w:r>
      <w:r w:rsidRPr="00395C73">
        <w:rPr>
          <w:rFonts w:ascii="Arial" w:eastAsia="宋体" w:hAnsi="Arial" w:cs="Arial"/>
          <w:kern w:val="0"/>
          <w:sz w:val="20"/>
          <w:szCs w:val="20"/>
        </w:rPr>
        <w:t>)</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异烟肼：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结果：合用可增加肝毒性发生的风险，尤其是原有肝功能损害者和异烟肼快乙酰化患者。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w:t>
      </w:r>
      <w:r w:rsidRPr="00395C73">
        <w:rPr>
          <w:rFonts w:ascii="Arial" w:eastAsia="宋体" w:hAnsi="Arial" w:cs="Arial"/>
          <w:kern w:val="0"/>
          <w:sz w:val="20"/>
          <w:szCs w:val="20"/>
        </w:rPr>
        <w:t>恩他卡朋：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结果：合用可增加恩他卡朋不良反应</w:t>
      </w:r>
      <w:r w:rsidRPr="00395C73">
        <w:rPr>
          <w:rFonts w:ascii="Arial" w:eastAsia="宋体" w:hAnsi="Arial" w:cs="Arial"/>
          <w:kern w:val="0"/>
          <w:sz w:val="20"/>
          <w:szCs w:val="20"/>
        </w:rPr>
        <w:t>(</w:t>
      </w:r>
      <w:r w:rsidRPr="00395C73">
        <w:rPr>
          <w:rFonts w:ascii="Arial" w:eastAsia="宋体" w:hAnsi="Arial" w:cs="Arial"/>
          <w:kern w:val="0"/>
          <w:sz w:val="20"/>
          <w:szCs w:val="20"/>
        </w:rPr>
        <w:t>腹泻、运动障碍</w:t>
      </w:r>
      <w:r w:rsidRPr="00395C73">
        <w:rPr>
          <w:rFonts w:ascii="Arial" w:eastAsia="宋体" w:hAnsi="Arial" w:cs="Arial"/>
          <w:kern w:val="0"/>
          <w:sz w:val="20"/>
          <w:szCs w:val="20"/>
        </w:rPr>
        <w:t>)</w:t>
      </w:r>
      <w:r w:rsidRPr="00395C73">
        <w:rPr>
          <w:rFonts w:ascii="Arial" w:eastAsia="宋体" w:hAnsi="Arial" w:cs="Arial"/>
          <w:kern w:val="0"/>
          <w:sz w:val="20"/>
          <w:szCs w:val="20"/>
        </w:rPr>
        <w:t>的风险。</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机制：合用可减少恩他卡朋随胆汁排泄。</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处理：合用时应监测恩他卡朋的不良反应。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w:t>
      </w:r>
      <w:r w:rsidRPr="00395C73">
        <w:rPr>
          <w:rFonts w:ascii="Arial" w:eastAsia="宋体" w:hAnsi="Arial" w:cs="Arial"/>
          <w:kern w:val="0"/>
          <w:sz w:val="20"/>
          <w:szCs w:val="20"/>
        </w:rPr>
        <w:t>乙硫异烟胺：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结果：合用可加重不良反应。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8.</w:t>
      </w:r>
      <w:r w:rsidRPr="00395C73">
        <w:rPr>
          <w:rFonts w:ascii="Arial" w:eastAsia="宋体" w:hAnsi="Arial" w:cs="Arial"/>
          <w:kern w:val="0"/>
          <w:sz w:val="20"/>
          <w:szCs w:val="20"/>
        </w:rPr>
        <w:t>左醋美沙朵：</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结果：合用可增加心脏中毒</w:t>
      </w:r>
      <w:r w:rsidRPr="00395C73">
        <w:rPr>
          <w:rFonts w:ascii="Arial" w:eastAsia="宋体" w:hAnsi="Arial" w:cs="Arial"/>
          <w:kern w:val="0"/>
          <w:sz w:val="20"/>
          <w:szCs w:val="20"/>
        </w:rPr>
        <w:t>(QT</w:t>
      </w:r>
      <w:r w:rsidRPr="00395C73">
        <w:rPr>
          <w:rFonts w:ascii="Arial" w:eastAsia="宋体" w:hAnsi="Arial" w:cs="Arial"/>
          <w:kern w:val="0"/>
          <w:sz w:val="20"/>
          <w:szCs w:val="20"/>
        </w:rPr>
        <w:t>间期延长、尖端扭转性室性心动过速</w:t>
      </w:r>
      <w:r w:rsidRPr="00395C73">
        <w:rPr>
          <w:rFonts w:ascii="Arial" w:eastAsia="宋体" w:hAnsi="Arial" w:cs="Arial"/>
          <w:kern w:val="0"/>
          <w:sz w:val="20"/>
          <w:szCs w:val="20"/>
        </w:rPr>
        <w:t>)</w:t>
      </w:r>
      <w:r w:rsidRPr="00395C73">
        <w:rPr>
          <w:rFonts w:ascii="Arial" w:eastAsia="宋体" w:hAnsi="Arial" w:cs="Arial"/>
          <w:kern w:val="0"/>
          <w:sz w:val="20"/>
          <w:szCs w:val="20"/>
        </w:rPr>
        <w:t>的风险。</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介导的左醋美沙朵的代谢。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9.</w:t>
      </w:r>
      <w:r w:rsidRPr="00395C73">
        <w:rPr>
          <w:rFonts w:ascii="Arial" w:eastAsia="宋体" w:hAnsi="Arial" w:cs="Arial"/>
          <w:kern w:val="0"/>
          <w:sz w:val="20"/>
          <w:szCs w:val="20"/>
        </w:rPr>
        <w:t>对氨基水杨酸盐：</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结果：合用可降低本药的血药浓度。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机制：合用可影响本药的吸收。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处理：合用需间隔至少</w:t>
      </w:r>
      <w:r w:rsidRPr="00395C73">
        <w:rPr>
          <w:rFonts w:ascii="Arial" w:eastAsia="宋体" w:hAnsi="Arial" w:cs="Arial"/>
          <w:kern w:val="0"/>
          <w:sz w:val="20"/>
          <w:szCs w:val="20"/>
        </w:rPr>
        <w:t>6</w:t>
      </w:r>
      <w:r w:rsidRPr="00395C73">
        <w:rPr>
          <w:rFonts w:ascii="Arial" w:eastAsia="宋体" w:hAnsi="Arial" w:cs="Arial"/>
          <w:kern w:val="0"/>
          <w:sz w:val="20"/>
          <w:szCs w:val="20"/>
        </w:rPr>
        <w:t>小时。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10.</w:t>
      </w:r>
      <w:r w:rsidRPr="00395C73">
        <w:rPr>
          <w:rFonts w:ascii="Arial" w:eastAsia="宋体" w:hAnsi="Arial" w:cs="Arial"/>
          <w:kern w:val="0"/>
          <w:sz w:val="20"/>
          <w:szCs w:val="20"/>
        </w:rPr>
        <w:t>氯法齐明：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结果：合用可使本药的吸收减少、达峰时间延迟、半衰期延长。</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11.</w:t>
      </w:r>
      <w:r w:rsidRPr="00395C73">
        <w:rPr>
          <w:rFonts w:ascii="Arial" w:eastAsia="宋体" w:hAnsi="Arial" w:cs="Arial"/>
          <w:kern w:val="0"/>
          <w:sz w:val="20"/>
          <w:szCs w:val="20"/>
        </w:rPr>
        <w:t>安普那韦、西罗莫司：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结果：合用可使以上药物失效。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处理：本药不宜与安普那韦合用。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12.</w:t>
      </w:r>
      <w:r w:rsidRPr="00395C73">
        <w:rPr>
          <w:rFonts w:ascii="Arial" w:eastAsia="宋体" w:hAnsi="Arial" w:cs="Arial"/>
          <w:kern w:val="0"/>
          <w:sz w:val="20"/>
          <w:szCs w:val="20"/>
        </w:rPr>
        <w:t>舍曲林、三唑仑：</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结果：合用可使以上药物失效。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处理：合用时应监测舍曲林的疗效和撤药症状，根据需要增加舍曲林的剂量。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13.</w:t>
      </w:r>
      <w:r w:rsidRPr="00395C73">
        <w:rPr>
          <w:rFonts w:ascii="Arial" w:eastAsia="宋体" w:hAnsi="Arial" w:cs="Arial"/>
          <w:kern w:val="0"/>
          <w:sz w:val="20"/>
          <w:szCs w:val="20"/>
        </w:rPr>
        <w:t>地拉韦啶：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结果：合用可降低地拉韦啶的血药浓度。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机制：本药可诱导地拉韦啶的代谢。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处理：两者不宜合用。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14.</w:t>
      </w:r>
      <w:r w:rsidRPr="00395C73">
        <w:rPr>
          <w:rFonts w:ascii="Arial" w:eastAsia="宋体" w:hAnsi="Arial" w:cs="Arial"/>
          <w:kern w:val="0"/>
          <w:sz w:val="20"/>
          <w:szCs w:val="20"/>
        </w:rPr>
        <w:t>阿扎那韦、达芦那韦、洛匹那韦、沙奎那韦：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结果：合用可降低以上药物的血药浓度。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w:t>
      </w:r>
      <w:r w:rsidRPr="00395C73">
        <w:rPr>
          <w:rFonts w:ascii="Arial" w:eastAsia="宋体" w:hAnsi="Arial" w:cs="Arial"/>
          <w:kern w:val="0"/>
          <w:sz w:val="20"/>
          <w:szCs w:val="20"/>
        </w:rPr>
        <w:t>介导的以上药物的代谢。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处理：本药禁止与以上药物合用。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15.</w:t>
      </w:r>
      <w:r w:rsidRPr="00395C73">
        <w:rPr>
          <w:rFonts w:ascii="Arial" w:eastAsia="宋体" w:hAnsi="Arial" w:cs="Arial"/>
          <w:kern w:val="0"/>
          <w:sz w:val="20"/>
          <w:szCs w:val="20"/>
        </w:rPr>
        <w:t>阿托喹酮、贝沙罗、茚地那韦：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结果：合用可降低以上药物的血药浓度。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处理：不推荐本药与以上药物合用。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16.</w:t>
      </w:r>
      <w:r w:rsidRPr="00395C73">
        <w:rPr>
          <w:rFonts w:ascii="Arial" w:eastAsia="宋体" w:hAnsi="Arial" w:cs="Arial"/>
          <w:kern w:val="0"/>
          <w:sz w:val="20"/>
          <w:szCs w:val="20"/>
        </w:rPr>
        <w:t>尼洛替尼、决奈达隆、依曲韦林、他达那非：</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结果：合用可降低以上药物的血药浓度。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处理：本药应避免与以上药物合用。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17.</w:t>
      </w:r>
      <w:r w:rsidRPr="00395C73">
        <w:rPr>
          <w:rFonts w:ascii="Arial" w:eastAsia="宋体" w:hAnsi="Arial" w:cs="Arial"/>
          <w:kern w:val="0"/>
          <w:sz w:val="20"/>
          <w:szCs w:val="20"/>
        </w:rPr>
        <w:t>阿托伐他汀、辛伐他汀：</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结果：合用可降低以上药物的血药浓度。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处理：合用时需调整以上药物的剂量，且阿托伐他汀应晚上服用。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18.</w:t>
      </w:r>
      <w:r w:rsidRPr="00395C73">
        <w:rPr>
          <w:rFonts w:ascii="Arial" w:eastAsia="宋体" w:hAnsi="Arial" w:cs="Arial"/>
          <w:kern w:val="0"/>
          <w:sz w:val="20"/>
          <w:szCs w:val="20"/>
        </w:rPr>
        <w:t>咪唑类药物</w:t>
      </w:r>
      <w:r w:rsidRPr="00395C73">
        <w:rPr>
          <w:rFonts w:ascii="Arial" w:eastAsia="宋体" w:hAnsi="Arial" w:cs="Arial"/>
          <w:kern w:val="0"/>
          <w:sz w:val="20"/>
          <w:szCs w:val="20"/>
        </w:rPr>
        <w:t>(</w:t>
      </w:r>
      <w:r w:rsidRPr="00395C73">
        <w:rPr>
          <w:rFonts w:ascii="Arial" w:eastAsia="宋体" w:hAnsi="Arial" w:cs="Arial"/>
          <w:kern w:val="0"/>
          <w:sz w:val="20"/>
          <w:szCs w:val="20"/>
        </w:rPr>
        <w:t>如咪康唑、酮康唑</w:t>
      </w:r>
      <w:r w:rsidRPr="00395C73">
        <w:rPr>
          <w:rFonts w:ascii="Arial" w:eastAsia="宋体" w:hAnsi="Arial" w:cs="Arial"/>
          <w:kern w:val="0"/>
          <w:sz w:val="20"/>
          <w:szCs w:val="20"/>
        </w:rPr>
        <w:t>)</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结果：合用可降低咪唑类药物的血药浓度。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处理：本药不宜与咪唑类药物合用。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19.</w:t>
      </w:r>
      <w:r w:rsidRPr="00395C73">
        <w:rPr>
          <w:rFonts w:ascii="Arial" w:eastAsia="宋体" w:hAnsi="Arial" w:cs="Arial"/>
          <w:kern w:val="0"/>
          <w:sz w:val="20"/>
          <w:szCs w:val="20"/>
        </w:rPr>
        <w:t>地西泮：</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结果：合用可降低地西泮的血药浓度。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机制：合用可增加地西泮的消除。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处理：合用时需调整地西泮的剂量。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20.</w:t>
      </w:r>
      <w:r w:rsidRPr="00395C73">
        <w:rPr>
          <w:rFonts w:ascii="Arial" w:eastAsia="宋体" w:hAnsi="Arial" w:cs="Arial"/>
          <w:kern w:val="0"/>
          <w:sz w:val="20"/>
          <w:szCs w:val="20"/>
        </w:rPr>
        <w:t>阿利吉仑：</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结果：合用可降低阿利吉仑的血药浓度和暴露量。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介导的阿利吉仑的代谢和</w:t>
      </w:r>
      <w:r w:rsidRPr="00395C73">
        <w:rPr>
          <w:rFonts w:ascii="Arial" w:eastAsia="宋体" w:hAnsi="Arial" w:cs="Arial"/>
          <w:kern w:val="0"/>
          <w:sz w:val="20"/>
          <w:szCs w:val="20"/>
        </w:rPr>
        <w:t>P-</w:t>
      </w:r>
      <w:r w:rsidRPr="00395C73">
        <w:rPr>
          <w:rFonts w:ascii="Arial" w:eastAsia="宋体" w:hAnsi="Arial" w:cs="Arial"/>
          <w:kern w:val="0"/>
          <w:sz w:val="20"/>
          <w:szCs w:val="20"/>
        </w:rPr>
        <w:t>糖蛋白介导的阿利吉仑的转运。</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处理：合用需调整阿利吉仑的剂量，并密切监测患者血压。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21.</w:t>
      </w:r>
      <w:r w:rsidRPr="00395C73">
        <w:rPr>
          <w:rFonts w:ascii="Arial" w:eastAsia="宋体" w:hAnsi="Arial" w:cs="Arial"/>
          <w:kern w:val="0"/>
          <w:sz w:val="20"/>
          <w:szCs w:val="20"/>
        </w:rPr>
        <w:t>阿瑞吡坦：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结果：合用可降低阿瑞吡坦的血药浓度，减弱其疗效。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介导的阿瑞吡坦的代谢。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22.</w:t>
      </w:r>
      <w:r w:rsidRPr="00395C73">
        <w:rPr>
          <w:rFonts w:ascii="Arial" w:eastAsia="宋体" w:hAnsi="Arial" w:cs="Arial"/>
          <w:kern w:val="0"/>
          <w:sz w:val="20"/>
          <w:szCs w:val="20"/>
        </w:rPr>
        <w:t>艾司唑仑：</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结果：合用可降低艾司唑仑的血药浓度，减弱其疗效。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介导的艾司唑仑的代谢。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处理：合用需增加艾司唑仑的剂量，并监测艾司唑仑的临床疗效。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23.</w:t>
      </w:r>
      <w:r w:rsidRPr="00395C73">
        <w:rPr>
          <w:rFonts w:ascii="Arial" w:eastAsia="宋体" w:hAnsi="Arial" w:cs="Arial"/>
          <w:kern w:val="0"/>
          <w:sz w:val="20"/>
          <w:szCs w:val="20"/>
        </w:rPr>
        <w:t>西酞普兰：</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结果：合用可降低西酞普兰的血药浓度，减弱其疗效。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介导的西酞普兰的代谢。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处理：合用应监测西酞普兰的疗效，并考虑增加西酞普兰的剂量。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24.</w:t>
      </w:r>
      <w:r w:rsidRPr="00395C73">
        <w:rPr>
          <w:rFonts w:ascii="Arial" w:eastAsia="宋体" w:hAnsi="Arial" w:cs="Arial"/>
          <w:kern w:val="0"/>
          <w:sz w:val="20"/>
          <w:szCs w:val="20"/>
        </w:rPr>
        <w:t>氯氮平：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结果：合用可降低氯氮平的血药浓度，减弱其疗效。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介导的氯氮平的代谢。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25.</w:t>
      </w:r>
      <w:r w:rsidRPr="00395C73">
        <w:rPr>
          <w:rFonts w:ascii="Arial" w:eastAsia="宋体" w:hAnsi="Arial" w:cs="Arial"/>
          <w:kern w:val="0"/>
          <w:sz w:val="20"/>
          <w:szCs w:val="20"/>
        </w:rPr>
        <w:t>右佐匹克隆：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结果：合用可降低右佐匹克隆的血药浓度，减弱其疗效。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介导的右佐匹克隆的代谢。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处理：合用时需监测右佐匹克隆的疗效，且考虑换用其他非</w:t>
      </w:r>
      <w:r w:rsidRPr="00395C73">
        <w:rPr>
          <w:rFonts w:ascii="Arial" w:eastAsia="宋体" w:hAnsi="Arial" w:cs="Arial"/>
          <w:kern w:val="0"/>
          <w:sz w:val="20"/>
          <w:szCs w:val="20"/>
        </w:rPr>
        <w:t>CYP 3A4</w:t>
      </w:r>
      <w:r w:rsidRPr="00395C73">
        <w:rPr>
          <w:rFonts w:ascii="Arial" w:eastAsia="宋体" w:hAnsi="Arial" w:cs="Arial"/>
          <w:kern w:val="0"/>
          <w:sz w:val="20"/>
          <w:szCs w:val="20"/>
        </w:rPr>
        <w:t>同工酶介导代谢的镇静药。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26.</w:t>
      </w:r>
      <w:r w:rsidRPr="00395C73">
        <w:rPr>
          <w:rFonts w:ascii="Arial" w:eastAsia="宋体" w:hAnsi="Arial" w:cs="Arial"/>
          <w:kern w:val="0"/>
          <w:sz w:val="20"/>
          <w:szCs w:val="20"/>
        </w:rPr>
        <w:t>芬太尼：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结果：合用可降低芬太尼的血药浓度，可能减弱其疗效。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w:t>
      </w:r>
      <w:r w:rsidRPr="00395C73">
        <w:rPr>
          <w:rFonts w:ascii="Arial" w:eastAsia="宋体" w:hAnsi="Arial" w:cs="Arial"/>
          <w:kern w:val="0"/>
          <w:sz w:val="20"/>
          <w:szCs w:val="20"/>
        </w:rPr>
        <w:t>介导的芬太尼的代谢。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处理：合用应谨慎，如止痛不明显应考虑调整芬太尼的剂量。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27.</w:t>
      </w:r>
      <w:r w:rsidRPr="00395C73">
        <w:rPr>
          <w:rFonts w:ascii="Arial" w:eastAsia="宋体" w:hAnsi="Arial" w:cs="Arial"/>
          <w:kern w:val="0"/>
          <w:sz w:val="20"/>
          <w:szCs w:val="20"/>
        </w:rPr>
        <w:t>利奈唑胺：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结果：合用可降低利奈唑胺的血药浓度，可能减弱其疗效。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机制：本药可通过肝酶诱导改变利奈唑胺的代谢。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28.</w:t>
      </w:r>
      <w:r w:rsidRPr="00395C73">
        <w:rPr>
          <w:rFonts w:ascii="Arial" w:eastAsia="宋体" w:hAnsi="Arial" w:cs="Arial"/>
          <w:kern w:val="0"/>
          <w:sz w:val="20"/>
          <w:szCs w:val="20"/>
        </w:rPr>
        <w:t>唑吡坦：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结果：合用可降低唑吡坦的血药浓度，减弱其药效。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机制：合用可增加唑吡坦的代谢。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处理：合用时应监测唑吡坦的疗效。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29.</w:t>
      </w:r>
      <w:r w:rsidRPr="00395C73">
        <w:rPr>
          <w:rFonts w:ascii="Arial" w:eastAsia="宋体" w:hAnsi="Arial" w:cs="Arial"/>
          <w:kern w:val="0"/>
          <w:sz w:val="20"/>
          <w:szCs w:val="20"/>
        </w:rPr>
        <w:t>奈韦拉平：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结果：合用可降低奈韦拉平的血药浓度，并可能使其失效。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介导的奈韦拉平的代谢。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处理：两者不宜合用，可选用本药的替代药物</w:t>
      </w:r>
      <w:r w:rsidRPr="00395C73">
        <w:rPr>
          <w:rFonts w:ascii="Arial" w:eastAsia="宋体" w:hAnsi="Arial" w:cs="Arial"/>
          <w:kern w:val="0"/>
          <w:sz w:val="20"/>
          <w:szCs w:val="20"/>
        </w:rPr>
        <w:t>(</w:t>
      </w:r>
      <w:r w:rsidRPr="00395C73">
        <w:rPr>
          <w:rFonts w:ascii="Arial" w:eastAsia="宋体" w:hAnsi="Arial" w:cs="Arial"/>
          <w:kern w:val="0"/>
          <w:sz w:val="20"/>
          <w:szCs w:val="20"/>
        </w:rPr>
        <w:t>如利福布汀</w:t>
      </w:r>
      <w:r w:rsidRPr="00395C73">
        <w:rPr>
          <w:rFonts w:ascii="Arial" w:eastAsia="宋体" w:hAnsi="Arial" w:cs="Arial"/>
          <w:kern w:val="0"/>
          <w:sz w:val="20"/>
          <w:szCs w:val="20"/>
        </w:rPr>
        <w:t>)</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30.</w:t>
      </w:r>
      <w:r w:rsidRPr="00395C73">
        <w:rPr>
          <w:rFonts w:ascii="Arial" w:eastAsia="宋体" w:hAnsi="Arial" w:cs="Arial"/>
          <w:kern w:val="0"/>
          <w:sz w:val="20"/>
          <w:szCs w:val="20"/>
        </w:rPr>
        <w:t>依维莫司：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结果：合用可降低依维莫司的血药浓度，使其疗效丧失。</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介导的依维莫司的代谢。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处理：两者应避免合用，如合用，应监测依维莫司的血浆谷浓度，并根据需要增加其剂量。肾细胞癌患者合用时，每次增加依维莫司</w:t>
      </w:r>
      <w:r w:rsidRPr="00395C73">
        <w:rPr>
          <w:rFonts w:ascii="Arial" w:eastAsia="宋体" w:hAnsi="Arial" w:cs="Arial"/>
          <w:kern w:val="0"/>
          <w:sz w:val="20"/>
          <w:szCs w:val="20"/>
        </w:rPr>
        <w:t>5mg</w:t>
      </w:r>
      <w:r w:rsidRPr="00395C73">
        <w:rPr>
          <w:rFonts w:ascii="Arial" w:eastAsia="宋体" w:hAnsi="Arial" w:cs="Arial"/>
          <w:kern w:val="0"/>
          <w:sz w:val="20"/>
          <w:szCs w:val="20"/>
        </w:rPr>
        <w:t>至最大剂量为一次</w:t>
      </w:r>
      <w:r w:rsidRPr="00395C73">
        <w:rPr>
          <w:rFonts w:ascii="Arial" w:eastAsia="宋体" w:hAnsi="Arial" w:cs="Arial"/>
          <w:kern w:val="0"/>
          <w:sz w:val="20"/>
          <w:szCs w:val="20"/>
        </w:rPr>
        <w:t>20mg</w:t>
      </w:r>
      <w:r w:rsidRPr="00395C73">
        <w:rPr>
          <w:rFonts w:ascii="Arial" w:eastAsia="宋体" w:hAnsi="Arial" w:cs="Arial"/>
          <w:kern w:val="0"/>
          <w:sz w:val="20"/>
          <w:szCs w:val="20"/>
        </w:rPr>
        <w:t>，一日</w:t>
      </w:r>
      <w:r w:rsidRPr="00395C73">
        <w:rPr>
          <w:rFonts w:ascii="Arial" w:eastAsia="宋体" w:hAnsi="Arial" w:cs="Arial"/>
          <w:kern w:val="0"/>
          <w:sz w:val="20"/>
          <w:szCs w:val="20"/>
        </w:rPr>
        <w:t>1</w:t>
      </w:r>
      <w:r w:rsidRPr="00395C73">
        <w:rPr>
          <w:rFonts w:ascii="Arial" w:eastAsia="宋体" w:hAnsi="Arial" w:cs="Arial"/>
          <w:kern w:val="0"/>
          <w:sz w:val="20"/>
          <w:szCs w:val="20"/>
        </w:rPr>
        <w:t>次，停用本药时，依维莫司应调整到合用之前的剂量；室管膜下巨细胞星形细胞瘤患者合用时，初始阶段依维莫司的剂量应加倍且根据治疗药物的监测确定随后的剂量，一旦停用本药，依维莫司应调整</w:t>
      </w:r>
      <w:r w:rsidRPr="00395C73">
        <w:rPr>
          <w:rFonts w:ascii="Arial" w:eastAsia="宋体" w:hAnsi="Arial" w:cs="Arial"/>
          <w:kern w:val="0"/>
          <w:sz w:val="20"/>
          <w:szCs w:val="20"/>
        </w:rPr>
        <w:lastRenderedPageBreak/>
        <w:t>为患者的常规剂量，在依维莫司剂量调整后、合用初始阶段、合用改变之后的约</w:t>
      </w:r>
      <w:r w:rsidRPr="00395C73">
        <w:rPr>
          <w:rFonts w:ascii="Arial" w:eastAsia="宋体" w:hAnsi="Arial" w:cs="Arial"/>
          <w:kern w:val="0"/>
          <w:sz w:val="20"/>
          <w:szCs w:val="20"/>
        </w:rPr>
        <w:t>2</w:t>
      </w:r>
      <w:r w:rsidRPr="00395C73">
        <w:rPr>
          <w:rFonts w:ascii="Arial" w:eastAsia="宋体" w:hAnsi="Arial" w:cs="Arial"/>
          <w:kern w:val="0"/>
          <w:sz w:val="20"/>
          <w:szCs w:val="20"/>
        </w:rPr>
        <w:t>周，均应监测依维莫司的血浆谷浓度。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31.</w:t>
      </w:r>
      <w:r w:rsidRPr="00395C73">
        <w:rPr>
          <w:rFonts w:ascii="Arial" w:eastAsia="宋体" w:hAnsi="Arial" w:cs="Arial"/>
          <w:kern w:val="0"/>
          <w:sz w:val="20"/>
          <w:szCs w:val="20"/>
        </w:rPr>
        <w:t>卡泊芬净：</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结果：合用可降低卡泊芬净的血浆水平。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机制：本药可诱导卡泊芬净的血浆清除。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处理：合用时卡泊芬净的剂量为一日</w:t>
      </w:r>
      <w:r w:rsidRPr="00395C73">
        <w:rPr>
          <w:rFonts w:ascii="Arial" w:eastAsia="宋体" w:hAnsi="Arial" w:cs="Arial"/>
          <w:kern w:val="0"/>
          <w:sz w:val="20"/>
          <w:szCs w:val="20"/>
        </w:rPr>
        <w:t>70mg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32.</w:t>
      </w:r>
      <w:r w:rsidRPr="00395C73">
        <w:rPr>
          <w:rFonts w:ascii="Arial" w:eastAsia="宋体" w:hAnsi="Arial" w:cs="Arial"/>
          <w:kern w:val="0"/>
          <w:sz w:val="20"/>
          <w:szCs w:val="20"/>
        </w:rPr>
        <w:t>达沙替尼：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结果：合用可降低达沙替尼的血药浓度。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介导的达沙替尼的代谢。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处理：两者应避免合用。如合用应增加达沙替尼的剂量，且密切监测毒性反应。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33.</w:t>
      </w:r>
      <w:r w:rsidRPr="00395C73">
        <w:rPr>
          <w:rFonts w:ascii="Arial" w:eastAsia="宋体" w:hAnsi="Arial" w:cs="Arial"/>
          <w:kern w:val="0"/>
          <w:sz w:val="20"/>
          <w:szCs w:val="20"/>
        </w:rPr>
        <w:t>厄洛替尼：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结果：合用可增加厄洛替尼的清除，减小其暴露量。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介导的厄洛替尼的代谢。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处理：两者应避免合用。如合用应每隔</w:t>
      </w:r>
      <w:r w:rsidRPr="00395C73">
        <w:rPr>
          <w:rFonts w:ascii="Arial" w:eastAsia="宋体" w:hAnsi="Arial" w:cs="Arial"/>
          <w:kern w:val="0"/>
          <w:sz w:val="20"/>
          <w:szCs w:val="20"/>
        </w:rPr>
        <w:t>2</w:t>
      </w:r>
      <w:r w:rsidRPr="00395C73">
        <w:rPr>
          <w:rFonts w:ascii="Arial" w:eastAsia="宋体" w:hAnsi="Arial" w:cs="Arial"/>
          <w:kern w:val="0"/>
          <w:sz w:val="20"/>
          <w:szCs w:val="20"/>
        </w:rPr>
        <w:t>周在耐受范围增加厄洛替尼的剂量并监测其安全性，停用本药时，应立即减少厄洛替尼的剂量至开始剂量。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34.</w:t>
      </w:r>
      <w:r w:rsidRPr="00395C73">
        <w:rPr>
          <w:rFonts w:ascii="Arial" w:eastAsia="宋体" w:hAnsi="Arial" w:cs="Arial"/>
          <w:kern w:val="0"/>
          <w:sz w:val="20"/>
          <w:szCs w:val="20"/>
        </w:rPr>
        <w:t>吉非替尼：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结果：合用可降低吉非替尼的血药浓度。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介导的吉非替尼的代谢。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处理：合用时如未出现严重不良反应，可增加吉非替尼的剂量至一日</w:t>
      </w:r>
      <w:r w:rsidRPr="00395C73">
        <w:rPr>
          <w:rFonts w:ascii="Arial" w:eastAsia="宋体" w:hAnsi="Arial" w:cs="Arial"/>
          <w:kern w:val="0"/>
          <w:sz w:val="20"/>
          <w:szCs w:val="20"/>
        </w:rPr>
        <w:t>500mg</w:t>
      </w:r>
      <w:r w:rsidRPr="00395C73">
        <w:rPr>
          <w:rFonts w:ascii="Arial" w:eastAsia="宋体" w:hAnsi="Arial" w:cs="Arial"/>
          <w:kern w:val="0"/>
          <w:sz w:val="20"/>
          <w:szCs w:val="20"/>
        </w:rPr>
        <w:t>，且密切监测临床疗效和不良反应。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35.</w:t>
      </w:r>
      <w:r w:rsidRPr="00395C73">
        <w:rPr>
          <w:rFonts w:ascii="Arial" w:eastAsia="宋体" w:hAnsi="Arial" w:cs="Arial"/>
          <w:kern w:val="0"/>
          <w:sz w:val="20"/>
          <w:szCs w:val="20"/>
        </w:rPr>
        <w:t>伊马替尼：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结果：合用可降低伊马替尼的血药浓度。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介导的伊马替尼的代谢。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处理：合用应谨慎，且考虑使用本药的替代药物，合用时伊马替尼的剂量应增加至少</w:t>
      </w:r>
      <w:r w:rsidRPr="00395C73">
        <w:rPr>
          <w:rFonts w:ascii="Arial" w:eastAsia="宋体" w:hAnsi="Arial" w:cs="Arial"/>
          <w:kern w:val="0"/>
          <w:sz w:val="20"/>
          <w:szCs w:val="20"/>
        </w:rPr>
        <w:t>50%</w:t>
      </w:r>
      <w:r w:rsidRPr="00395C73">
        <w:rPr>
          <w:rFonts w:ascii="Arial" w:eastAsia="宋体" w:hAnsi="Arial" w:cs="Arial"/>
          <w:kern w:val="0"/>
          <w:sz w:val="20"/>
          <w:szCs w:val="20"/>
        </w:rPr>
        <w:t>以维持疗效，且密切监测。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36.</w:t>
      </w:r>
      <w:r w:rsidRPr="00395C73">
        <w:rPr>
          <w:rFonts w:ascii="Arial" w:eastAsia="宋体" w:hAnsi="Arial" w:cs="Arial"/>
          <w:kern w:val="0"/>
          <w:sz w:val="20"/>
          <w:szCs w:val="20"/>
        </w:rPr>
        <w:t>舒尼替尼：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结果：合用可降低舒尼替尼及其代谢物的血药浓度。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w:t>
      </w:r>
      <w:r w:rsidRPr="00395C73">
        <w:rPr>
          <w:rFonts w:ascii="Arial" w:eastAsia="宋体" w:hAnsi="Arial" w:cs="Arial"/>
          <w:kern w:val="0"/>
          <w:sz w:val="20"/>
          <w:szCs w:val="20"/>
        </w:rPr>
        <w:t>介导的舒尼替尼的代谢。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处理：可选用本药的替代药，合用时舒尼替尼的剂量应每次增加</w:t>
      </w:r>
      <w:r w:rsidRPr="00395C73">
        <w:rPr>
          <w:rFonts w:ascii="Arial" w:eastAsia="宋体" w:hAnsi="Arial" w:cs="Arial"/>
          <w:kern w:val="0"/>
          <w:sz w:val="20"/>
          <w:szCs w:val="20"/>
        </w:rPr>
        <w:t>12.5mg</w:t>
      </w:r>
      <w:r w:rsidRPr="00395C73">
        <w:rPr>
          <w:rFonts w:ascii="Arial" w:eastAsia="宋体" w:hAnsi="Arial" w:cs="Arial"/>
          <w:kern w:val="0"/>
          <w:sz w:val="20"/>
          <w:szCs w:val="20"/>
        </w:rPr>
        <w:t>至一日最大剂量</w:t>
      </w:r>
      <w:r w:rsidRPr="00395C73">
        <w:rPr>
          <w:rFonts w:ascii="Arial" w:eastAsia="宋体" w:hAnsi="Arial" w:cs="Arial"/>
          <w:kern w:val="0"/>
          <w:sz w:val="20"/>
          <w:szCs w:val="20"/>
        </w:rPr>
        <w:t>87.5mg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37.</w:t>
      </w:r>
      <w:r w:rsidRPr="00395C73">
        <w:rPr>
          <w:rFonts w:ascii="Arial" w:eastAsia="宋体" w:hAnsi="Arial" w:cs="Arial"/>
          <w:kern w:val="0"/>
          <w:sz w:val="20"/>
          <w:szCs w:val="20"/>
        </w:rPr>
        <w:t>地拉罗司：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结果：合用可降低地拉罗司的血药浓度。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UDP-</w:t>
      </w:r>
      <w:r w:rsidRPr="00395C73">
        <w:rPr>
          <w:rFonts w:ascii="Arial" w:eastAsia="宋体" w:hAnsi="Arial" w:cs="Arial"/>
          <w:kern w:val="0"/>
          <w:sz w:val="20"/>
          <w:szCs w:val="20"/>
        </w:rPr>
        <w:t>葡萄糖醛酸转移酶介导的地拉罗司的代谢。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处理：两者应避免合用。如合用应增加地拉罗司的初始剂量至一次</w:t>
      </w:r>
      <w:r w:rsidRPr="00395C73">
        <w:rPr>
          <w:rFonts w:ascii="Arial" w:eastAsia="宋体" w:hAnsi="Arial" w:cs="Arial"/>
          <w:kern w:val="0"/>
          <w:sz w:val="20"/>
          <w:szCs w:val="20"/>
        </w:rPr>
        <w:t>30mg/kg</w:t>
      </w:r>
      <w:r w:rsidRPr="00395C73">
        <w:rPr>
          <w:rFonts w:ascii="Arial" w:eastAsia="宋体" w:hAnsi="Arial" w:cs="Arial"/>
          <w:kern w:val="0"/>
          <w:sz w:val="20"/>
          <w:szCs w:val="20"/>
        </w:rPr>
        <w:t>，并监测血清铁蛋白水平和临床反应以调整剂量。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38.</w:t>
      </w:r>
      <w:r w:rsidRPr="00395C73">
        <w:rPr>
          <w:rFonts w:ascii="Arial" w:eastAsia="宋体" w:hAnsi="Arial" w:cs="Arial"/>
          <w:kern w:val="0"/>
          <w:sz w:val="20"/>
          <w:szCs w:val="20"/>
        </w:rPr>
        <w:t>依非韦伦：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结果：合用可降低依非韦伦的血药浓度。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机制：本药可诱导依非韦伦的代谢。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处理：合用应谨慎。通常情况下两者的剂量均不做调整，但当患者体重大于</w:t>
      </w:r>
      <w:r w:rsidRPr="00395C73">
        <w:rPr>
          <w:rFonts w:ascii="Arial" w:eastAsia="宋体" w:hAnsi="Arial" w:cs="Arial"/>
          <w:kern w:val="0"/>
          <w:sz w:val="20"/>
          <w:szCs w:val="20"/>
        </w:rPr>
        <w:t>60kg</w:t>
      </w:r>
      <w:r w:rsidRPr="00395C73">
        <w:rPr>
          <w:rFonts w:ascii="Arial" w:eastAsia="宋体" w:hAnsi="Arial" w:cs="Arial"/>
          <w:kern w:val="0"/>
          <w:sz w:val="20"/>
          <w:szCs w:val="20"/>
        </w:rPr>
        <w:t>时，依非韦伦的剂量应增加至一日</w:t>
      </w:r>
      <w:r w:rsidRPr="00395C73">
        <w:rPr>
          <w:rFonts w:ascii="Arial" w:eastAsia="宋体" w:hAnsi="Arial" w:cs="Arial"/>
          <w:kern w:val="0"/>
          <w:sz w:val="20"/>
          <w:szCs w:val="20"/>
        </w:rPr>
        <w:t>800mg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39.</w:t>
      </w:r>
      <w:r w:rsidRPr="00395C73">
        <w:rPr>
          <w:rFonts w:ascii="Arial" w:eastAsia="宋体" w:hAnsi="Arial" w:cs="Arial"/>
          <w:kern w:val="0"/>
          <w:sz w:val="20"/>
          <w:szCs w:val="20"/>
        </w:rPr>
        <w:t>伊沙匹隆：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结果：合用可降低伊沙匹隆的血药浓度。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介导的伊沙匹隆的代谢。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处理：两者应避免合用，且考虑使用本药的替代药物。如合用在耐受范围内伊沙匹隆的剂量应从一次</w:t>
      </w:r>
      <w:r w:rsidRPr="00395C73">
        <w:rPr>
          <w:rFonts w:ascii="Arial" w:eastAsia="宋体" w:hAnsi="Arial" w:cs="Arial"/>
          <w:kern w:val="0"/>
          <w:sz w:val="20"/>
          <w:szCs w:val="20"/>
        </w:rPr>
        <w:t>40mg/m</w:t>
      </w:r>
      <w:r w:rsidRPr="00395C73">
        <w:rPr>
          <w:rFonts w:ascii="Arial" w:eastAsia="宋体" w:hAnsi="Arial" w:cs="Arial"/>
          <w:kern w:val="0"/>
          <w:sz w:val="20"/>
          <w:szCs w:val="20"/>
          <w:vertAlign w:val="superscript"/>
        </w:rPr>
        <w:t>2</w:t>
      </w:r>
      <w:r w:rsidRPr="00395C73">
        <w:rPr>
          <w:rFonts w:ascii="Arial" w:eastAsia="宋体" w:hAnsi="Arial" w:cs="Arial"/>
          <w:kern w:val="0"/>
          <w:sz w:val="20"/>
          <w:szCs w:val="20"/>
        </w:rPr>
        <w:t>逐步增加至一次</w:t>
      </w:r>
      <w:r w:rsidRPr="00395C73">
        <w:rPr>
          <w:rFonts w:ascii="Arial" w:eastAsia="宋体" w:hAnsi="Arial" w:cs="Arial"/>
          <w:kern w:val="0"/>
          <w:sz w:val="20"/>
          <w:szCs w:val="20"/>
        </w:rPr>
        <w:t>60mg/m</w:t>
      </w:r>
      <w:r w:rsidRPr="00395C73">
        <w:rPr>
          <w:rFonts w:ascii="Arial" w:eastAsia="宋体" w:hAnsi="Arial" w:cs="Arial"/>
          <w:kern w:val="0"/>
          <w:sz w:val="20"/>
          <w:szCs w:val="20"/>
          <w:vertAlign w:val="superscript"/>
        </w:rPr>
        <w:t>2</w:t>
      </w:r>
      <w:r w:rsidRPr="00395C73">
        <w:rPr>
          <w:rFonts w:ascii="Arial" w:eastAsia="宋体" w:hAnsi="Arial" w:cs="Arial"/>
          <w:kern w:val="0"/>
          <w:sz w:val="20"/>
          <w:szCs w:val="20"/>
        </w:rPr>
        <w:t>，静脉滴注</w:t>
      </w:r>
      <w:r w:rsidRPr="00395C73">
        <w:rPr>
          <w:rFonts w:ascii="Arial" w:eastAsia="宋体" w:hAnsi="Arial" w:cs="Arial"/>
          <w:kern w:val="0"/>
          <w:sz w:val="20"/>
          <w:szCs w:val="20"/>
        </w:rPr>
        <w:t>4</w:t>
      </w:r>
      <w:r w:rsidRPr="00395C73">
        <w:rPr>
          <w:rFonts w:ascii="Arial" w:eastAsia="宋体" w:hAnsi="Arial" w:cs="Arial"/>
          <w:kern w:val="0"/>
          <w:sz w:val="20"/>
          <w:szCs w:val="20"/>
        </w:rPr>
        <w:t>小时以上，且密切监测伊沙匹隆的毒性反应，停用本药时，伊沙匹隆应调整到合用之前的剂量。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40.</w:t>
      </w:r>
      <w:r w:rsidRPr="00395C73">
        <w:rPr>
          <w:rFonts w:ascii="Arial" w:eastAsia="宋体" w:hAnsi="Arial" w:cs="Arial"/>
          <w:kern w:val="0"/>
          <w:sz w:val="20"/>
          <w:szCs w:val="20"/>
        </w:rPr>
        <w:t>甲氟喹：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结果：合用可降低甲氟喹的血药浓度。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介导的甲氟喹的代谢。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处理：合用时应监测甲氟喹的疗效，包含血液涂片上疟原虫计数。</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41.</w:t>
      </w:r>
      <w:r w:rsidRPr="00395C73">
        <w:rPr>
          <w:rFonts w:ascii="Arial" w:eastAsia="宋体" w:hAnsi="Arial" w:cs="Arial"/>
          <w:kern w:val="0"/>
          <w:sz w:val="20"/>
          <w:szCs w:val="20"/>
        </w:rPr>
        <w:t>咪达唑仑：</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结果：合用可降低咪达唑仑的血药浓度。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介导的咪达唑仑的代谢。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处理：合用应谨慎，必要时调整咪达唑仑的剂量。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42.</w:t>
      </w:r>
      <w:r w:rsidRPr="00395C73">
        <w:rPr>
          <w:rFonts w:ascii="Arial" w:eastAsia="宋体" w:hAnsi="Arial" w:cs="Arial"/>
          <w:kern w:val="0"/>
          <w:sz w:val="20"/>
          <w:szCs w:val="20"/>
        </w:rPr>
        <w:t>奈非那韦：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结果：合用可降低奈非那韦的血药浓度。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机制：本药可诱导奈非那韦的代谢。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处理：两者不宜合用。如合用，推荐本药的剂量为一日</w:t>
      </w:r>
      <w:r w:rsidRPr="00395C73">
        <w:rPr>
          <w:rFonts w:ascii="Arial" w:eastAsia="宋体" w:hAnsi="Arial" w:cs="Arial"/>
          <w:kern w:val="0"/>
          <w:sz w:val="20"/>
          <w:szCs w:val="20"/>
        </w:rPr>
        <w:t>150mg</w:t>
      </w:r>
      <w:r w:rsidRPr="00395C73">
        <w:rPr>
          <w:rFonts w:ascii="Arial" w:eastAsia="宋体" w:hAnsi="Arial" w:cs="Arial"/>
          <w:kern w:val="0"/>
          <w:sz w:val="20"/>
          <w:szCs w:val="20"/>
        </w:rPr>
        <w:t>，或一次</w:t>
      </w:r>
      <w:r w:rsidRPr="00395C73">
        <w:rPr>
          <w:rFonts w:ascii="Arial" w:eastAsia="宋体" w:hAnsi="Arial" w:cs="Arial"/>
          <w:kern w:val="0"/>
          <w:sz w:val="20"/>
          <w:szCs w:val="20"/>
        </w:rPr>
        <w:t>300mg</w:t>
      </w:r>
      <w:r w:rsidRPr="00395C73">
        <w:rPr>
          <w:rFonts w:ascii="Arial" w:eastAsia="宋体" w:hAnsi="Arial" w:cs="Arial"/>
          <w:kern w:val="0"/>
          <w:sz w:val="20"/>
          <w:szCs w:val="20"/>
        </w:rPr>
        <w:t>，一周</w:t>
      </w:r>
      <w:r w:rsidRPr="00395C73">
        <w:rPr>
          <w:rFonts w:ascii="Arial" w:eastAsia="宋体" w:hAnsi="Arial" w:cs="Arial"/>
          <w:kern w:val="0"/>
          <w:sz w:val="20"/>
          <w:szCs w:val="20"/>
        </w:rPr>
        <w:t>3</w:t>
      </w:r>
      <w:r w:rsidRPr="00395C73">
        <w:rPr>
          <w:rFonts w:ascii="Arial" w:eastAsia="宋体" w:hAnsi="Arial" w:cs="Arial"/>
          <w:kern w:val="0"/>
          <w:sz w:val="20"/>
          <w:szCs w:val="20"/>
        </w:rPr>
        <w:t>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43.</w:t>
      </w:r>
      <w:r w:rsidRPr="00395C73">
        <w:rPr>
          <w:rFonts w:ascii="Arial" w:eastAsia="宋体" w:hAnsi="Arial" w:cs="Arial"/>
          <w:kern w:val="0"/>
          <w:sz w:val="20"/>
          <w:szCs w:val="20"/>
        </w:rPr>
        <w:t>紫杉醇、喹硫平、索拉非尼、替硝唑：</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结果：合用可降低以上药物的血药浓度。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w:t>
      </w:r>
      <w:r w:rsidRPr="00395C73">
        <w:rPr>
          <w:rFonts w:ascii="Arial" w:eastAsia="宋体" w:hAnsi="Arial" w:cs="Arial"/>
          <w:kern w:val="0"/>
          <w:sz w:val="20"/>
          <w:szCs w:val="20"/>
        </w:rPr>
        <w:t>介导的以上药物的代谢。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处理：本药与以上药物合用应谨慎，且调整紫杉醇的剂量并监测紫杉醇和索拉非尼的疗效。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44.</w:t>
      </w:r>
      <w:r w:rsidRPr="00395C73">
        <w:rPr>
          <w:rFonts w:ascii="Arial" w:eastAsia="宋体" w:hAnsi="Arial" w:cs="Arial"/>
          <w:kern w:val="0"/>
          <w:sz w:val="20"/>
          <w:szCs w:val="20"/>
        </w:rPr>
        <w:t>吡喹酮：</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结果：合用可显著降低吡喹酮的血药浓度。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w:t>
      </w:r>
      <w:r w:rsidRPr="00395C73">
        <w:rPr>
          <w:rFonts w:ascii="Arial" w:eastAsia="宋体" w:hAnsi="Arial" w:cs="Arial"/>
          <w:kern w:val="0"/>
          <w:sz w:val="20"/>
          <w:szCs w:val="20"/>
        </w:rPr>
        <w:t>介导的吡喹酮的代谢。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处理：两者禁止合用。考虑选用吡喹酮的替代药物，如需使用吡喹酮，应在停用本药</w:t>
      </w:r>
      <w:r w:rsidRPr="00395C73">
        <w:rPr>
          <w:rFonts w:ascii="Arial" w:eastAsia="宋体" w:hAnsi="Arial" w:cs="Arial"/>
          <w:kern w:val="0"/>
          <w:sz w:val="20"/>
          <w:szCs w:val="20"/>
        </w:rPr>
        <w:t>4</w:t>
      </w:r>
      <w:r w:rsidRPr="00395C73">
        <w:rPr>
          <w:rFonts w:ascii="Arial" w:eastAsia="宋体" w:hAnsi="Arial" w:cs="Arial"/>
          <w:kern w:val="0"/>
          <w:sz w:val="20"/>
          <w:szCs w:val="20"/>
        </w:rPr>
        <w:t>周后使用，在停用吡喹酮</w:t>
      </w:r>
      <w:r w:rsidRPr="00395C73">
        <w:rPr>
          <w:rFonts w:ascii="Arial" w:eastAsia="宋体" w:hAnsi="Arial" w:cs="Arial"/>
          <w:kern w:val="0"/>
          <w:sz w:val="20"/>
          <w:szCs w:val="20"/>
        </w:rPr>
        <w:t>1</w:t>
      </w:r>
      <w:r w:rsidRPr="00395C73">
        <w:rPr>
          <w:rFonts w:ascii="Arial" w:eastAsia="宋体" w:hAnsi="Arial" w:cs="Arial"/>
          <w:kern w:val="0"/>
          <w:sz w:val="20"/>
          <w:szCs w:val="20"/>
        </w:rPr>
        <w:t>日以后可重新使用本药。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45.</w:t>
      </w:r>
      <w:r w:rsidRPr="00395C73">
        <w:rPr>
          <w:rFonts w:ascii="Arial" w:eastAsia="宋体" w:hAnsi="Arial" w:cs="Arial"/>
          <w:kern w:val="0"/>
          <w:sz w:val="20"/>
          <w:szCs w:val="20"/>
        </w:rPr>
        <w:t>拉替拉韦：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结果：合用可降低拉替拉韦的血药浓度。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UDP-</w:t>
      </w:r>
      <w:r w:rsidRPr="00395C73">
        <w:rPr>
          <w:rFonts w:ascii="Arial" w:eastAsia="宋体" w:hAnsi="Arial" w:cs="Arial"/>
          <w:kern w:val="0"/>
          <w:sz w:val="20"/>
          <w:szCs w:val="20"/>
        </w:rPr>
        <w:t>葡萄糖醛酸转移酶</w:t>
      </w:r>
      <w:r w:rsidRPr="00395C73">
        <w:rPr>
          <w:rFonts w:ascii="Arial" w:eastAsia="宋体" w:hAnsi="Arial" w:cs="Arial"/>
          <w:kern w:val="0"/>
          <w:sz w:val="20"/>
          <w:szCs w:val="20"/>
        </w:rPr>
        <w:t>(UGT) 1A1</w:t>
      </w:r>
      <w:r w:rsidRPr="00395C73">
        <w:rPr>
          <w:rFonts w:ascii="Arial" w:eastAsia="宋体" w:hAnsi="Arial" w:cs="Arial"/>
          <w:kern w:val="0"/>
          <w:sz w:val="20"/>
          <w:szCs w:val="20"/>
        </w:rPr>
        <w:t>的酸化。</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处理：合用应谨慎，密切监测病毒反应且增加拉替拉韦的剂量至一次</w:t>
      </w:r>
      <w:r w:rsidRPr="00395C73">
        <w:rPr>
          <w:rFonts w:ascii="Arial" w:eastAsia="宋体" w:hAnsi="Arial" w:cs="Arial"/>
          <w:kern w:val="0"/>
          <w:sz w:val="20"/>
          <w:szCs w:val="20"/>
        </w:rPr>
        <w:t>800mg</w:t>
      </w:r>
      <w:r w:rsidRPr="00395C73">
        <w:rPr>
          <w:rFonts w:ascii="Arial" w:eastAsia="宋体" w:hAnsi="Arial" w:cs="Arial"/>
          <w:kern w:val="0"/>
          <w:sz w:val="20"/>
          <w:szCs w:val="20"/>
        </w:rPr>
        <w:t>，一日</w:t>
      </w:r>
      <w:r w:rsidRPr="00395C73">
        <w:rPr>
          <w:rFonts w:ascii="Arial" w:eastAsia="宋体" w:hAnsi="Arial" w:cs="Arial"/>
          <w:kern w:val="0"/>
          <w:sz w:val="20"/>
          <w:szCs w:val="20"/>
        </w:rPr>
        <w:t>2</w:t>
      </w:r>
      <w:r w:rsidRPr="00395C73">
        <w:rPr>
          <w:rFonts w:ascii="Arial" w:eastAsia="宋体" w:hAnsi="Arial" w:cs="Arial"/>
          <w:kern w:val="0"/>
          <w:sz w:val="20"/>
          <w:szCs w:val="20"/>
        </w:rPr>
        <w:t>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46.</w:t>
      </w:r>
      <w:r w:rsidRPr="00395C73">
        <w:rPr>
          <w:rFonts w:ascii="Arial" w:eastAsia="宋体" w:hAnsi="Arial" w:cs="Arial"/>
          <w:kern w:val="0"/>
          <w:sz w:val="20"/>
          <w:szCs w:val="20"/>
        </w:rPr>
        <w:t>利培酮：</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结果：合用可降低利培酮及其活性代谢物的血药浓度。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w:t>
      </w:r>
      <w:r w:rsidRPr="00395C73">
        <w:rPr>
          <w:rFonts w:ascii="Arial" w:eastAsia="宋体" w:hAnsi="Arial" w:cs="Arial"/>
          <w:kern w:val="0"/>
          <w:sz w:val="20"/>
          <w:szCs w:val="20"/>
        </w:rPr>
        <w:t>介导的利培酮的代谢。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处理：合用的第</w:t>
      </w:r>
      <w:r w:rsidRPr="00395C73">
        <w:rPr>
          <w:rFonts w:ascii="Arial" w:eastAsia="宋体" w:hAnsi="Arial" w:cs="Arial"/>
          <w:kern w:val="0"/>
          <w:sz w:val="20"/>
          <w:szCs w:val="20"/>
        </w:rPr>
        <w:t>4-8</w:t>
      </w:r>
      <w:r w:rsidRPr="00395C73">
        <w:rPr>
          <w:rFonts w:ascii="Arial" w:eastAsia="宋体" w:hAnsi="Arial" w:cs="Arial"/>
          <w:kern w:val="0"/>
          <w:sz w:val="20"/>
          <w:szCs w:val="20"/>
        </w:rPr>
        <w:t>周应监测利培酮的疗效，并需增加利培酮的剂量。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47.</w:t>
      </w:r>
      <w:r w:rsidRPr="00395C73">
        <w:rPr>
          <w:rFonts w:ascii="Arial" w:eastAsia="宋体" w:hAnsi="Arial" w:cs="Arial"/>
          <w:kern w:val="0"/>
          <w:sz w:val="20"/>
          <w:szCs w:val="20"/>
        </w:rPr>
        <w:t>利托那韦：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处理：合用可降低利托那韦的血药浓度。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介导的利托那韦的代谢。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处理：不推荐两者合用，可选用利福布汀作为本药的替代药物，利福布汀的剂量为一次</w:t>
      </w:r>
      <w:r w:rsidRPr="00395C73">
        <w:rPr>
          <w:rFonts w:ascii="Arial" w:eastAsia="宋体" w:hAnsi="Arial" w:cs="Arial"/>
          <w:kern w:val="0"/>
          <w:sz w:val="20"/>
          <w:szCs w:val="20"/>
        </w:rPr>
        <w:t>150mg</w:t>
      </w:r>
      <w:r w:rsidRPr="00395C73">
        <w:rPr>
          <w:rFonts w:ascii="Arial" w:eastAsia="宋体" w:hAnsi="Arial" w:cs="Arial"/>
          <w:kern w:val="0"/>
          <w:sz w:val="20"/>
          <w:szCs w:val="20"/>
        </w:rPr>
        <w:t>，隔日</w:t>
      </w:r>
      <w:r w:rsidRPr="00395C73">
        <w:rPr>
          <w:rFonts w:ascii="Arial" w:eastAsia="宋体" w:hAnsi="Arial" w:cs="Arial"/>
          <w:kern w:val="0"/>
          <w:sz w:val="20"/>
          <w:szCs w:val="20"/>
        </w:rPr>
        <w:t>1</w:t>
      </w:r>
      <w:r w:rsidRPr="00395C73">
        <w:rPr>
          <w:rFonts w:ascii="Arial" w:eastAsia="宋体" w:hAnsi="Arial" w:cs="Arial"/>
          <w:kern w:val="0"/>
          <w:sz w:val="20"/>
          <w:szCs w:val="20"/>
        </w:rPr>
        <w:t>次，或一周</w:t>
      </w:r>
      <w:r w:rsidRPr="00395C73">
        <w:rPr>
          <w:rFonts w:ascii="Arial" w:eastAsia="宋体" w:hAnsi="Arial" w:cs="Arial"/>
          <w:kern w:val="0"/>
          <w:sz w:val="20"/>
          <w:szCs w:val="20"/>
        </w:rPr>
        <w:t>3</w:t>
      </w:r>
      <w:r w:rsidRPr="00395C73">
        <w:rPr>
          <w:rFonts w:ascii="Arial" w:eastAsia="宋体" w:hAnsi="Arial" w:cs="Arial"/>
          <w:kern w:val="0"/>
          <w:sz w:val="20"/>
          <w:szCs w:val="20"/>
        </w:rPr>
        <w:t>次，并监测其疗效。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48.</w:t>
      </w:r>
      <w:r w:rsidRPr="00395C73">
        <w:rPr>
          <w:rFonts w:ascii="Arial" w:eastAsia="宋体" w:hAnsi="Arial" w:cs="Arial"/>
          <w:kern w:val="0"/>
          <w:sz w:val="20"/>
          <w:szCs w:val="20"/>
        </w:rPr>
        <w:t>他莫昔芬：</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结果：合用可降低他莫昔芬的血浆水平。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介导的他莫昔芬的代谢。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处理：合用时应监测他莫昔芬的疗效。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49.</w:t>
      </w:r>
      <w:r w:rsidRPr="00395C73">
        <w:rPr>
          <w:rFonts w:ascii="Arial" w:eastAsia="宋体" w:hAnsi="Arial" w:cs="Arial"/>
          <w:kern w:val="0"/>
          <w:sz w:val="20"/>
          <w:szCs w:val="20"/>
        </w:rPr>
        <w:t>扎来普隆：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结果：合用可降低扎来普隆的血药浓度。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介导的扎来普隆的代谢。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处理：考虑选用其他非</w:t>
      </w:r>
      <w:r w:rsidRPr="00395C73">
        <w:rPr>
          <w:rFonts w:ascii="Arial" w:eastAsia="宋体" w:hAnsi="Arial" w:cs="Arial"/>
          <w:kern w:val="0"/>
          <w:sz w:val="20"/>
          <w:szCs w:val="20"/>
        </w:rPr>
        <w:t>CYP 3A4</w:t>
      </w:r>
      <w:r w:rsidRPr="00395C73">
        <w:rPr>
          <w:rFonts w:ascii="Arial" w:eastAsia="宋体" w:hAnsi="Arial" w:cs="Arial"/>
          <w:kern w:val="0"/>
          <w:sz w:val="20"/>
          <w:szCs w:val="20"/>
        </w:rPr>
        <w:t>介导代谢的安眠药替代扎来普隆。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50.</w:t>
      </w:r>
      <w:r w:rsidRPr="00395C73">
        <w:rPr>
          <w:rFonts w:ascii="Arial" w:eastAsia="宋体" w:hAnsi="Arial" w:cs="Arial"/>
          <w:kern w:val="0"/>
          <w:sz w:val="20"/>
          <w:szCs w:val="20"/>
        </w:rPr>
        <w:t>美沙酮、美西律：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结果：合用可引起美沙酮撤药症状和美西律血药浓度降低。</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机制：本药可增加以上药物在肝脏中的代谢。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处理：合用时需调整以上药物的剂量。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51.</w:t>
      </w:r>
      <w:r w:rsidRPr="00395C73">
        <w:rPr>
          <w:rFonts w:ascii="Arial" w:eastAsia="宋体" w:hAnsi="Arial" w:cs="Arial"/>
          <w:kern w:val="0"/>
          <w:sz w:val="20"/>
          <w:szCs w:val="20"/>
        </w:rPr>
        <w:t>肾上腺皮质激素</w:t>
      </w:r>
      <w:r w:rsidRPr="00395C73">
        <w:rPr>
          <w:rFonts w:ascii="Arial" w:eastAsia="宋体" w:hAnsi="Arial" w:cs="Arial"/>
          <w:kern w:val="0"/>
          <w:sz w:val="20"/>
          <w:szCs w:val="20"/>
        </w:rPr>
        <w:t>(</w:t>
      </w:r>
      <w:r w:rsidRPr="00395C73">
        <w:rPr>
          <w:rFonts w:ascii="Arial" w:eastAsia="宋体" w:hAnsi="Arial" w:cs="Arial"/>
          <w:kern w:val="0"/>
          <w:sz w:val="20"/>
          <w:szCs w:val="20"/>
        </w:rPr>
        <w:t>糖皮质激素、盐皮质激素</w:t>
      </w:r>
      <w:r w:rsidRPr="00395C73">
        <w:rPr>
          <w:rFonts w:ascii="Arial" w:eastAsia="宋体" w:hAnsi="Arial" w:cs="Arial"/>
          <w:kern w:val="0"/>
          <w:sz w:val="20"/>
          <w:szCs w:val="20"/>
        </w:rPr>
        <w:t>)</w:t>
      </w:r>
      <w:r w:rsidRPr="00395C73">
        <w:rPr>
          <w:rFonts w:ascii="Arial" w:eastAsia="宋体" w:hAnsi="Arial" w:cs="Arial"/>
          <w:kern w:val="0"/>
          <w:sz w:val="20"/>
          <w:szCs w:val="20"/>
        </w:rPr>
        <w:t>、抗凝药</w:t>
      </w:r>
      <w:r w:rsidRPr="00395C73">
        <w:rPr>
          <w:rFonts w:ascii="Arial" w:eastAsia="宋体" w:hAnsi="Arial" w:cs="Arial"/>
          <w:kern w:val="0"/>
          <w:sz w:val="20"/>
          <w:szCs w:val="20"/>
        </w:rPr>
        <w:t>(</w:t>
      </w:r>
      <w:r w:rsidRPr="00395C73">
        <w:rPr>
          <w:rFonts w:ascii="Arial" w:eastAsia="宋体" w:hAnsi="Arial" w:cs="Arial"/>
          <w:kern w:val="0"/>
          <w:sz w:val="20"/>
          <w:szCs w:val="20"/>
        </w:rPr>
        <w:t>如香豆素、茚满二酮衍生物</w:t>
      </w:r>
      <w:r w:rsidRPr="00395C73">
        <w:rPr>
          <w:rFonts w:ascii="Arial" w:eastAsia="宋体" w:hAnsi="Arial" w:cs="Arial"/>
          <w:kern w:val="0"/>
          <w:sz w:val="20"/>
          <w:szCs w:val="20"/>
        </w:rPr>
        <w:t>)</w:t>
      </w:r>
      <w:r w:rsidRPr="00395C73">
        <w:rPr>
          <w:rFonts w:ascii="Arial" w:eastAsia="宋体" w:hAnsi="Arial" w:cs="Arial"/>
          <w:kern w:val="0"/>
          <w:sz w:val="20"/>
          <w:szCs w:val="20"/>
        </w:rPr>
        <w:t>、氨茶碱、茶碱、氯霉素、氯贝丁酯、环孢素、维拉帕米、妥卡尼、普罗帕酮、甲氧苄啶、口服降血糖药、促皮质素、氨苯砜、洋地黄苷类药</w:t>
      </w:r>
      <w:r w:rsidRPr="00395C73">
        <w:rPr>
          <w:rFonts w:ascii="Arial" w:eastAsia="宋体" w:hAnsi="Arial" w:cs="Arial"/>
          <w:kern w:val="0"/>
          <w:sz w:val="20"/>
          <w:szCs w:val="20"/>
        </w:rPr>
        <w:t>(</w:t>
      </w:r>
      <w:r w:rsidRPr="00395C73">
        <w:rPr>
          <w:rFonts w:ascii="Arial" w:eastAsia="宋体" w:hAnsi="Arial" w:cs="Arial"/>
          <w:kern w:val="0"/>
          <w:sz w:val="20"/>
          <w:szCs w:val="20"/>
        </w:rPr>
        <w:t>如地高辛</w:t>
      </w:r>
      <w:r w:rsidRPr="00395C73">
        <w:rPr>
          <w:rFonts w:ascii="Arial" w:eastAsia="宋体" w:hAnsi="Arial" w:cs="Arial"/>
          <w:kern w:val="0"/>
          <w:sz w:val="20"/>
          <w:szCs w:val="20"/>
        </w:rPr>
        <w:t>)</w:t>
      </w:r>
      <w:r w:rsidRPr="00395C73">
        <w:rPr>
          <w:rFonts w:ascii="Arial" w:eastAsia="宋体" w:hAnsi="Arial" w:cs="Arial"/>
          <w:kern w:val="0"/>
          <w:sz w:val="20"/>
          <w:szCs w:val="20"/>
        </w:rPr>
        <w:t>、丙吡胺、奎尼丁：</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结果：合用可减弱以上药物的药效。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机制：本药可诱导肝微粒体酶活性。</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处理：除地高辛和氨苯砜外，在使用本药前和疗程中需调整以上药物的剂量。本药与抗凝药合用时应每日或定期测定凝血酶原时间，据此调整剂量。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52.</w:t>
      </w:r>
      <w:r w:rsidRPr="00395C73">
        <w:rPr>
          <w:rFonts w:ascii="Arial" w:eastAsia="宋体" w:hAnsi="Arial" w:cs="Arial"/>
          <w:kern w:val="0"/>
          <w:sz w:val="20"/>
          <w:szCs w:val="20"/>
        </w:rPr>
        <w:t>口服避孕药：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结果：合用可减弱口服避孕药的作用，导致月经不规则、月经间期出血、计划外妊娠。</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机制：本药可促进雌激素的代谢或减少其肠肝循环。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处理：使用本药时改用其他非口服避孕药方式避孕。</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53.</w:t>
      </w:r>
      <w:r w:rsidRPr="00395C73">
        <w:rPr>
          <w:rFonts w:ascii="Arial" w:eastAsia="宋体" w:hAnsi="Arial" w:cs="Arial"/>
          <w:kern w:val="0"/>
          <w:sz w:val="20"/>
          <w:szCs w:val="20"/>
        </w:rPr>
        <w:t>达卡巴嗪、环磷酰胺：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结果：合用可增加以上药物的代谢，形成烷化代谢物，促使白细胞减少。</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机制：本药可诱导肝微粒体酶。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处理：合用时需调整以上药物的剂量。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54.</w:t>
      </w:r>
      <w:r w:rsidRPr="00395C73">
        <w:rPr>
          <w:rFonts w:ascii="Arial" w:eastAsia="宋体" w:hAnsi="Arial" w:cs="Arial"/>
          <w:kern w:val="0"/>
          <w:sz w:val="20"/>
          <w:szCs w:val="20"/>
        </w:rPr>
        <w:t>苯妥英：</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结果：合用可增加苯妥英在肝脏中的代谢。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处理：合用时应监测苯妥英的血药浓度并调整剂量。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55.</w:t>
      </w:r>
      <w:r w:rsidRPr="00395C73">
        <w:rPr>
          <w:rFonts w:ascii="Arial" w:eastAsia="宋体" w:hAnsi="Arial" w:cs="Arial"/>
          <w:kern w:val="0"/>
          <w:sz w:val="20"/>
          <w:szCs w:val="20"/>
        </w:rPr>
        <w:t>左甲状腺素：</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结果：合用可增加左甲状腺素在肝脏中的降解。</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处理：合用时应增加左甲状腺素的剂量。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56.</w:t>
      </w:r>
      <w:r w:rsidRPr="00395C73">
        <w:rPr>
          <w:rFonts w:ascii="Arial" w:eastAsia="宋体" w:hAnsi="Arial" w:cs="Arial"/>
          <w:kern w:val="0"/>
          <w:sz w:val="20"/>
          <w:szCs w:val="20"/>
        </w:rPr>
        <w:t>巴比妥酸盐、</w:t>
      </w:r>
      <w:r w:rsidRPr="00395C73">
        <w:rPr>
          <w:rFonts w:ascii="Arial" w:eastAsia="宋体" w:hAnsi="Arial" w:cs="Arial"/>
          <w:kern w:val="0"/>
          <w:sz w:val="20"/>
          <w:szCs w:val="20"/>
        </w:rPr>
        <w:t>β-</w:t>
      </w:r>
      <w:r w:rsidRPr="00395C73">
        <w:rPr>
          <w:rFonts w:ascii="Arial" w:eastAsia="宋体" w:hAnsi="Arial" w:cs="Arial"/>
          <w:kern w:val="0"/>
          <w:sz w:val="20"/>
          <w:szCs w:val="20"/>
        </w:rPr>
        <w:t>肾上腺素受体阻滞药、钙通道阻滞药</w:t>
      </w:r>
      <w:r w:rsidRPr="00395C73">
        <w:rPr>
          <w:rFonts w:ascii="Arial" w:eastAsia="宋体" w:hAnsi="Arial" w:cs="Arial"/>
          <w:kern w:val="0"/>
          <w:sz w:val="20"/>
          <w:szCs w:val="20"/>
        </w:rPr>
        <w:t>(</w:t>
      </w:r>
      <w:r w:rsidRPr="00395C73">
        <w:rPr>
          <w:rFonts w:ascii="Arial" w:eastAsia="宋体" w:hAnsi="Arial" w:cs="Arial"/>
          <w:kern w:val="0"/>
          <w:sz w:val="20"/>
          <w:szCs w:val="20"/>
        </w:rPr>
        <w:t>如地尔硫卓、硝苯地平</w:t>
      </w:r>
      <w:r w:rsidRPr="00395C73">
        <w:rPr>
          <w:rFonts w:ascii="Arial" w:eastAsia="宋体" w:hAnsi="Arial" w:cs="Arial"/>
          <w:kern w:val="0"/>
          <w:sz w:val="20"/>
          <w:szCs w:val="20"/>
        </w:rPr>
        <w:t>)</w:t>
      </w:r>
      <w:r w:rsidRPr="00395C73">
        <w:rPr>
          <w:rFonts w:ascii="Arial" w:eastAsia="宋体" w:hAnsi="Arial" w:cs="Arial"/>
          <w:kern w:val="0"/>
          <w:sz w:val="20"/>
          <w:szCs w:val="20"/>
        </w:rPr>
        <w:t>、克拉霉素、多西环素、氟喹诺酮类药</w:t>
      </w:r>
      <w:r w:rsidRPr="00395C73">
        <w:rPr>
          <w:rFonts w:ascii="Arial" w:eastAsia="宋体" w:hAnsi="Arial" w:cs="Arial"/>
          <w:kern w:val="0"/>
          <w:sz w:val="20"/>
          <w:szCs w:val="20"/>
        </w:rPr>
        <w:t>(</w:t>
      </w:r>
      <w:r w:rsidRPr="00395C73">
        <w:rPr>
          <w:rFonts w:ascii="Arial" w:eastAsia="宋体" w:hAnsi="Arial" w:cs="Arial"/>
          <w:kern w:val="0"/>
          <w:sz w:val="20"/>
          <w:szCs w:val="20"/>
        </w:rPr>
        <w:t>如环丙沙星</w:t>
      </w:r>
      <w:r w:rsidRPr="00395C73">
        <w:rPr>
          <w:rFonts w:ascii="Arial" w:eastAsia="宋体" w:hAnsi="Arial" w:cs="Arial"/>
          <w:kern w:val="0"/>
          <w:sz w:val="20"/>
          <w:szCs w:val="20"/>
        </w:rPr>
        <w:t>)</w:t>
      </w:r>
      <w:r w:rsidRPr="00395C73">
        <w:rPr>
          <w:rFonts w:ascii="Arial" w:eastAsia="宋体" w:hAnsi="Arial" w:cs="Arial"/>
          <w:kern w:val="0"/>
          <w:sz w:val="20"/>
          <w:szCs w:val="20"/>
        </w:rPr>
        <w:t>、氟哌啶醇、麻醉性镇痛药、奎宁、他克莫司、三环类抗抑郁药</w:t>
      </w:r>
      <w:r w:rsidRPr="00395C73">
        <w:rPr>
          <w:rFonts w:ascii="Arial" w:eastAsia="宋体" w:hAnsi="Arial" w:cs="Arial"/>
          <w:kern w:val="0"/>
          <w:sz w:val="20"/>
          <w:szCs w:val="20"/>
        </w:rPr>
        <w:t>(</w:t>
      </w:r>
      <w:r w:rsidRPr="00395C73">
        <w:rPr>
          <w:rFonts w:ascii="Arial" w:eastAsia="宋体" w:hAnsi="Arial" w:cs="Arial"/>
          <w:kern w:val="0"/>
          <w:sz w:val="20"/>
          <w:szCs w:val="20"/>
        </w:rPr>
        <w:t>阿米替林、去甲替林</w:t>
      </w:r>
      <w:r w:rsidRPr="00395C73">
        <w:rPr>
          <w:rFonts w:ascii="Arial" w:eastAsia="宋体" w:hAnsi="Arial" w:cs="Arial"/>
          <w:kern w:val="0"/>
          <w:sz w:val="20"/>
          <w:szCs w:val="20"/>
        </w:rPr>
        <w:t>)</w:t>
      </w:r>
      <w:r w:rsidRPr="00395C73">
        <w:rPr>
          <w:rFonts w:ascii="Arial" w:eastAsia="宋体" w:hAnsi="Arial" w:cs="Arial"/>
          <w:kern w:val="0"/>
          <w:sz w:val="20"/>
          <w:szCs w:val="20"/>
        </w:rPr>
        <w:t>、齐多夫定：</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结果：合用可加速以上药物的代谢。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机制：本药为肝酶诱导药。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处理：合用时需调整以上药物的剂量。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57.</w:t>
      </w:r>
      <w:r w:rsidRPr="00395C73">
        <w:rPr>
          <w:rFonts w:ascii="Arial" w:eastAsia="宋体" w:hAnsi="Arial" w:cs="Arial"/>
          <w:kern w:val="0"/>
          <w:sz w:val="20"/>
          <w:szCs w:val="20"/>
        </w:rPr>
        <w:t>安贝生坦：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结果：合用可减小安贝生坦的暴露量。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机制：本药可诱导安贝生坦的代谢。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处理：合用应谨慎，并监测安贝生坦的疗效。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58.</w:t>
      </w:r>
      <w:r w:rsidRPr="00395C73">
        <w:rPr>
          <w:rFonts w:ascii="Arial" w:eastAsia="宋体" w:hAnsi="Arial" w:cs="Arial"/>
          <w:kern w:val="0"/>
          <w:sz w:val="20"/>
          <w:szCs w:val="20"/>
        </w:rPr>
        <w:t>阿莫达非尼：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结果：合用可减小阿莫达非尼的暴露量，或降低其血浆水平。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机制：合用可诱导</w:t>
      </w:r>
      <w:r w:rsidRPr="00395C73">
        <w:rPr>
          <w:rFonts w:ascii="Arial" w:eastAsia="宋体" w:hAnsi="Arial" w:cs="Arial"/>
          <w:kern w:val="0"/>
          <w:sz w:val="20"/>
          <w:szCs w:val="20"/>
        </w:rPr>
        <w:t>CYP 3A</w:t>
      </w:r>
      <w:r w:rsidRPr="00395C73">
        <w:rPr>
          <w:rFonts w:ascii="Arial" w:eastAsia="宋体" w:hAnsi="Arial" w:cs="Arial"/>
          <w:kern w:val="0"/>
          <w:sz w:val="20"/>
          <w:szCs w:val="20"/>
        </w:rPr>
        <w:t>介导的阿莫达非尼的代谢。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处理：合用应谨慎，并监测患者对阿莫达非尼的反应。</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59.</w:t>
      </w:r>
      <w:r w:rsidRPr="00395C73">
        <w:rPr>
          <w:rFonts w:ascii="Arial" w:eastAsia="宋体" w:hAnsi="Arial" w:cs="Arial"/>
          <w:kern w:val="0"/>
          <w:sz w:val="20"/>
          <w:szCs w:val="20"/>
        </w:rPr>
        <w:t>卡介苗：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结果：合用可减弱膀胱内治疗或疫苗接种的效果。</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处理：服用本药期间不应接种卡介苗。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60.</w:t>
      </w:r>
      <w:r w:rsidRPr="00395C73">
        <w:rPr>
          <w:rFonts w:ascii="Arial" w:eastAsia="宋体" w:hAnsi="Arial" w:cs="Arial"/>
          <w:kern w:val="0"/>
          <w:sz w:val="20"/>
          <w:szCs w:val="20"/>
        </w:rPr>
        <w:t>硼替佐米：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结果：合用可减弱硼替佐米的疗效。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介导的硼替佐米的代谢。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处理：合用应注意监测。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61.</w:t>
      </w:r>
      <w:r w:rsidRPr="00395C73">
        <w:rPr>
          <w:rFonts w:ascii="Arial" w:eastAsia="宋体" w:hAnsi="Arial" w:cs="Arial"/>
          <w:kern w:val="0"/>
          <w:sz w:val="20"/>
          <w:szCs w:val="20"/>
        </w:rPr>
        <w:t>卡维地洛：</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结果：合用可减弱卡维地洛的疗效。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机制：本药可诱导卡维地洛在肝脏中的代谢。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处理：合用时应监测患者的反应</w:t>
      </w:r>
      <w:r w:rsidRPr="00395C73">
        <w:rPr>
          <w:rFonts w:ascii="Arial" w:eastAsia="宋体" w:hAnsi="Arial" w:cs="Arial"/>
          <w:kern w:val="0"/>
          <w:sz w:val="20"/>
          <w:szCs w:val="20"/>
        </w:rPr>
        <w:t>(</w:t>
      </w:r>
      <w:r w:rsidRPr="00395C73">
        <w:rPr>
          <w:rFonts w:ascii="Arial" w:eastAsia="宋体" w:hAnsi="Arial" w:cs="Arial"/>
          <w:kern w:val="0"/>
          <w:sz w:val="20"/>
          <w:szCs w:val="20"/>
        </w:rPr>
        <w:t>血压、肝功能缺陷的症状</w:t>
      </w:r>
      <w:r w:rsidRPr="00395C73">
        <w:rPr>
          <w:rFonts w:ascii="Arial" w:eastAsia="宋体" w:hAnsi="Arial" w:cs="Arial"/>
          <w:kern w:val="0"/>
          <w:sz w:val="20"/>
          <w:szCs w:val="20"/>
        </w:rPr>
        <w:t>)</w:t>
      </w:r>
      <w:r w:rsidRPr="00395C73">
        <w:rPr>
          <w:rFonts w:ascii="Arial" w:eastAsia="宋体" w:hAnsi="Arial" w:cs="Arial"/>
          <w:kern w:val="0"/>
          <w:sz w:val="20"/>
          <w:szCs w:val="20"/>
        </w:rPr>
        <w:t>，并需要调整卡维地洛的剂量。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62.</w:t>
      </w:r>
      <w:r w:rsidRPr="00395C73">
        <w:rPr>
          <w:rFonts w:ascii="Arial" w:eastAsia="宋体" w:hAnsi="Arial" w:cs="Arial"/>
          <w:kern w:val="0"/>
          <w:sz w:val="20"/>
          <w:szCs w:val="20"/>
        </w:rPr>
        <w:t>氟伐他汀：</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结果：合用可减弱氟伐他汀的疗效。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处理：合用时应监测氟伐他汀的疗效，并根据需要调整其剂量。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63.</w:t>
      </w:r>
      <w:r w:rsidRPr="00395C73">
        <w:rPr>
          <w:rFonts w:ascii="Arial" w:eastAsia="宋体" w:hAnsi="Arial" w:cs="Arial"/>
          <w:kern w:val="0"/>
          <w:sz w:val="20"/>
          <w:szCs w:val="20"/>
        </w:rPr>
        <w:t>罗非昔布：</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处理：合用可减弱罗非昔布的疗效。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机制：本药可诱导罗非昔布的肝代谢。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处理：治疗骨性关节炎时，合用初始阶段罗非昔布的剂量为一次</w:t>
      </w:r>
      <w:r w:rsidRPr="00395C73">
        <w:rPr>
          <w:rFonts w:ascii="Arial" w:eastAsia="宋体" w:hAnsi="Arial" w:cs="Arial"/>
          <w:kern w:val="0"/>
          <w:sz w:val="20"/>
          <w:szCs w:val="20"/>
        </w:rPr>
        <w:t>25mg</w:t>
      </w:r>
      <w:r w:rsidRPr="00395C73">
        <w:rPr>
          <w:rFonts w:ascii="Arial" w:eastAsia="宋体" w:hAnsi="Arial" w:cs="Arial"/>
          <w:kern w:val="0"/>
          <w:sz w:val="20"/>
          <w:szCs w:val="20"/>
        </w:rPr>
        <w:t>，一日</w:t>
      </w:r>
      <w:r w:rsidRPr="00395C73">
        <w:rPr>
          <w:rFonts w:ascii="Arial" w:eastAsia="宋体" w:hAnsi="Arial" w:cs="Arial"/>
          <w:kern w:val="0"/>
          <w:sz w:val="20"/>
          <w:szCs w:val="20"/>
        </w:rPr>
        <w:t>1</w:t>
      </w:r>
      <w:r w:rsidRPr="00395C73">
        <w:rPr>
          <w:rFonts w:ascii="Arial" w:eastAsia="宋体" w:hAnsi="Arial" w:cs="Arial"/>
          <w:kern w:val="0"/>
          <w:sz w:val="20"/>
          <w:szCs w:val="20"/>
        </w:rPr>
        <w:t>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64.</w:t>
      </w:r>
      <w:r w:rsidRPr="00395C73">
        <w:rPr>
          <w:rFonts w:ascii="Arial" w:eastAsia="宋体" w:hAnsi="Arial" w:cs="Arial"/>
          <w:kern w:val="0"/>
          <w:sz w:val="20"/>
          <w:szCs w:val="20"/>
        </w:rPr>
        <w:t>氯沙坦：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结果：合用可减弱氯沙坦的疗效。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机制：本药可诱导</w:t>
      </w:r>
      <w:r w:rsidRPr="00395C73">
        <w:rPr>
          <w:rFonts w:ascii="Arial" w:eastAsia="宋体" w:hAnsi="Arial" w:cs="Arial"/>
          <w:kern w:val="0"/>
          <w:sz w:val="20"/>
          <w:szCs w:val="20"/>
        </w:rPr>
        <w:t>CYP</w:t>
      </w:r>
      <w:r w:rsidRPr="00395C73">
        <w:rPr>
          <w:rFonts w:ascii="Arial" w:eastAsia="宋体" w:hAnsi="Arial" w:cs="Arial"/>
          <w:kern w:val="0"/>
          <w:sz w:val="20"/>
          <w:szCs w:val="20"/>
        </w:rPr>
        <w:t>同工酶。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处理：合用时应监测患者血压，据此调整氯沙坦的剂量。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65.</w:t>
      </w:r>
      <w:r w:rsidRPr="00395C73">
        <w:rPr>
          <w:rFonts w:ascii="Arial" w:eastAsia="宋体" w:hAnsi="Arial" w:cs="Arial"/>
          <w:kern w:val="0"/>
          <w:sz w:val="20"/>
          <w:szCs w:val="20"/>
        </w:rPr>
        <w:t>达比加群酯：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结果：合用可减小达比加群酯的暴露量。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P-</w:t>
      </w:r>
      <w:r w:rsidRPr="00395C73">
        <w:rPr>
          <w:rFonts w:ascii="Arial" w:eastAsia="宋体" w:hAnsi="Arial" w:cs="Arial"/>
          <w:kern w:val="0"/>
          <w:sz w:val="20"/>
          <w:szCs w:val="20"/>
        </w:rPr>
        <w:t>糖蛋白的转运。</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66.</w:t>
      </w:r>
      <w:r w:rsidRPr="00395C73">
        <w:rPr>
          <w:rFonts w:ascii="Arial" w:eastAsia="宋体" w:hAnsi="Arial" w:cs="Arial"/>
          <w:kern w:val="0"/>
          <w:sz w:val="20"/>
          <w:szCs w:val="20"/>
        </w:rPr>
        <w:t>伊立替康：</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结果：合用可减小伊立替康和其活性代谢物的暴露量。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介导的伊立替康的代谢。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处理：合用应监测伊立替康的疗效，并根据需要调整其剂量。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67.</w:t>
      </w:r>
      <w:r w:rsidRPr="00395C73">
        <w:rPr>
          <w:rFonts w:ascii="Arial" w:eastAsia="宋体" w:hAnsi="Arial" w:cs="Arial"/>
          <w:kern w:val="0"/>
          <w:sz w:val="20"/>
          <w:szCs w:val="20"/>
        </w:rPr>
        <w:t>拉莫三嗪：</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结果：合用可减小拉莫三嗪的暴露量。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机制：合用可增加拉莫三嗪的清除率。</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处理：合用时应监测拉莫三嗪的疗效，据此调整其剂量。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68.</w:t>
      </w:r>
      <w:r w:rsidRPr="00395C73">
        <w:rPr>
          <w:rFonts w:ascii="Arial" w:eastAsia="宋体" w:hAnsi="Arial" w:cs="Arial"/>
          <w:kern w:val="0"/>
          <w:sz w:val="20"/>
          <w:szCs w:val="20"/>
        </w:rPr>
        <w:t>拉帕替尼：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结果：合用可减小拉帕替尼的暴露量，或降低其血药浓度。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介导的拉帕替尼的代谢。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处理：两者应避免合用。如合用，在耐受范围内拉帕替尼的剂量应从一日</w:t>
      </w:r>
      <w:r w:rsidRPr="00395C73">
        <w:rPr>
          <w:rFonts w:ascii="Arial" w:eastAsia="宋体" w:hAnsi="Arial" w:cs="Arial"/>
          <w:kern w:val="0"/>
          <w:sz w:val="20"/>
          <w:szCs w:val="20"/>
        </w:rPr>
        <w:t>1.25g</w:t>
      </w:r>
      <w:r w:rsidRPr="00395C73">
        <w:rPr>
          <w:rFonts w:ascii="Arial" w:eastAsia="宋体" w:hAnsi="Arial" w:cs="Arial"/>
          <w:kern w:val="0"/>
          <w:sz w:val="20"/>
          <w:szCs w:val="20"/>
        </w:rPr>
        <w:t>逐步增加至一日</w:t>
      </w:r>
      <w:r w:rsidRPr="00395C73">
        <w:rPr>
          <w:rFonts w:ascii="Arial" w:eastAsia="宋体" w:hAnsi="Arial" w:cs="Arial"/>
          <w:kern w:val="0"/>
          <w:sz w:val="20"/>
          <w:szCs w:val="20"/>
        </w:rPr>
        <w:t>4.5g</w:t>
      </w:r>
      <w:r w:rsidRPr="00395C73">
        <w:rPr>
          <w:rFonts w:ascii="Arial" w:eastAsia="宋体" w:hAnsi="Arial" w:cs="Arial"/>
          <w:kern w:val="0"/>
          <w:sz w:val="20"/>
          <w:szCs w:val="20"/>
        </w:rPr>
        <w:t>，一旦停用本药，拉帕替尼的剂量应调整为常规剂量。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69.</w:t>
      </w:r>
      <w:r w:rsidRPr="00395C73">
        <w:rPr>
          <w:rFonts w:ascii="Arial" w:eastAsia="宋体" w:hAnsi="Arial" w:cs="Arial"/>
          <w:kern w:val="0"/>
          <w:sz w:val="20"/>
          <w:szCs w:val="20"/>
        </w:rPr>
        <w:t>吗替麦考酚酯：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结果：合用可减小吗替麦考酚酯的暴露量。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处理：不推荐两者合用。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70.</w:t>
      </w:r>
      <w:r w:rsidRPr="00395C73">
        <w:rPr>
          <w:rFonts w:ascii="Arial" w:eastAsia="宋体" w:hAnsi="Arial" w:cs="Arial"/>
          <w:kern w:val="0"/>
          <w:sz w:val="20"/>
          <w:szCs w:val="20"/>
        </w:rPr>
        <w:t>特比萘芬：</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结果：合用可减小特比萘芬的暴露量。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机制：本药可增加特比萘芬的消除。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处理：合用时监测患者反应，调整特比萘芬的剂量。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71.</w:t>
      </w:r>
      <w:r w:rsidRPr="00395C73">
        <w:rPr>
          <w:rFonts w:ascii="Arial" w:eastAsia="宋体" w:hAnsi="Arial" w:cs="Arial"/>
          <w:kern w:val="0"/>
          <w:sz w:val="20"/>
          <w:szCs w:val="20"/>
        </w:rPr>
        <w:t>孟鲁司特、雷美替胺：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结果：合用可降低以上药物的生物利用度。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机制：本药可诱导以上药物的代谢。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处理：合用时应监测以上药物的疗效。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72.</w:t>
      </w:r>
      <w:r w:rsidRPr="00395C73">
        <w:rPr>
          <w:rFonts w:ascii="Arial" w:eastAsia="宋体" w:hAnsi="Arial" w:cs="Arial"/>
          <w:kern w:val="0"/>
          <w:sz w:val="20"/>
          <w:szCs w:val="20"/>
        </w:rPr>
        <w:t>丙戊酸：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结果：合用可降低丙戊酸的水平。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机制：本药可增加丙戊酸的消除。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处理：合用时应监测丙戊酸的疗效，且根据需要调整丙戊酸的剂量。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73.</w:t>
      </w:r>
      <w:r w:rsidRPr="00395C73">
        <w:rPr>
          <w:rFonts w:ascii="Arial" w:eastAsia="宋体" w:hAnsi="Arial" w:cs="Arial"/>
          <w:kern w:val="0"/>
          <w:sz w:val="20"/>
          <w:szCs w:val="20"/>
        </w:rPr>
        <w:t>波生坦：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结果：合用的初始阶段可增加波生坦的波谷水平，降低其稳态水平。</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处理：合用的初始</w:t>
      </w:r>
      <w:r w:rsidRPr="00395C73">
        <w:rPr>
          <w:rFonts w:ascii="Arial" w:eastAsia="宋体" w:hAnsi="Arial" w:cs="Arial"/>
          <w:kern w:val="0"/>
          <w:sz w:val="20"/>
          <w:szCs w:val="20"/>
        </w:rPr>
        <w:t>4</w:t>
      </w:r>
      <w:r w:rsidRPr="00395C73">
        <w:rPr>
          <w:rFonts w:ascii="Arial" w:eastAsia="宋体" w:hAnsi="Arial" w:cs="Arial"/>
          <w:kern w:val="0"/>
          <w:sz w:val="20"/>
          <w:szCs w:val="20"/>
        </w:rPr>
        <w:t>周，应每周检查肝功能。</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74.</w:t>
      </w:r>
      <w:r w:rsidRPr="00395C73">
        <w:rPr>
          <w:rFonts w:ascii="Arial" w:eastAsia="宋体" w:hAnsi="Arial" w:cs="Arial"/>
          <w:kern w:val="0"/>
          <w:sz w:val="20"/>
          <w:szCs w:val="20"/>
        </w:rPr>
        <w:t>丁螺环酮：</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结果：合用可减弱丁螺环酮的抗焦虑作用。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机制：本药可诱导</w:t>
      </w:r>
      <w:r w:rsidRPr="00395C73">
        <w:rPr>
          <w:rFonts w:ascii="Arial" w:eastAsia="宋体" w:hAnsi="Arial" w:cs="Arial"/>
          <w:kern w:val="0"/>
          <w:sz w:val="20"/>
          <w:szCs w:val="20"/>
        </w:rPr>
        <w:t>CYP 3A4</w:t>
      </w:r>
      <w:r w:rsidRPr="00395C73">
        <w:rPr>
          <w:rFonts w:ascii="Arial" w:eastAsia="宋体" w:hAnsi="Arial" w:cs="Arial"/>
          <w:kern w:val="0"/>
          <w:sz w:val="20"/>
          <w:szCs w:val="20"/>
        </w:rPr>
        <w:t>介导的丁螺环酮的代谢。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处理：合用时应监测丁螺环酮的疗效，并增加丁螺环酮的剂量。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w:t>
      </w:r>
      <w:r w:rsidRPr="00395C73">
        <w:rPr>
          <w:rFonts w:ascii="Arial" w:eastAsia="宋体" w:hAnsi="Arial" w:cs="Arial"/>
          <w:b/>
          <w:bCs/>
          <w:kern w:val="0"/>
          <w:sz w:val="20"/>
          <w:szCs w:val="20"/>
        </w:rPr>
        <w:t>-</w:t>
      </w:r>
      <w:r w:rsidRPr="00395C73">
        <w:rPr>
          <w:rFonts w:ascii="Arial" w:eastAsia="宋体" w:hAnsi="Arial" w:cs="Arial"/>
          <w:b/>
          <w:bCs/>
          <w:kern w:val="0"/>
          <w:sz w:val="20"/>
          <w:szCs w:val="20"/>
        </w:rPr>
        <w:t>酒精</w:t>
      </w:r>
      <w:r w:rsidRPr="00395C73">
        <w:rPr>
          <w:rFonts w:ascii="Arial" w:eastAsia="宋体" w:hAnsi="Arial" w:cs="Arial"/>
          <w:b/>
          <w:bCs/>
          <w:kern w:val="0"/>
          <w:sz w:val="20"/>
          <w:szCs w:val="20"/>
        </w:rPr>
        <w:t>/</w:t>
      </w:r>
      <w:r w:rsidRPr="00395C73">
        <w:rPr>
          <w:rFonts w:ascii="Arial" w:eastAsia="宋体" w:hAnsi="Arial" w:cs="Arial"/>
          <w:b/>
          <w:bCs/>
          <w:kern w:val="0"/>
          <w:sz w:val="20"/>
          <w:szCs w:val="20"/>
        </w:rPr>
        <w:t>尼古丁相互作用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酒精：</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结果：用药期间饮酒可导致肝毒性发生率增加，并增加本药的代谢。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处理：合用时需调整本药剂量，并密切监测患者有无肝毒性特征出现。</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w:t>
      </w:r>
      <w:r w:rsidRPr="00395C73">
        <w:rPr>
          <w:rFonts w:ascii="Arial" w:eastAsia="宋体" w:hAnsi="Arial" w:cs="Arial"/>
          <w:b/>
          <w:bCs/>
          <w:kern w:val="0"/>
          <w:sz w:val="20"/>
          <w:szCs w:val="20"/>
        </w:rPr>
        <w:t>-</w:t>
      </w:r>
      <w:r w:rsidRPr="00395C73">
        <w:rPr>
          <w:rFonts w:ascii="Arial" w:eastAsia="宋体" w:hAnsi="Arial" w:cs="Arial"/>
          <w:b/>
          <w:bCs/>
          <w:kern w:val="0"/>
          <w:sz w:val="20"/>
          <w:szCs w:val="20"/>
        </w:rPr>
        <w:t>食物相互作用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食物：</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结果：进食可影响本药的吸收。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处理：本药应于餐前</w:t>
      </w:r>
      <w:r w:rsidRPr="00395C73">
        <w:rPr>
          <w:rFonts w:ascii="Arial" w:eastAsia="宋体" w:hAnsi="Arial" w:cs="Arial"/>
          <w:kern w:val="0"/>
          <w:sz w:val="20"/>
          <w:szCs w:val="20"/>
        </w:rPr>
        <w:t>1</w:t>
      </w:r>
      <w:r w:rsidRPr="00395C73">
        <w:rPr>
          <w:rFonts w:ascii="Arial" w:eastAsia="宋体" w:hAnsi="Arial" w:cs="Arial"/>
          <w:kern w:val="0"/>
          <w:sz w:val="20"/>
          <w:szCs w:val="20"/>
        </w:rPr>
        <w:t>小时或餐后</w:t>
      </w:r>
      <w:r w:rsidRPr="00395C73">
        <w:rPr>
          <w:rFonts w:ascii="Arial" w:eastAsia="宋体" w:hAnsi="Arial" w:cs="Arial"/>
          <w:kern w:val="0"/>
          <w:sz w:val="20"/>
          <w:szCs w:val="20"/>
        </w:rPr>
        <w:t>2</w:t>
      </w:r>
      <w:r w:rsidRPr="00395C73">
        <w:rPr>
          <w:rFonts w:ascii="Arial" w:eastAsia="宋体" w:hAnsi="Arial" w:cs="Arial"/>
          <w:kern w:val="0"/>
          <w:sz w:val="20"/>
          <w:szCs w:val="20"/>
        </w:rPr>
        <w:t>小时服用，清晨空腹顿服吸收最好。</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【注意事项】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用药警示</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本药不适用于脑膜炎奈瑟菌感染的治疗。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间歇使用本药治疗时宜每周</w:t>
      </w:r>
      <w:r w:rsidRPr="00395C73">
        <w:rPr>
          <w:rFonts w:ascii="Arial" w:eastAsia="宋体" w:hAnsi="Arial" w:cs="Arial"/>
          <w:kern w:val="0"/>
          <w:sz w:val="20"/>
          <w:szCs w:val="20"/>
        </w:rPr>
        <w:t>3</w:t>
      </w:r>
      <w:r w:rsidRPr="00395C73">
        <w:rPr>
          <w:rFonts w:ascii="Arial" w:eastAsia="宋体" w:hAnsi="Arial" w:cs="Arial"/>
          <w:kern w:val="0"/>
          <w:sz w:val="20"/>
          <w:szCs w:val="20"/>
        </w:rPr>
        <w:t>次以上，以免发生免疫反应，此给药方法也适用于麻风病的治疗。</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本药单独用于治疗结核病或其他细菌性感染时可能迅速产生耐药性，故本药须与其他药物合用。治疗可能需持续</w:t>
      </w:r>
      <w:r w:rsidRPr="00395C73">
        <w:rPr>
          <w:rFonts w:ascii="Arial" w:eastAsia="宋体" w:hAnsi="Arial" w:cs="Arial"/>
          <w:kern w:val="0"/>
          <w:sz w:val="20"/>
          <w:szCs w:val="20"/>
        </w:rPr>
        <w:t>6</w:t>
      </w:r>
      <w:r w:rsidRPr="00395C73">
        <w:rPr>
          <w:rFonts w:ascii="Arial" w:eastAsia="宋体" w:hAnsi="Arial" w:cs="Arial"/>
          <w:kern w:val="0"/>
          <w:sz w:val="20"/>
          <w:szCs w:val="20"/>
        </w:rPr>
        <w:t>个月至</w:t>
      </w:r>
      <w:r w:rsidRPr="00395C73">
        <w:rPr>
          <w:rFonts w:ascii="Arial" w:eastAsia="宋体" w:hAnsi="Arial" w:cs="Arial"/>
          <w:kern w:val="0"/>
          <w:sz w:val="20"/>
          <w:szCs w:val="20"/>
        </w:rPr>
        <w:t>2</w:t>
      </w:r>
      <w:r w:rsidRPr="00395C73">
        <w:rPr>
          <w:rFonts w:ascii="Arial" w:eastAsia="宋体" w:hAnsi="Arial" w:cs="Arial"/>
          <w:kern w:val="0"/>
          <w:sz w:val="20"/>
          <w:szCs w:val="20"/>
        </w:rPr>
        <w:t>年，甚至数年。</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本药可能导致肝功能不全，有肝病患者或使用其他肝毒性药物的患者用药伴发黄疸死亡的报道，故肝病患者仅在有明确指征时慎用本药，治疗开始前、治疗中应严密监测肝功能，一旦出现肝功能损害，应立即停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5.</w:t>
      </w:r>
      <w:r w:rsidRPr="00395C73">
        <w:rPr>
          <w:rFonts w:ascii="Arial" w:eastAsia="宋体" w:hAnsi="Arial" w:cs="Arial"/>
          <w:kern w:val="0"/>
          <w:sz w:val="20"/>
          <w:szCs w:val="20"/>
        </w:rPr>
        <w:t>本药静脉滴注仅用于住院患者，尤其适用于不耐受口服治疗</w:t>
      </w:r>
      <w:r w:rsidRPr="00395C73">
        <w:rPr>
          <w:rFonts w:ascii="Arial" w:eastAsia="宋体" w:hAnsi="Arial" w:cs="Arial"/>
          <w:kern w:val="0"/>
          <w:sz w:val="20"/>
          <w:szCs w:val="20"/>
        </w:rPr>
        <w:t>(</w:t>
      </w:r>
      <w:r w:rsidRPr="00395C73">
        <w:rPr>
          <w:rFonts w:ascii="Arial" w:eastAsia="宋体" w:hAnsi="Arial" w:cs="Arial"/>
          <w:kern w:val="0"/>
          <w:sz w:val="20"/>
          <w:szCs w:val="20"/>
        </w:rPr>
        <w:t>如手术后、昏迷、胃肠道吸收功能损害</w:t>
      </w:r>
      <w:r w:rsidRPr="00395C73">
        <w:rPr>
          <w:rFonts w:ascii="Arial" w:eastAsia="宋体" w:hAnsi="Arial" w:cs="Arial"/>
          <w:kern w:val="0"/>
          <w:sz w:val="20"/>
          <w:szCs w:val="20"/>
        </w:rPr>
        <w:t>)</w:t>
      </w:r>
      <w:r w:rsidRPr="00395C73">
        <w:rPr>
          <w:rFonts w:ascii="Arial" w:eastAsia="宋体" w:hAnsi="Arial" w:cs="Arial"/>
          <w:kern w:val="0"/>
          <w:sz w:val="20"/>
          <w:szCs w:val="20"/>
        </w:rPr>
        <w:t>的患者。</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6.</w:t>
      </w:r>
      <w:r w:rsidRPr="00395C73">
        <w:rPr>
          <w:rFonts w:ascii="Arial" w:eastAsia="宋体" w:hAnsi="Arial" w:cs="Arial"/>
          <w:kern w:val="0"/>
          <w:sz w:val="20"/>
          <w:szCs w:val="20"/>
        </w:rPr>
        <w:t>本药可能引起白细胞和血小板减少，并导致齿龈出血和感染，伤口愈合延迟等。此时应避免拔牙等手术，并注意口腔卫生，刷牙及剔牙均需谨慎，直至血象恢复正常。</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药物对检验值或诊断的影响</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本药可引起直接抗球蛋白试验</w:t>
      </w:r>
      <w:r w:rsidRPr="00395C73">
        <w:rPr>
          <w:rFonts w:ascii="Arial" w:eastAsia="宋体" w:hAnsi="Arial" w:cs="Arial"/>
          <w:kern w:val="0"/>
          <w:sz w:val="20"/>
          <w:szCs w:val="20"/>
        </w:rPr>
        <w:t>(Coombs</w:t>
      </w:r>
      <w:r w:rsidRPr="00395C73">
        <w:rPr>
          <w:rFonts w:ascii="Arial" w:eastAsia="宋体" w:hAnsi="Arial" w:cs="Arial"/>
          <w:kern w:val="0"/>
          <w:sz w:val="20"/>
          <w:szCs w:val="20"/>
        </w:rPr>
        <w:t>试验</w:t>
      </w:r>
      <w:r w:rsidRPr="00395C73">
        <w:rPr>
          <w:rFonts w:ascii="Arial" w:eastAsia="宋体" w:hAnsi="Arial" w:cs="Arial"/>
          <w:kern w:val="0"/>
          <w:sz w:val="20"/>
          <w:szCs w:val="20"/>
        </w:rPr>
        <w:t>)</w:t>
      </w:r>
      <w:r w:rsidRPr="00395C73">
        <w:rPr>
          <w:rFonts w:ascii="Arial" w:eastAsia="宋体" w:hAnsi="Arial" w:cs="Arial"/>
          <w:kern w:val="0"/>
          <w:sz w:val="20"/>
          <w:szCs w:val="20"/>
        </w:rPr>
        <w:t>阳性。</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本药可干扰血清叶酸浓度测定和血清维生素</w:t>
      </w:r>
      <w:r w:rsidRPr="00395C73">
        <w:rPr>
          <w:rFonts w:ascii="Arial" w:eastAsia="宋体" w:hAnsi="Arial" w:cs="Arial"/>
          <w:kern w:val="0"/>
          <w:sz w:val="20"/>
          <w:szCs w:val="20"/>
        </w:rPr>
        <w:t>B</w:t>
      </w:r>
      <w:r w:rsidRPr="00395C73">
        <w:rPr>
          <w:rFonts w:ascii="Arial" w:eastAsia="宋体" w:hAnsi="Arial" w:cs="Arial"/>
          <w:kern w:val="0"/>
          <w:sz w:val="20"/>
          <w:szCs w:val="20"/>
          <w:vertAlign w:val="subscript"/>
        </w:rPr>
        <w:t>12</w:t>
      </w:r>
      <w:r w:rsidRPr="00395C73">
        <w:rPr>
          <w:rFonts w:ascii="Arial" w:eastAsia="宋体" w:hAnsi="Arial" w:cs="Arial"/>
          <w:kern w:val="0"/>
          <w:sz w:val="20"/>
          <w:szCs w:val="20"/>
        </w:rPr>
        <w:t>浓度测定结果。</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本药可使磺溴酞钠试验潴留出现假阳性。</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本药可干扰利用分光光度计或颜色改变进行的各项尿液分析试验的结果。</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用药前后及用药时应当检查或监测</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治疗初期</w:t>
      </w:r>
      <w:r w:rsidRPr="00395C73">
        <w:rPr>
          <w:rFonts w:ascii="Arial" w:eastAsia="宋体" w:hAnsi="Arial" w:cs="Arial"/>
          <w:kern w:val="0"/>
          <w:sz w:val="20"/>
          <w:szCs w:val="20"/>
        </w:rPr>
        <w:t>2-3</w:t>
      </w:r>
      <w:r w:rsidRPr="00395C73">
        <w:rPr>
          <w:rFonts w:ascii="Arial" w:eastAsia="宋体" w:hAnsi="Arial" w:cs="Arial"/>
          <w:kern w:val="0"/>
          <w:sz w:val="20"/>
          <w:szCs w:val="20"/>
        </w:rPr>
        <w:t>个月应密切监测肝功能。</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用药期间应定期检查周围血象。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其他注意事项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服药后，大小便、唾液、痰液、泪液等可呈橘红色。</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2.</w:t>
      </w:r>
      <w:r w:rsidRPr="00395C73">
        <w:rPr>
          <w:rFonts w:ascii="Arial" w:eastAsia="宋体" w:hAnsi="Arial" w:cs="Arial"/>
          <w:kern w:val="0"/>
          <w:sz w:val="20"/>
          <w:szCs w:val="20"/>
        </w:rPr>
        <w:t>本药可能导致角膜接触镜永久染色，故用药期间应避免佩戴角膜接触镜。</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静脉滴注液需现配现用，且仅限一次使用。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【国外专科用药信息参考】</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精神状况信息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对精神状态的影响：本药可能导致嗜睡、意识模糊、头晕、行为改变、共济失调，也有认知障碍、妄想、幻觉的报道。</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对精神障碍治疗的影响：</w:t>
      </w:r>
      <w:r w:rsidRPr="00395C73">
        <w:rPr>
          <w:rFonts w:ascii="Arial" w:eastAsia="宋体" w:hAnsi="Arial" w:cs="Arial"/>
          <w:kern w:val="0"/>
          <w:sz w:val="20"/>
          <w:szCs w:val="20"/>
        </w:rPr>
        <w:t>(1)</w:t>
      </w:r>
      <w:r w:rsidRPr="00395C73">
        <w:rPr>
          <w:rFonts w:ascii="Arial" w:eastAsia="宋体" w:hAnsi="Arial" w:cs="Arial"/>
          <w:kern w:val="0"/>
          <w:sz w:val="20"/>
          <w:szCs w:val="20"/>
        </w:rPr>
        <w:t>本药可能导致白细胞减少，与氯氮平和卡马西平合用应谨慎。</w:t>
      </w:r>
      <w:r w:rsidRPr="00395C73">
        <w:rPr>
          <w:rFonts w:ascii="Arial" w:eastAsia="宋体" w:hAnsi="Arial" w:cs="Arial"/>
          <w:kern w:val="0"/>
          <w:sz w:val="20"/>
          <w:szCs w:val="20"/>
        </w:rPr>
        <w:t>(2)</w:t>
      </w:r>
      <w:r w:rsidRPr="00395C73">
        <w:rPr>
          <w:rFonts w:ascii="Arial" w:eastAsia="宋体" w:hAnsi="Arial" w:cs="Arial"/>
          <w:kern w:val="0"/>
          <w:sz w:val="20"/>
          <w:szCs w:val="20"/>
        </w:rPr>
        <w:t>本药为强效肝酶诱导药，与抗精神病药物合用应监测临床疗效。</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护理注意事项</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体质评估</w:t>
      </w:r>
      <w:r w:rsidRPr="00395C73">
        <w:rPr>
          <w:rFonts w:ascii="Arial" w:eastAsia="宋体" w:hAnsi="Arial" w:cs="Arial"/>
          <w:kern w:val="0"/>
          <w:sz w:val="20"/>
          <w:szCs w:val="20"/>
        </w:rPr>
        <w:t>/</w:t>
      </w:r>
      <w:r w:rsidRPr="00395C73">
        <w:rPr>
          <w:rFonts w:ascii="Arial" w:eastAsia="宋体" w:hAnsi="Arial" w:cs="Arial"/>
          <w:kern w:val="0"/>
          <w:sz w:val="20"/>
          <w:szCs w:val="20"/>
        </w:rPr>
        <w:t>监测：应评估胸透结果，治疗期间应定期监测有无过敏反应、肝毒性、中枢神经系统改变、血液改变、视觉障碍和胃肠道不适。</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实验室检查：治疗开始前及治疗期间应定期</w:t>
      </w:r>
      <w:r w:rsidRPr="00395C73">
        <w:rPr>
          <w:rFonts w:ascii="Arial" w:eastAsia="宋体" w:hAnsi="Arial" w:cs="Arial"/>
          <w:kern w:val="0"/>
          <w:sz w:val="20"/>
          <w:szCs w:val="20"/>
        </w:rPr>
        <w:t>(</w:t>
      </w:r>
      <w:r w:rsidRPr="00395C73">
        <w:rPr>
          <w:rFonts w:ascii="Arial" w:eastAsia="宋体" w:hAnsi="Arial" w:cs="Arial"/>
          <w:kern w:val="0"/>
          <w:sz w:val="20"/>
          <w:szCs w:val="20"/>
        </w:rPr>
        <w:t>每</w:t>
      </w:r>
      <w:r w:rsidRPr="00395C73">
        <w:rPr>
          <w:rFonts w:ascii="Arial" w:eastAsia="宋体" w:hAnsi="Arial" w:cs="Arial"/>
          <w:kern w:val="0"/>
          <w:sz w:val="20"/>
          <w:szCs w:val="20"/>
        </w:rPr>
        <w:t>2-4</w:t>
      </w:r>
      <w:r w:rsidRPr="00395C73">
        <w:rPr>
          <w:rFonts w:ascii="Arial" w:eastAsia="宋体" w:hAnsi="Arial" w:cs="Arial"/>
          <w:kern w:val="0"/>
          <w:sz w:val="20"/>
          <w:szCs w:val="20"/>
        </w:rPr>
        <w:t>周</w:t>
      </w:r>
      <w:r w:rsidRPr="00395C73">
        <w:rPr>
          <w:rFonts w:ascii="Arial" w:eastAsia="宋体" w:hAnsi="Arial" w:cs="Arial"/>
          <w:kern w:val="0"/>
          <w:sz w:val="20"/>
          <w:szCs w:val="20"/>
        </w:rPr>
        <w:t>)</w:t>
      </w:r>
      <w:r w:rsidRPr="00395C73">
        <w:rPr>
          <w:rFonts w:ascii="Arial" w:eastAsia="宋体" w:hAnsi="Arial" w:cs="Arial"/>
          <w:kern w:val="0"/>
          <w:sz w:val="20"/>
          <w:szCs w:val="20"/>
        </w:rPr>
        <w:t>监测肝功能</w:t>
      </w:r>
      <w:r w:rsidRPr="00395C73">
        <w:rPr>
          <w:rFonts w:ascii="Arial" w:eastAsia="宋体" w:hAnsi="Arial" w:cs="Arial"/>
          <w:kern w:val="0"/>
          <w:sz w:val="20"/>
          <w:szCs w:val="20"/>
        </w:rPr>
        <w:t>(</w:t>
      </w:r>
      <w:r w:rsidRPr="00395C73">
        <w:rPr>
          <w:rFonts w:ascii="Arial" w:eastAsia="宋体" w:hAnsi="Arial" w:cs="Arial"/>
          <w:kern w:val="0"/>
          <w:sz w:val="20"/>
          <w:szCs w:val="20"/>
        </w:rPr>
        <w:t>丙氨酸氨基转移酶、天门冬氨酸氨基转移酶、胆红素</w:t>
      </w:r>
      <w:r w:rsidRPr="00395C73">
        <w:rPr>
          <w:rFonts w:ascii="Arial" w:eastAsia="宋体" w:hAnsi="Arial" w:cs="Arial"/>
          <w:kern w:val="0"/>
          <w:sz w:val="20"/>
          <w:szCs w:val="20"/>
        </w:rPr>
        <w:t>)</w:t>
      </w:r>
      <w:r w:rsidRPr="00395C73">
        <w:rPr>
          <w:rFonts w:ascii="Arial" w:eastAsia="宋体" w:hAnsi="Arial" w:cs="Arial"/>
          <w:kern w:val="0"/>
          <w:sz w:val="20"/>
          <w:szCs w:val="20"/>
        </w:rPr>
        <w:t>、全血细胞计数、痰细菌培养。治疗前</w:t>
      </w:r>
      <w:r w:rsidRPr="00395C73">
        <w:rPr>
          <w:rFonts w:ascii="Arial" w:eastAsia="宋体" w:hAnsi="Arial" w:cs="Arial"/>
          <w:kern w:val="0"/>
          <w:sz w:val="20"/>
          <w:szCs w:val="20"/>
        </w:rPr>
        <w:t>2-3</w:t>
      </w:r>
      <w:r w:rsidRPr="00395C73">
        <w:rPr>
          <w:rFonts w:ascii="Arial" w:eastAsia="宋体" w:hAnsi="Arial" w:cs="Arial"/>
          <w:kern w:val="0"/>
          <w:sz w:val="20"/>
          <w:szCs w:val="20"/>
        </w:rPr>
        <w:t>个月应进行</w:t>
      </w:r>
      <w:r w:rsidRPr="00395C73">
        <w:rPr>
          <w:rFonts w:ascii="Arial" w:eastAsia="宋体" w:hAnsi="Arial" w:cs="Arial"/>
          <w:kern w:val="0"/>
          <w:sz w:val="20"/>
          <w:szCs w:val="20"/>
        </w:rPr>
        <w:t>X</w:t>
      </w:r>
      <w:r w:rsidRPr="00395C73">
        <w:rPr>
          <w:rFonts w:ascii="Arial" w:eastAsia="宋体" w:hAnsi="Arial" w:cs="Arial"/>
          <w:kern w:val="0"/>
          <w:sz w:val="20"/>
          <w:szCs w:val="20"/>
        </w:rPr>
        <w:t>光透视。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【药物过量】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过量的表现</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用药过量可见精神迟钝、眼周或面部水肿、全身瘙痒、红人综合征</w:t>
      </w:r>
      <w:r w:rsidRPr="00395C73">
        <w:rPr>
          <w:rFonts w:ascii="Arial" w:eastAsia="宋体" w:hAnsi="Arial" w:cs="Arial"/>
          <w:kern w:val="0"/>
          <w:sz w:val="20"/>
          <w:szCs w:val="20"/>
        </w:rPr>
        <w:t>(</w:t>
      </w:r>
      <w:r w:rsidRPr="00395C73">
        <w:rPr>
          <w:rFonts w:ascii="Arial" w:eastAsia="宋体" w:hAnsi="Arial" w:cs="Arial"/>
          <w:kern w:val="0"/>
          <w:sz w:val="20"/>
          <w:szCs w:val="20"/>
        </w:rPr>
        <w:t>皮肤黏膜及巩膜呈红色或橙色</w:t>
      </w:r>
      <w:r w:rsidRPr="00395C73">
        <w:rPr>
          <w:rFonts w:ascii="Arial" w:eastAsia="宋体" w:hAnsi="Arial" w:cs="Arial"/>
          <w:kern w:val="0"/>
          <w:sz w:val="20"/>
          <w:szCs w:val="20"/>
        </w:rPr>
        <w:t>)</w:t>
      </w:r>
      <w:r w:rsidRPr="00395C73">
        <w:rPr>
          <w:rFonts w:ascii="Arial" w:eastAsia="宋体" w:hAnsi="Arial" w:cs="Arial"/>
          <w:kern w:val="0"/>
          <w:sz w:val="20"/>
          <w:szCs w:val="20"/>
        </w:rPr>
        <w:t>。原发肝病、嗜酒者或同服其他肝毒性药物者可能引起死亡。</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过量的处理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1.</w:t>
      </w:r>
      <w:r w:rsidRPr="00395C73">
        <w:rPr>
          <w:rFonts w:ascii="Arial" w:eastAsia="宋体" w:hAnsi="Arial" w:cs="Arial"/>
          <w:kern w:val="0"/>
          <w:sz w:val="20"/>
          <w:szCs w:val="20"/>
        </w:rPr>
        <w:t>停药。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2.</w:t>
      </w:r>
      <w:r w:rsidRPr="00395C73">
        <w:rPr>
          <w:rFonts w:ascii="Arial" w:eastAsia="宋体" w:hAnsi="Arial" w:cs="Arial"/>
          <w:kern w:val="0"/>
          <w:sz w:val="20"/>
          <w:szCs w:val="20"/>
        </w:rPr>
        <w:t>洗胃，因患者易出现恶心、呕吐，不宜再催吐；洗胃后给予活性炭糊以吸收胃肠道内残余的药物；有严重恶心呕吐者给予止吐药。</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3.</w:t>
      </w:r>
      <w:r w:rsidRPr="00395C73">
        <w:rPr>
          <w:rFonts w:ascii="Arial" w:eastAsia="宋体" w:hAnsi="Arial" w:cs="Arial"/>
          <w:kern w:val="0"/>
          <w:sz w:val="20"/>
          <w:szCs w:val="20"/>
        </w:rPr>
        <w:t>给予利尿药促进药物排泄。</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4.</w:t>
      </w:r>
      <w:r w:rsidRPr="00395C73">
        <w:rPr>
          <w:rFonts w:ascii="Arial" w:eastAsia="宋体" w:hAnsi="Arial" w:cs="Arial"/>
          <w:kern w:val="0"/>
          <w:sz w:val="20"/>
          <w:szCs w:val="20"/>
        </w:rPr>
        <w:t>对症和支持疗法。</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【药理】</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药效学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lastRenderedPageBreak/>
        <w:t>◆</w:t>
      </w:r>
      <w:r w:rsidRPr="00395C73">
        <w:rPr>
          <w:rFonts w:ascii="Arial" w:eastAsia="宋体" w:hAnsi="Arial" w:cs="Arial"/>
          <w:kern w:val="0"/>
          <w:sz w:val="20"/>
          <w:szCs w:val="20"/>
        </w:rPr>
        <w:t>作用机制</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本药为半合成广谱杀菌药，与依赖</w:t>
      </w:r>
      <w:r w:rsidRPr="00395C73">
        <w:rPr>
          <w:rFonts w:ascii="Arial" w:eastAsia="宋体" w:hAnsi="Arial" w:cs="Arial"/>
          <w:kern w:val="0"/>
          <w:sz w:val="20"/>
          <w:szCs w:val="20"/>
        </w:rPr>
        <w:t>DNA</w:t>
      </w:r>
      <w:r w:rsidRPr="00395C73">
        <w:rPr>
          <w:rFonts w:ascii="Arial" w:eastAsia="宋体" w:hAnsi="Arial" w:cs="Arial"/>
          <w:kern w:val="0"/>
          <w:sz w:val="20"/>
          <w:szCs w:val="20"/>
        </w:rPr>
        <w:t>的</w:t>
      </w:r>
      <w:r w:rsidRPr="00395C73">
        <w:rPr>
          <w:rFonts w:ascii="Arial" w:eastAsia="宋体" w:hAnsi="Arial" w:cs="Arial"/>
          <w:kern w:val="0"/>
          <w:sz w:val="20"/>
          <w:szCs w:val="20"/>
        </w:rPr>
        <w:t>RNA</w:t>
      </w:r>
      <w:r w:rsidRPr="00395C73">
        <w:rPr>
          <w:rFonts w:ascii="Arial" w:eastAsia="宋体" w:hAnsi="Arial" w:cs="Arial"/>
          <w:kern w:val="0"/>
          <w:sz w:val="20"/>
          <w:szCs w:val="20"/>
        </w:rPr>
        <w:t>多聚酶</w:t>
      </w:r>
      <w:r w:rsidRPr="00395C73">
        <w:rPr>
          <w:rFonts w:ascii="Arial" w:eastAsia="宋体" w:hAnsi="Arial" w:cs="Arial"/>
          <w:kern w:val="0"/>
          <w:sz w:val="20"/>
          <w:szCs w:val="20"/>
        </w:rPr>
        <w:t>β</w:t>
      </w:r>
      <w:r w:rsidRPr="00395C73">
        <w:rPr>
          <w:rFonts w:ascii="Arial" w:eastAsia="宋体" w:hAnsi="Arial" w:cs="Arial"/>
          <w:kern w:val="0"/>
          <w:sz w:val="20"/>
          <w:szCs w:val="20"/>
        </w:rPr>
        <w:t>亚单位牢固结合，抑制细菌</w:t>
      </w:r>
      <w:r w:rsidRPr="00395C73">
        <w:rPr>
          <w:rFonts w:ascii="Arial" w:eastAsia="宋体" w:hAnsi="Arial" w:cs="Arial"/>
          <w:kern w:val="0"/>
          <w:sz w:val="20"/>
          <w:szCs w:val="20"/>
        </w:rPr>
        <w:t>RNA</w:t>
      </w:r>
      <w:r w:rsidRPr="00395C73">
        <w:rPr>
          <w:rFonts w:ascii="Arial" w:eastAsia="宋体" w:hAnsi="Arial" w:cs="Arial"/>
          <w:kern w:val="0"/>
          <w:sz w:val="20"/>
          <w:szCs w:val="20"/>
        </w:rPr>
        <w:t>的合成，防止该酶与</w:t>
      </w:r>
      <w:r w:rsidRPr="00395C73">
        <w:rPr>
          <w:rFonts w:ascii="Arial" w:eastAsia="宋体" w:hAnsi="Arial" w:cs="Arial"/>
          <w:kern w:val="0"/>
          <w:sz w:val="20"/>
          <w:szCs w:val="20"/>
        </w:rPr>
        <w:t>DNA</w:t>
      </w:r>
      <w:r w:rsidRPr="00395C73">
        <w:rPr>
          <w:rFonts w:ascii="Arial" w:eastAsia="宋体" w:hAnsi="Arial" w:cs="Arial"/>
          <w:kern w:val="0"/>
          <w:sz w:val="20"/>
          <w:szCs w:val="20"/>
        </w:rPr>
        <w:t>连接，从而阻断</w:t>
      </w:r>
      <w:r w:rsidRPr="00395C73">
        <w:rPr>
          <w:rFonts w:ascii="Arial" w:eastAsia="宋体" w:hAnsi="Arial" w:cs="Arial"/>
          <w:kern w:val="0"/>
          <w:sz w:val="20"/>
          <w:szCs w:val="20"/>
        </w:rPr>
        <w:t>RNA</w:t>
      </w:r>
      <w:r w:rsidRPr="00395C73">
        <w:rPr>
          <w:rFonts w:ascii="Arial" w:eastAsia="宋体" w:hAnsi="Arial" w:cs="Arial"/>
          <w:kern w:val="0"/>
          <w:sz w:val="20"/>
          <w:szCs w:val="20"/>
        </w:rPr>
        <w:t>转录过程，使</w:t>
      </w:r>
      <w:r w:rsidRPr="00395C73">
        <w:rPr>
          <w:rFonts w:ascii="Arial" w:eastAsia="宋体" w:hAnsi="Arial" w:cs="Arial"/>
          <w:kern w:val="0"/>
          <w:sz w:val="20"/>
          <w:szCs w:val="20"/>
        </w:rPr>
        <w:t>DNA</w:t>
      </w:r>
      <w:r w:rsidRPr="00395C73">
        <w:rPr>
          <w:rFonts w:ascii="Arial" w:eastAsia="宋体" w:hAnsi="Arial" w:cs="Arial"/>
          <w:kern w:val="0"/>
          <w:sz w:val="20"/>
          <w:szCs w:val="20"/>
        </w:rPr>
        <w:t>和蛋白的合成停止。</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抗菌谱</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本药对结核分枝杆菌和部分非结核分枝杆菌</w:t>
      </w:r>
      <w:r w:rsidRPr="00395C73">
        <w:rPr>
          <w:rFonts w:ascii="Arial" w:eastAsia="宋体" w:hAnsi="Arial" w:cs="Arial"/>
          <w:kern w:val="0"/>
          <w:sz w:val="20"/>
          <w:szCs w:val="20"/>
        </w:rPr>
        <w:t>(</w:t>
      </w:r>
      <w:r w:rsidRPr="00395C73">
        <w:rPr>
          <w:rFonts w:ascii="Arial" w:eastAsia="宋体" w:hAnsi="Arial" w:cs="Arial"/>
          <w:kern w:val="0"/>
          <w:sz w:val="20"/>
          <w:szCs w:val="20"/>
        </w:rPr>
        <w:t>包括麻风分枝杆菌</w:t>
      </w:r>
      <w:r w:rsidRPr="00395C73">
        <w:rPr>
          <w:rFonts w:ascii="Arial" w:eastAsia="宋体" w:hAnsi="Arial" w:cs="Arial"/>
          <w:kern w:val="0"/>
          <w:sz w:val="20"/>
          <w:szCs w:val="20"/>
        </w:rPr>
        <w:t>)</w:t>
      </w:r>
      <w:r w:rsidRPr="00395C73">
        <w:rPr>
          <w:rFonts w:ascii="Arial" w:eastAsia="宋体" w:hAnsi="Arial" w:cs="Arial"/>
          <w:kern w:val="0"/>
          <w:sz w:val="20"/>
          <w:szCs w:val="20"/>
        </w:rPr>
        <w:t>均有明显的杀菌作用。本药对需氧革兰阳性菌具良好抗菌作用，包括葡萄球菌产酶株及甲氧西林耐药株、肺炎链球菌、其他链球菌属、肠球菌属、李斯特菌属、炭疽杆菌、产气荚膜杆菌、白喉杆菌、厌氧球菌等。本药对需氧革兰阴性菌如脑膜炎奈瑟球菌、流感嗜血杆菌、淋病奈瑟球菌亦具高度抗菌活性。本药对军团菌属作用亦良好，对沙眼衣原体、性病淋巴肉芽肿及鹦鹉热等病原体均具抑制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药动学</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本药口服吸收良好，口服后</w:t>
      </w:r>
      <w:r w:rsidRPr="00395C73">
        <w:rPr>
          <w:rFonts w:ascii="Arial" w:eastAsia="宋体" w:hAnsi="Arial" w:cs="Arial"/>
          <w:kern w:val="0"/>
          <w:sz w:val="20"/>
          <w:szCs w:val="20"/>
        </w:rPr>
        <w:t>1.5-4</w:t>
      </w:r>
      <w:r w:rsidRPr="00395C73">
        <w:rPr>
          <w:rFonts w:ascii="Arial" w:eastAsia="宋体" w:hAnsi="Arial" w:cs="Arial"/>
          <w:kern w:val="0"/>
          <w:sz w:val="20"/>
          <w:szCs w:val="20"/>
        </w:rPr>
        <w:t>小时血药浓度达峰值。成人一次口服</w:t>
      </w:r>
      <w:r w:rsidRPr="00395C73">
        <w:rPr>
          <w:rFonts w:ascii="Arial" w:eastAsia="宋体" w:hAnsi="Arial" w:cs="Arial"/>
          <w:kern w:val="0"/>
          <w:sz w:val="20"/>
          <w:szCs w:val="20"/>
        </w:rPr>
        <w:t>0.6g</w:t>
      </w:r>
      <w:r w:rsidRPr="00395C73">
        <w:rPr>
          <w:rFonts w:ascii="Arial" w:eastAsia="宋体" w:hAnsi="Arial" w:cs="Arial"/>
          <w:kern w:val="0"/>
          <w:sz w:val="20"/>
          <w:szCs w:val="20"/>
        </w:rPr>
        <w:t>后峰浓度可达</w:t>
      </w:r>
      <w:r w:rsidRPr="00395C73">
        <w:rPr>
          <w:rFonts w:ascii="Arial" w:eastAsia="宋体" w:hAnsi="Arial" w:cs="Arial"/>
          <w:kern w:val="0"/>
          <w:sz w:val="20"/>
          <w:szCs w:val="20"/>
        </w:rPr>
        <w:t>7-9mg/L</w:t>
      </w:r>
      <w:r w:rsidRPr="00395C73">
        <w:rPr>
          <w:rFonts w:ascii="Arial" w:eastAsia="宋体" w:hAnsi="Arial" w:cs="Arial"/>
          <w:kern w:val="0"/>
          <w:sz w:val="20"/>
          <w:szCs w:val="20"/>
        </w:rPr>
        <w:t>；</w:t>
      </w:r>
      <w:r w:rsidRPr="00395C73">
        <w:rPr>
          <w:rFonts w:ascii="Arial" w:eastAsia="宋体" w:hAnsi="Arial" w:cs="Arial"/>
          <w:kern w:val="0"/>
          <w:sz w:val="20"/>
          <w:szCs w:val="20"/>
        </w:rPr>
        <w:t>30</w:t>
      </w:r>
      <w:r w:rsidRPr="00395C73">
        <w:rPr>
          <w:rFonts w:ascii="Arial" w:eastAsia="宋体" w:hAnsi="Arial" w:cs="Arial"/>
          <w:kern w:val="0"/>
          <w:sz w:val="20"/>
          <w:szCs w:val="20"/>
        </w:rPr>
        <w:t>分钟内静滴</w:t>
      </w:r>
      <w:r w:rsidRPr="00395C73">
        <w:rPr>
          <w:rFonts w:ascii="Arial" w:eastAsia="宋体" w:hAnsi="Arial" w:cs="Arial"/>
          <w:kern w:val="0"/>
          <w:sz w:val="20"/>
          <w:szCs w:val="20"/>
        </w:rPr>
        <w:t>0.6g</w:t>
      </w:r>
      <w:r w:rsidRPr="00395C73">
        <w:rPr>
          <w:rFonts w:ascii="Arial" w:eastAsia="宋体" w:hAnsi="Arial" w:cs="Arial"/>
          <w:kern w:val="0"/>
          <w:sz w:val="20"/>
          <w:szCs w:val="20"/>
        </w:rPr>
        <w:t>后峰浓度可达</w:t>
      </w:r>
      <w:r w:rsidRPr="00395C73">
        <w:rPr>
          <w:rFonts w:ascii="Arial" w:eastAsia="宋体" w:hAnsi="Arial" w:cs="Arial"/>
          <w:kern w:val="0"/>
          <w:sz w:val="20"/>
          <w:szCs w:val="20"/>
        </w:rPr>
        <w:t>17.5mg/L</w:t>
      </w:r>
      <w:r w:rsidRPr="00395C73">
        <w:rPr>
          <w:rFonts w:ascii="Arial" w:eastAsia="宋体" w:hAnsi="Arial" w:cs="Arial"/>
          <w:kern w:val="0"/>
          <w:sz w:val="20"/>
          <w:szCs w:val="20"/>
        </w:rPr>
        <w:t>；</w:t>
      </w:r>
      <w:r w:rsidRPr="00395C73">
        <w:rPr>
          <w:rFonts w:ascii="Arial" w:eastAsia="宋体" w:hAnsi="Arial" w:cs="Arial"/>
          <w:kern w:val="0"/>
          <w:sz w:val="20"/>
          <w:szCs w:val="20"/>
        </w:rPr>
        <w:t>6</w:t>
      </w:r>
      <w:r w:rsidRPr="00395C73">
        <w:rPr>
          <w:rFonts w:ascii="Arial" w:eastAsia="宋体" w:hAnsi="Arial" w:cs="Arial"/>
          <w:kern w:val="0"/>
          <w:sz w:val="20"/>
          <w:szCs w:val="20"/>
        </w:rPr>
        <w:t>个月至</w:t>
      </w:r>
      <w:r w:rsidRPr="00395C73">
        <w:rPr>
          <w:rFonts w:ascii="Arial" w:eastAsia="宋体" w:hAnsi="Arial" w:cs="Arial"/>
          <w:kern w:val="0"/>
          <w:sz w:val="20"/>
          <w:szCs w:val="20"/>
        </w:rPr>
        <w:t>5</w:t>
      </w:r>
      <w:r w:rsidRPr="00395C73">
        <w:rPr>
          <w:rFonts w:ascii="Arial" w:eastAsia="宋体" w:hAnsi="Arial" w:cs="Arial"/>
          <w:kern w:val="0"/>
          <w:sz w:val="20"/>
          <w:szCs w:val="20"/>
        </w:rPr>
        <w:t>岁小儿一次口服</w:t>
      </w:r>
      <w:r w:rsidRPr="00395C73">
        <w:rPr>
          <w:rFonts w:ascii="Arial" w:eastAsia="宋体" w:hAnsi="Arial" w:cs="Arial"/>
          <w:kern w:val="0"/>
          <w:sz w:val="20"/>
          <w:szCs w:val="20"/>
        </w:rPr>
        <w:t>10mg/kg</w:t>
      </w:r>
      <w:r w:rsidRPr="00395C73">
        <w:rPr>
          <w:rFonts w:ascii="Arial" w:eastAsia="宋体" w:hAnsi="Arial" w:cs="Arial"/>
          <w:kern w:val="0"/>
          <w:sz w:val="20"/>
          <w:szCs w:val="20"/>
        </w:rPr>
        <w:t>，峰浓度为</w:t>
      </w:r>
      <w:r w:rsidRPr="00395C73">
        <w:rPr>
          <w:rFonts w:ascii="Arial" w:eastAsia="宋体" w:hAnsi="Arial" w:cs="Arial"/>
          <w:kern w:val="0"/>
          <w:sz w:val="20"/>
          <w:szCs w:val="20"/>
        </w:rPr>
        <w:t>11mg/L</w:t>
      </w:r>
      <w:r w:rsidRPr="00395C73">
        <w:rPr>
          <w:rFonts w:ascii="Arial" w:eastAsia="宋体" w:hAnsi="Arial" w:cs="Arial"/>
          <w:kern w:val="0"/>
          <w:sz w:val="20"/>
          <w:szCs w:val="20"/>
        </w:rPr>
        <w:t>；</w:t>
      </w:r>
      <w:r w:rsidRPr="00395C73">
        <w:rPr>
          <w:rFonts w:ascii="Arial" w:eastAsia="宋体" w:hAnsi="Arial" w:cs="Arial"/>
          <w:kern w:val="0"/>
          <w:sz w:val="20"/>
          <w:szCs w:val="20"/>
        </w:rPr>
        <w:t>3</w:t>
      </w:r>
      <w:r w:rsidRPr="00395C73">
        <w:rPr>
          <w:rFonts w:ascii="Arial" w:eastAsia="宋体" w:hAnsi="Arial" w:cs="Arial"/>
          <w:kern w:val="0"/>
          <w:sz w:val="20"/>
          <w:szCs w:val="20"/>
        </w:rPr>
        <w:t>个月至</w:t>
      </w:r>
      <w:r w:rsidRPr="00395C73">
        <w:rPr>
          <w:rFonts w:ascii="Arial" w:eastAsia="宋体" w:hAnsi="Arial" w:cs="Arial"/>
          <w:kern w:val="0"/>
          <w:sz w:val="20"/>
          <w:szCs w:val="20"/>
        </w:rPr>
        <w:t>12</w:t>
      </w:r>
      <w:r w:rsidRPr="00395C73">
        <w:rPr>
          <w:rFonts w:ascii="Arial" w:eastAsia="宋体" w:hAnsi="Arial" w:cs="Arial"/>
          <w:kern w:val="0"/>
          <w:sz w:val="20"/>
          <w:szCs w:val="20"/>
        </w:rPr>
        <w:t>岁小儿于</w:t>
      </w:r>
      <w:r w:rsidRPr="00395C73">
        <w:rPr>
          <w:rFonts w:ascii="Arial" w:eastAsia="宋体" w:hAnsi="Arial" w:cs="Arial"/>
          <w:kern w:val="0"/>
          <w:sz w:val="20"/>
          <w:szCs w:val="20"/>
        </w:rPr>
        <w:t>30</w:t>
      </w:r>
      <w:r w:rsidRPr="00395C73">
        <w:rPr>
          <w:rFonts w:ascii="Arial" w:eastAsia="宋体" w:hAnsi="Arial" w:cs="Arial"/>
          <w:kern w:val="0"/>
          <w:sz w:val="20"/>
          <w:szCs w:val="20"/>
        </w:rPr>
        <w:t>分钟内静滴</w:t>
      </w:r>
      <w:r w:rsidRPr="00395C73">
        <w:rPr>
          <w:rFonts w:ascii="Arial" w:eastAsia="宋体" w:hAnsi="Arial" w:cs="Arial"/>
          <w:kern w:val="0"/>
          <w:sz w:val="20"/>
          <w:szCs w:val="20"/>
        </w:rPr>
        <w:t>0.3g/m</w:t>
      </w:r>
      <w:r w:rsidRPr="00395C73">
        <w:rPr>
          <w:rFonts w:ascii="Arial" w:eastAsia="宋体" w:hAnsi="Arial" w:cs="Arial"/>
          <w:kern w:val="0"/>
          <w:sz w:val="20"/>
          <w:szCs w:val="20"/>
          <w:vertAlign w:val="superscript"/>
        </w:rPr>
        <w:t>2</w:t>
      </w:r>
      <w:r w:rsidRPr="00395C73">
        <w:rPr>
          <w:rFonts w:ascii="Arial" w:eastAsia="宋体" w:hAnsi="Arial" w:cs="Arial"/>
          <w:kern w:val="0"/>
          <w:sz w:val="20"/>
          <w:szCs w:val="20"/>
        </w:rPr>
        <w:t>，峰浓度可达</w:t>
      </w:r>
      <w:r w:rsidRPr="00395C73">
        <w:rPr>
          <w:rFonts w:ascii="Arial" w:eastAsia="宋体" w:hAnsi="Arial" w:cs="Arial"/>
          <w:kern w:val="0"/>
          <w:sz w:val="20"/>
          <w:szCs w:val="20"/>
        </w:rPr>
        <w:t>26mg/L</w:t>
      </w:r>
      <w:r w:rsidRPr="00395C73">
        <w:rPr>
          <w:rFonts w:ascii="Arial" w:eastAsia="宋体" w:hAnsi="Arial" w:cs="Arial"/>
          <w:kern w:val="0"/>
          <w:sz w:val="20"/>
          <w:szCs w:val="20"/>
        </w:rPr>
        <w:t>。本药的有效浓度可维持</w:t>
      </w:r>
      <w:r w:rsidRPr="00395C73">
        <w:rPr>
          <w:rFonts w:ascii="Arial" w:eastAsia="宋体" w:hAnsi="Arial" w:cs="Arial"/>
          <w:kern w:val="0"/>
          <w:sz w:val="20"/>
          <w:szCs w:val="20"/>
        </w:rPr>
        <w:t>6</w:t>
      </w:r>
      <w:r w:rsidRPr="00395C73">
        <w:rPr>
          <w:rFonts w:ascii="Arial" w:eastAsia="宋体" w:hAnsi="Arial" w:cs="Arial"/>
          <w:kern w:val="0"/>
          <w:sz w:val="20"/>
          <w:szCs w:val="20"/>
        </w:rPr>
        <w:t>小时，生物利用度为</w:t>
      </w:r>
      <w:r w:rsidRPr="00395C73">
        <w:rPr>
          <w:rFonts w:ascii="Arial" w:eastAsia="宋体" w:hAnsi="Arial" w:cs="Arial"/>
          <w:kern w:val="0"/>
          <w:sz w:val="20"/>
          <w:szCs w:val="20"/>
        </w:rPr>
        <w:t>90%-95%</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本药在大部分组织和体液中分布良好，包括脑脊液，当脑膜有炎症时，脑脊液内药物浓度增加；在唾液中亦可达有效治疗浓度，且可透过胎盘屏障。本药蛋白结合率为</w:t>
      </w:r>
      <w:r w:rsidRPr="00395C73">
        <w:rPr>
          <w:rFonts w:ascii="Arial" w:eastAsia="宋体" w:hAnsi="Arial" w:cs="Arial"/>
          <w:kern w:val="0"/>
          <w:sz w:val="20"/>
          <w:szCs w:val="20"/>
        </w:rPr>
        <w:t>80%-91%</w:t>
      </w:r>
      <w:r w:rsidRPr="00395C73">
        <w:rPr>
          <w:rFonts w:ascii="Arial" w:eastAsia="宋体" w:hAnsi="Arial" w:cs="Arial"/>
          <w:kern w:val="0"/>
          <w:sz w:val="20"/>
          <w:szCs w:val="20"/>
        </w:rPr>
        <w:t>，分布容积为</w:t>
      </w:r>
      <w:r w:rsidRPr="00395C73">
        <w:rPr>
          <w:rFonts w:ascii="Arial" w:eastAsia="宋体" w:hAnsi="Arial" w:cs="Arial"/>
          <w:kern w:val="0"/>
          <w:sz w:val="20"/>
          <w:szCs w:val="20"/>
        </w:rPr>
        <w:t>1.6L/kg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药物主要在肝脏内代谢，代谢物去乙酰利福平有抗菌活性。</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本药主要经胆和肠道排泄，可进入肠肝循环，但其去乙酰活性代谢物则无肠肝循环。</w:t>
      </w:r>
      <w:r w:rsidRPr="00395C73">
        <w:rPr>
          <w:rFonts w:ascii="Arial" w:eastAsia="宋体" w:hAnsi="Arial" w:cs="Arial"/>
          <w:kern w:val="0"/>
          <w:sz w:val="20"/>
          <w:szCs w:val="20"/>
        </w:rPr>
        <w:t>60%-65%</w:t>
      </w:r>
      <w:r w:rsidRPr="00395C73">
        <w:rPr>
          <w:rFonts w:ascii="Arial" w:eastAsia="宋体" w:hAnsi="Arial" w:cs="Arial"/>
          <w:kern w:val="0"/>
          <w:sz w:val="20"/>
          <w:szCs w:val="20"/>
        </w:rPr>
        <w:t>的给药量随粪便排出；</w:t>
      </w:r>
      <w:r w:rsidRPr="00395C73">
        <w:rPr>
          <w:rFonts w:ascii="Arial" w:eastAsia="宋体" w:hAnsi="Arial" w:cs="Arial"/>
          <w:kern w:val="0"/>
          <w:sz w:val="20"/>
          <w:szCs w:val="20"/>
        </w:rPr>
        <w:t>6%-15%</w:t>
      </w:r>
      <w:r w:rsidRPr="00395C73">
        <w:rPr>
          <w:rFonts w:ascii="Arial" w:eastAsia="宋体" w:hAnsi="Arial" w:cs="Arial"/>
          <w:kern w:val="0"/>
          <w:sz w:val="20"/>
          <w:szCs w:val="20"/>
        </w:rPr>
        <w:t>的药物以原形、</w:t>
      </w:r>
      <w:r w:rsidRPr="00395C73">
        <w:rPr>
          <w:rFonts w:ascii="Arial" w:eastAsia="宋体" w:hAnsi="Arial" w:cs="Arial"/>
          <w:kern w:val="0"/>
          <w:sz w:val="20"/>
          <w:szCs w:val="20"/>
        </w:rPr>
        <w:t>15%</w:t>
      </w:r>
      <w:r w:rsidRPr="00395C73">
        <w:rPr>
          <w:rFonts w:ascii="Arial" w:eastAsia="宋体" w:hAnsi="Arial" w:cs="Arial"/>
          <w:kern w:val="0"/>
          <w:sz w:val="20"/>
          <w:szCs w:val="20"/>
        </w:rPr>
        <w:t>为活性代谢物随尿液排出；</w:t>
      </w:r>
      <w:r w:rsidRPr="00395C73">
        <w:rPr>
          <w:rFonts w:ascii="Arial" w:eastAsia="宋体" w:hAnsi="Arial" w:cs="Arial"/>
          <w:kern w:val="0"/>
          <w:sz w:val="20"/>
          <w:szCs w:val="20"/>
        </w:rPr>
        <w:t>7%</w:t>
      </w:r>
      <w:r w:rsidRPr="00395C73">
        <w:rPr>
          <w:rFonts w:ascii="Arial" w:eastAsia="宋体" w:hAnsi="Arial" w:cs="Arial"/>
          <w:kern w:val="0"/>
          <w:sz w:val="20"/>
          <w:szCs w:val="20"/>
        </w:rPr>
        <w:t>则以无活性的</w:t>
      </w:r>
      <w:r w:rsidRPr="00395C73">
        <w:rPr>
          <w:rFonts w:ascii="Arial" w:eastAsia="宋体" w:hAnsi="Arial" w:cs="Arial"/>
          <w:kern w:val="0"/>
          <w:sz w:val="20"/>
          <w:szCs w:val="20"/>
        </w:rPr>
        <w:t>3-</w:t>
      </w:r>
      <w:r w:rsidRPr="00395C73">
        <w:rPr>
          <w:rFonts w:ascii="Arial" w:eastAsia="宋体" w:hAnsi="Arial" w:cs="Arial"/>
          <w:kern w:val="0"/>
          <w:sz w:val="20"/>
          <w:szCs w:val="20"/>
        </w:rPr>
        <w:t>甲酰衍生物排出。本药亦可随乳汁排出。本药的消除半衰期为</w:t>
      </w:r>
      <w:r w:rsidRPr="00395C73">
        <w:rPr>
          <w:rFonts w:ascii="Arial" w:eastAsia="宋体" w:hAnsi="Arial" w:cs="Arial"/>
          <w:kern w:val="0"/>
          <w:sz w:val="20"/>
          <w:szCs w:val="20"/>
        </w:rPr>
        <w:t>3-5</w:t>
      </w:r>
      <w:r w:rsidRPr="00395C73">
        <w:rPr>
          <w:rFonts w:ascii="Arial" w:eastAsia="宋体" w:hAnsi="Arial" w:cs="Arial"/>
          <w:kern w:val="0"/>
          <w:sz w:val="20"/>
          <w:szCs w:val="20"/>
        </w:rPr>
        <w:t>小时，多次给药后半衰期可缩短为</w:t>
      </w:r>
      <w:r w:rsidRPr="00395C73">
        <w:rPr>
          <w:rFonts w:ascii="Arial" w:eastAsia="宋体" w:hAnsi="Arial" w:cs="Arial"/>
          <w:kern w:val="0"/>
          <w:sz w:val="20"/>
          <w:szCs w:val="20"/>
        </w:rPr>
        <w:t>2-3</w:t>
      </w:r>
      <w:r w:rsidRPr="00395C73">
        <w:rPr>
          <w:rFonts w:ascii="Arial" w:eastAsia="宋体" w:hAnsi="Arial" w:cs="Arial"/>
          <w:kern w:val="0"/>
          <w:sz w:val="20"/>
          <w:szCs w:val="20"/>
        </w:rPr>
        <w:t>小时。本药不可经血液透析或腹膜透析清除。</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遗传、生殖毒性与致癌性</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遗传毒性</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在细菌、果蝇、小鼠的研究中，未发现本药有致突变作用；但在本药全血细胞培养试验中，发现染色体断裂增多。在应用本药与链霉素、异烟肼及吡嗪酰胺联合或本药与异烟肼、吡嗪酰胺联合治疗的患者，发现淋巴细胞染色体异常率增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lastRenderedPageBreak/>
        <w:t>◆</w:t>
      </w:r>
      <w:r w:rsidRPr="00395C73">
        <w:rPr>
          <w:rFonts w:ascii="Arial" w:eastAsia="宋体" w:hAnsi="Arial" w:cs="Arial"/>
          <w:kern w:val="0"/>
          <w:sz w:val="20"/>
          <w:szCs w:val="20"/>
        </w:rPr>
        <w:t>生殖毒性</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啮齿动物经口给予人类推荐剂量</w:t>
      </w:r>
      <w:r w:rsidRPr="00395C73">
        <w:rPr>
          <w:rFonts w:ascii="Arial" w:eastAsia="宋体" w:hAnsi="Arial" w:cs="Arial"/>
          <w:kern w:val="0"/>
          <w:sz w:val="20"/>
          <w:szCs w:val="20"/>
        </w:rPr>
        <w:t>15-25</w:t>
      </w:r>
      <w:r w:rsidRPr="00395C73">
        <w:rPr>
          <w:rFonts w:ascii="Arial" w:eastAsia="宋体" w:hAnsi="Arial" w:cs="Arial"/>
          <w:kern w:val="0"/>
          <w:sz w:val="20"/>
          <w:szCs w:val="20"/>
        </w:rPr>
        <w:t>倍的本药时，产生致畸作用。小鼠和大鼠口服本药</w:t>
      </w:r>
      <w:r w:rsidRPr="00395C73">
        <w:rPr>
          <w:rFonts w:ascii="Arial" w:eastAsia="宋体" w:hAnsi="Arial" w:cs="Arial"/>
          <w:kern w:val="0"/>
          <w:sz w:val="20"/>
          <w:szCs w:val="20"/>
        </w:rPr>
        <w:t>150-250mg/kg</w:t>
      </w:r>
      <w:r w:rsidRPr="00395C73">
        <w:rPr>
          <w:rFonts w:ascii="Arial" w:eastAsia="宋体" w:hAnsi="Arial" w:cs="Arial"/>
          <w:kern w:val="0"/>
          <w:sz w:val="20"/>
          <w:szCs w:val="20"/>
        </w:rPr>
        <w:t>时，产生致畸作用</w:t>
      </w:r>
      <w:r w:rsidRPr="00395C73">
        <w:rPr>
          <w:rFonts w:ascii="Arial" w:eastAsia="宋体" w:hAnsi="Arial" w:cs="Arial"/>
          <w:kern w:val="0"/>
          <w:sz w:val="20"/>
          <w:szCs w:val="20"/>
        </w:rPr>
        <w:t>(</w:t>
      </w:r>
      <w:r w:rsidRPr="00395C73">
        <w:rPr>
          <w:rFonts w:ascii="Arial" w:eastAsia="宋体" w:hAnsi="Arial" w:cs="Arial"/>
          <w:kern w:val="0"/>
          <w:sz w:val="20"/>
          <w:szCs w:val="20"/>
        </w:rPr>
        <w:t>主要引起小鼠的腭裂和大鼠的脊柱裂</w:t>
      </w:r>
      <w:r w:rsidRPr="00395C73">
        <w:rPr>
          <w:rFonts w:ascii="Arial" w:eastAsia="宋体" w:hAnsi="Arial" w:cs="Arial"/>
          <w:kern w:val="0"/>
          <w:sz w:val="20"/>
          <w:szCs w:val="20"/>
        </w:rPr>
        <w:t>)</w:t>
      </w:r>
      <w:r w:rsidRPr="00395C73">
        <w:rPr>
          <w:rFonts w:ascii="Arial" w:eastAsia="宋体" w:hAnsi="Arial" w:cs="Arial"/>
          <w:kern w:val="0"/>
          <w:sz w:val="20"/>
          <w:szCs w:val="20"/>
        </w:rPr>
        <w:t>，且与剂量有关。妊娠家兔给予本药高至</w:t>
      </w:r>
      <w:r w:rsidRPr="00395C73">
        <w:rPr>
          <w:rFonts w:ascii="Arial" w:eastAsia="宋体" w:hAnsi="Arial" w:cs="Arial"/>
          <w:kern w:val="0"/>
          <w:sz w:val="20"/>
          <w:szCs w:val="20"/>
        </w:rPr>
        <w:t>20</w:t>
      </w:r>
      <w:r w:rsidRPr="00395C73">
        <w:rPr>
          <w:rFonts w:ascii="Arial" w:eastAsia="宋体" w:hAnsi="Arial" w:cs="Arial"/>
          <w:kern w:val="0"/>
          <w:sz w:val="20"/>
          <w:szCs w:val="20"/>
        </w:rPr>
        <w:t>倍的人类推荐剂量时，可引起骨形成障碍和胚胎毒性。据报道本药可通过胎盘屏障，但临床上对胎儿的影响尚无足够的研究，且尚未在妊娠期妇女中进行充分、严格对照的研究。</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致癌性</w:t>
      </w:r>
      <w:r w:rsidRPr="00395C73">
        <w:rPr>
          <w:rFonts w:ascii="Arial" w:eastAsia="宋体" w:hAnsi="Arial" w:cs="Arial"/>
          <w:kern w:val="0"/>
          <w:sz w:val="20"/>
          <w:szCs w:val="20"/>
        </w:rPr>
        <w:t xml:space="preserve">  </w:t>
      </w:r>
      <w:r w:rsidRPr="00395C73">
        <w:rPr>
          <w:rFonts w:ascii="Arial" w:eastAsia="宋体" w:hAnsi="Arial" w:cs="Arial"/>
          <w:kern w:val="0"/>
          <w:sz w:val="20"/>
          <w:szCs w:val="20"/>
        </w:rPr>
        <w:t>动物试验中发现本药有潜在的致癌作用，但目前尚无有关人类长期应用本药具有潜在致癌的报道。以人类推荐日剂量的</w:t>
      </w:r>
      <w:r w:rsidRPr="00395C73">
        <w:rPr>
          <w:rFonts w:ascii="Arial" w:eastAsia="宋体" w:hAnsi="Arial" w:cs="Arial"/>
          <w:kern w:val="0"/>
          <w:sz w:val="20"/>
          <w:szCs w:val="20"/>
        </w:rPr>
        <w:t>2-10</w:t>
      </w:r>
      <w:r w:rsidRPr="00395C73">
        <w:rPr>
          <w:rFonts w:ascii="Arial" w:eastAsia="宋体" w:hAnsi="Arial" w:cs="Arial"/>
          <w:kern w:val="0"/>
          <w:sz w:val="20"/>
          <w:szCs w:val="20"/>
        </w:rPr>
        <w:t>倍给予小鼠本药</w:t>
      </w:r>
      <w:r w:rsidRPr="00395C73">
        <w:rPr>
          <w:rFonts w:ascii="Arial" w:eastAsia="宋体" w:hAnsi="Arial" w:cs="Arial"/>
          <w:kern w:val="0"/>
          <w:sz w:val="20"/>
          <w:szCs w:val="20"/>
        </w:rPr>
        <w:t>60</w:t>
      </w:r>
      <w:r w:rsidRPr="00395C73">
        <w:rPr>
          <w:rFonts w:ascii="Arial" w:eastAsia="宋体" w:hAnsi="Arial" w:cs="Arial"/>
          <w:kern w:val="0"/>
          <w:sz w:val="20"/>
          <w:szCs w:val="20"/>
        </w:rPr>
        <w:t>周，在第</w:t>
      </w:r>
      <w:r w:rsidRPr="00395C73">
        <w:rPr>
          <w:rFonts w:ascii="Arial" w:eastAsia="宋体" w:hAnsi="Arial" w:cs="Arial"/>
          <w:kern w:val="0"/>
          <w:sz w:val="20"/>
          <w:szCs w:val="20"/>
        </w:rPr>
        <w:t>46</w:t>
      </w:r>
      <w:r w:rsidRPr="00395C73">
        <w:rPr>
          <w:rFonts w:ascii="Arial" w:eastAsia="宋体" w:hAnsi="Arial" w:cs="Arial"/>
          <w:kern w:val="0"/>
          <w:sz w:val="20"/>
          <w:szCs w:val="20"/>
        </w:rPr>
        <w:t>周时可观察到雌鼠</w:t>
      </w:r>
      <w:r w:rsidRPr="00395C73">
        <w:rPr>
          <w:rFonts w:ascii="Arial" w:eastAsia="宋体" w:hAnsi="Arial" w:cs="Arial"/>
          <w:kern w:val="0"/>
          <w:sz w:val="20"/>
          <w:szCs w:val="20"/>
        </w:rPr>
        <w:t>(</w:t>
      </w:r>
      <w:r w:rsidRPr="00395C73">
        <w:rPr>
          <w:rFonts w:ascii="Arial" w:eastAsia="宋体" w:hAnsi="Arial" w:cs="Arial"/>
          <w:kern w:val="0"/>
          <w:sz w:val="20"/>
          <w:szCs w:val="20"/>
        </w:rPr>
        <w:t>为一种肝癌易患小鼠</w:t>
      </w:r>
      <w:r w:rsidRPr="00395C73">
        <w:rPr>
          <w:rFonts w:ascii="Arial" w:eastAsia="宋体" w:hAnsi="Arial" w:cs="Arial"/>
          <w:kern w:val="0"/>
          <w:sz w:val="20"/>
          <w:szCs w:val="20"/>
        </w:rPr>
        <w:t>)</w:t>
      </w:r>
      <w:r w:rsidRPr="00395C73">
        <w:rPr>
          <w:rFonts w:ascii="Arial" w:eastAsia="宋体" w:hAnsi="Arial" w:cs="Arial"/>
          <w:kern w:val="0"/>
          <w:sz w:val="20"/>
          <w:szCs w:val="20"/>
        </w:rPr>
        <w:t>出现相关性肝癌。但在上述同种属雄性小鼠及其他种属小鼠或大鼠的类似试验中未发现本药有致癌作用。</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【制剂与规格】</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利福平片</w:t>
      </w:r>
      <w:r w:rsidRPr="00395C73">
        <w:rPr>
          <w:rFonts w:ascii="Arial" w:eastAsia="宋体" w:hAnsi="Arial" w:cs="Arial"/>
          <w:kern w:val="0"/>
          <w:sz w:val="20"/>
          <w:szCs w:val="20"/>
        </w:rPr>
        <w:t xml:space="preserve">  (1)150mg</w:t>
      </w:r>
      <w:r w:rsidRPr="00395C73">
        <w:rPr>
          <w:rFonts w:ascii="Arial" w:eastAsia="宋体" w:hAnsi="Arial" w:cs="Arial"/>
          <w:kern w:val="0"/>
          <w:sz w:val="20"/>
          <w:szCs w:val="20"/>
        </w:rPr>
        <w:t>。</w:t>
      </w:r>
      <w:r w:rsidRPr="00395C73">
        <w:rPr>
          <w:rFonts w:ascii="Arial" w:eastAsia="宋体" w:hAnsi="Arial" w:cs="Arial"/>
          <w:kern w:val="0"/>
          <w:sz w:val="20"/>
          <w:szCs w:val="20"/>
        </w:rPr>
        <w:t>(2)300mg</w:t>
      </w:r>
      <w:r w:rsidRPr="00395C73">
        <w:rPr>
          <w:rFonts w:ascii="Arial" w:eastAsia="宋体" w:hAnsi="Arial" w:cs="Arial"/>
          <w:kern w:val="0"/>
          <w:sz w:val="20"/>
          <w:szCs w:val="20"/>
        </w:rPr>
        <w:t>。</w:t>
      </w:r>
      <w:r w:rsidRPr="00395C73">
        <w:rPr>
          <w:rFonts w:ascii="Arial" w:eastAsia="宋体" w:hAnsi="Arial" w:cs="Arial"/>
          <w:kern w:val="0"/>
          <w:sz w:val="20"/>
          <w:szCs w:val="20"/>
        </w:rPr>
        <w:t>(3)450mg</w:t>
      </w:r>
      <w:r w:rsidRPr="00395C73">
        <w:rPr>
          <w:rFonts w:ascii="Arial" w:eastAsia="宋体" w:hAnsi="Arial" w:cs="Arial"/>
          <w:kern w:val="0"/>
          <w:sz w:val="20"/>
          <w:szCs w:val="20"/>
        </w:rPr>
        <w:t>。</w:t>
      </w:r>
      <w:r w:rsidRPr="00395C73">
        <w:rPr>
          <w:rFonts w:ascii="Arial" w:eastAsia="宋体" w:hAnsi="Arial" w:cs="Arial"/>
          <w:kern w:val="0"/>
          <w:sz w:val="20"/>
          <w:szCs w:val="20"/>
        </w:rPr>
        <w:t>(4)600mg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利福平胶囊</w:t>
      </w:r>
      <w:r w:rsidRPr="00395C73">
        <w:rPr>
          <w:rFonts w:ascii="Arial" w:eastAsia="宋体" w:hAnsi="Arial" w:cs="Arial"/>
          <w:kern w:val="0"/>
          <w:sz w:val="20"/>
          <w:szCs w:val="20"/>
        </w:rPr>
        <w:t xml:space="preserve">  (1)150mg</w:t>
      </w:r>
      <w:r w:rsidRPr="00395C73">
        <w:rPr>
          <w:rFonts w:ascii="Arial" w:eastAsia="宋体" w:hAnsi="Arial" w:cs="Arial"/>
          <w:kern w:val="0"/>
          <w:sz w:val="20"/>
          <w:szCs w:val="20"/>
        </w:rPr>
        <w:t>。</w:t>
      </w:r>
      <w:r w:rsidRPr="00395C73">
        <w:rPr>
          <w:rFonts w:ascii="Arial" w:eastAsia="宋体" w:hAnsi="Arial" w:cs="Arial"/>
          <w:kern w:val="0"/>
          <w:sz w:val="20"/>
          <w:szCs w:val="20"/>
        </w:rPr>
        <w:t>(2)225mg</w:t>
      </w:r>
      <w:r w:rsidRPr="00395C73">
        <w:rPr>
          <w:rFonts w:ascii="Arial" w:eastAsia="宋体" w:hAnsi="Arial" w:cs="Arial"/>
          <w:kern w:val="0"/>
          <w:sz w:val="20"/>
          <w:szCs w:val="20"/>
        </w:rPr>
        <w:t>。</w:t>
      </w:r>
      <w:r w:rsidRPr="00395C73">
        <w:rPr>
          <w:rFonts w:ascii="Arial" w:eastAsia="宋体" w:hAnsi="Arial" w:cs="Arial"/>
          <w:kern w:val="0"/>
          <w:sz w:val="20"/>
          <w:szCs w:val="20"/>
        </w:rPr>
        <w:t>(3)300mg</w:t>
      </w:r>
      <w:r w:rsidRPr="00395C73">
        <w:rPr>
          <w:rFonts w:ascii="Arial" w:eastAsia="宋体" w:hAnsi="Arial" w:cs="Arial"/>
          <w:kern w:val="0"/>
          <w:sz w:val="20"/>
          <w:szCs w:val="20"/>
        </w:rPr>
        <w:t>。</w:t>
      </w:r>
      <w:r w:rsidRPr="00395C73">
        <w:rPr>
          <w:rFonts w:ascii="Arial" w:eastAsia="宋体" w:hAnsi="Arial" w:cs="Arial"/>
          <w:kern w:val="0"/>
          <w:sz w:val="20"/>
          <w:szCs w:val="20"/>
        </w:rPr>
        <w:t>(4)450mg</w:t>
      </w:r>
      <w:r w:rsidRPr="00395C73">
        <w:rPr>
          <w:rFonts w:ascii="Arial" w:eastAsia="宋体" w:hAnsi="Arial" w:cs="Arial"/>
          <w:kern w:val="0"/>
          <w:sz w:val="20"/>
          <w:szCs w:val="20"/>
        </w:rPr>
        <w:t>。</w:t>
      </w:r>
      <w:r w:rsidRPr="00395C73">
        <w:rPr>
          <w:rFonts w:ascii="Arial" w:eastAsia="宋体" w:hAnsi="Arial" w:cs="Arial"/>
          <w:kern w:val="0"/>
          <w:sz w:val="20"/>
          <w:szCs w:val="20"/>
        </w:rPr>
        <w:t>(5)600mg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利福平胶丸</w:t>
      </w:r>
      <w:r w:rsidRPr="00395C73">
        <w:rPr>
          <w:rFonts w:ascii="Arial" w:eastAsia="宋体" w:hAnsi="Arial" w:cs="Arial"/>
          <w:kern w:val="0"/>
          <w:sz w:val="20"/>
          <w:szCs w:val="20"/>
        </w:rPr>
        <w:t xml:space="preserve">  90mg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利福平注射液</w:t>
      </w:r>
      <w:r w:rsidRPr="00395C73">
        <w:rPr>
          <w:rFonts w:ascii="Arial" w:eastAsia="宋体" w:hAnsi="Arial" w:cs="Arial"/>
          <w:kern w:val="0"/>
          <w:sz w:val="20"/>
          <w:szCs w:val="20"/>
        </w:rPr>
        <w:t xml:space="preserve">  5ml:300mg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注射用利福平</w:t>
      </w:r>
      <w:r w:rsidRPr="00395C73">
        <w:rPr>
          <w:rFonts w:ascii="Arial" w:eastAsia="宋体" w:hAnsi="Arial" w:cs="Arial"/>
          <w:kern w:val="0"/>
          <w:sz w:val="20"/>
          <w:szCs w:val="20"/>
        </w:rPr>
        <w:t xml:space="preserve">  (1)150mg</w:t>
      </w:r>
      <w:r w:rsidRPr="00395C73">
        <w:rPr>
          <w:rFonts w:ascii="Arial" w:eastAsia="宋体" w:hAnsi="Arial" w:cs="Arial"/>
          <w:kern w:val="0"/>
          <w:sz w:val="20"/>
          <w:szCs w:val="20"/>
        </w:rPr>
        <w:t>。</w:t>
      </w:r>
      <w:r w:rsidRPr="00395C73">
        <w:rPr>
          <w:rFonts w:ascii="Arial" w:eastAsia="宋体" w:hAnsi="Arial" w:cs="Arial"/>
          <w:kern w:val="0"/>
          <w:sz w:val="20"/>
          <w:szCs w:val="20"/>
        </w:rPr>
        <w:t>(2)450mg</w:t>
      </w:r>
      <w:r w:rsidRPr="00395C73">
        <w:rPr>
          <w:rFonts w:ascii="Arial" w:eastAsia="宋体" w:hAnsi="Arial" w:cs="Arial"/>
          <w:kern w:val="0"/>
          <w:sz w:val="20"/>
          <w:szCs w:val="20"/>
        </w:rPr>
        <w:t>。</w:t>
      </w:r>
      <w:r w:rsidRPr="00395C73">
        <w:rPr>
          <w:rFonts w:ascii="Arial" w:eastAsia="宋体" w:hAnsi="Arial" w:cs="Arial"/>
          <w:kern w:val="0"/>
          <w:sz w:val="20"/>
          <w:szCs w:val="20"/>
        </w:rPr>
        <w:t>(3)600mg</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滴眼用利福平</w:t>
      </w:r>
      <w:r w:rsidRPr="00395C73">
        <w:rPr>
          <w:rFonts w:ascii="Arial" w:eastAsia="宋体" w:hAnsi="Arial" w:cs="Arial"/>
          <w:kern w:val="0"/>
          <w:sz w:val="20"/>
          <w:szCs w:val="20"/>
        </w:rPr>
        <w:t xml:space="preserve">  (1)</w:t>
      </w:r>
      <w:r w:rsidRPr="00395C73">
        <w:rPr>
          <w:rFonts w:ascii="Arial" w:eastAsia="宋体" w:hAnsi="Arial" w:cs="Arial"/>
          <w:kern w:val="0"/>
          <w:sz w:val="20"/>
          <w:szCs w:val="20"/>
        </w:rPr>
        <w:t>溶液片每片含利福平</w:t>
      </w:r>
      <w:r w:rsidRPr="00395C73">
        <w:rPr>
          <w:rFonts w:ascii="Arial" w:eastAsia="宋体" w:hAnsi="Arial" w:cs="Arial"/>
          <w:kern w:val="0"/>
          <w:sz w:val="20"/>
          <w:szCs w:val="20"/>
        </w:rPr>
        <w:t>5mg</w:t>
      </w:r>
      <w:r w:rsidRPr="00395C73">
        <w:rPr>
          <w:rFonts w:ascii="Arial" w:eastAsia="宋体" w:hAnsi="Arial" w:cs="Arial"/>
          <w:kern w:val="0"/>
          <w:sz w:val="20"/>
          <w:szCs w:val="20"/>
        </w:rPr>
        <w:t>，缓冲液</w:t>
      </w:r>
      <w:r w:rsidRPr="00395C73">
        <w:rPr>
          <w:rFonts w:ascii="Arial" w:eastAsia="宋体" w:hAnsi="Arial" w:cs="Arial"/>
          <w:kern w:val="0"/>
          <w:sz w:val="20"/>
          <w:szCs w:val="20"/>
        </w:rPr>
        <w:t>10ml</w:t>
      </w:r>
      <w:r w:rsidRPr="00395C73">
        <w:rPr>
          <w:rFonts w:ascii="Arial" w:eastAsia="宋体" w:hAnsi="Arial" w:cs="Arial"/>
          <w:kern w:val="0"/>
          <w:sz w:val="20"/>
          <w:szCs w:val="20"/>
        </w:rPr>
        <w:t>。</w:t>
      </w:r>
      <w:r w:rsidRPr="00395C73">
        <w:rPr>
          <w:rFonts w:ascii="Arial" w:eastAsia="宋体" w:hAnsi="Arial" w:cs="Arial"/>
          <w:kern w:val="0"/>
          <w:sz w:val="20"/>
          <w:szCs w:val="20"/>
        </w:rPr>
        <w:t>(2)</w:t>
      </w:r>
      <w:r w:rsidRPr="00395C73">
        <w:rPr>
          <w:rFonts w:ascii="Arial" w:eastAsia="宋体" w:hAnsi="Arial" w:cs="Arial"/>
          <w:kern w:val="0"/>
          <w:sz w:val="20"/>
          <w:szCs w:val="20"/>
        </w:rPr>
        <w:t>溶液片每片含利福平</w:t>
      </w:r>
      <w:r w:rsidRPr="00395C73">
        <w:rPr>
          <w:rFonts w:ascii="Arial" w:eastAsia="宋体" w:hAnsi="Arial" w:cs="Arial"/>
          <w:kern w:val="0"/>
          <w:sz w:val="20"/>
          <w:szCs w:val="20"/>
        </w:rPr>
        <w:t>10mg</w:t>
      </w:r>
      <w:r w:rsidRPr="00395C73">
        <w:rPr>
          <w:rFonts w:ascii="Arial" w:eastAsia="宋体" w:hAnsi="Arial" w:cs="Arial"/>
          <w:kern w:val="0"/>
          <w:sz w:val="20"/>
          <w:szCs w:val="20"/>
        </w:rPr>
        <w:t>，缓冲液</w:t>
      </w:r>
      <w:r w:rsidRPr="00395C73">
        <w:rPr>
          <w:rFonts w:ascii="Arial" w:eastAsia="宋体" w:hAnsi="Arial" w:cs="Arial"/>
          <w:kern w:val="0"/>
          <w:sz w:val="20"/>
          <w:szCs w:val="20"/>
        </w:rPr>
        <w:t>10ml</w:t>
      </w:r>
      <w:r w:rsidRPr="00395C73">
        <w:rPr>
          <w:rFonts w:ascii="Arial" w:eastAsia="宋体" w:hAnsi="Arial" w:cs="Arial"/>
          <w:kern w:val="0"/>
          <w:sz w:val="20"/>
          <w:szCs w:val="20"/>
        </w:rPr>
        <w:t>。</w:t>
      </w:r>
      <w:r w:rsidRPr="00395C73">
        <w:rPr>
          <w:rFonts w:ascii="Arial" w:eastAsia="宋体" w:hAnsi="Arial" w:cs="Arial"/>
          <w:kern w:val="0"/>
          <w:sz w:val="20"/>
          <w:szCs w:val="20"/>
        </w:rPr>
        <w:t>(3)</w:t>
      </w:r>
      <w:r w:rsidRPr="00395C73">
        <w:rPr>
          <w:rFonts w:ascii="Arial" w:eastAsia="宋体" w:hAnsi="Arial" w:cs="Arial"/>
          <w:kern w:val="0"/>
          <w:sz w:val="20"/>
          <w:szCs w:val="20"/>
        </w:rPr>
        <w:t>颗粒每瓶含利福平</w:t>
      </w:r>
      <w:r w:rsidRPr="00395C73">
        <w:rPr>
          <w:rFonts w:ascii="Arial" w:eastAsia="宋体" w:hAnsi="Arial" w:cs="Arial"/>
          <w:kern w:val="0"/>
          <w:sz w:val="20"/>
          <w:szCs w:val="20"/>
        </w:rPr>
        <w:t>10mg</w:t>
      </w:r>
      <w:r w:rsidRPr="00395C73">
        <w:rPr>
          <w:rFonts w:ascii="Arial" w:eastAsia="宋体" w:hAnsi="Arial" w:cs="Arial"/>
          <w:kern w:val="0"/>
          <w:sz w:val="20"/>
          <w:szCs w:val="20"/>
        </w:rPr>
        <w:t>，缓冲液</w:t>
      </w:r>
      <w:r w:rsidRPr="00395C73">
        <w:rPr>
          <w:rFonts w:ascii="Arial" w:eastAsia="宋体" w:hAnsi="Arial" w:cs="Arial"/>
          <w:kern w:val="0"/>
          <w:sz w:val="20"/>
          <w:szCs w:val="20"/>
        </w:rPr>
        <w:t>10ml</w:t>
      </w:r>
      <w:r w:rsidRPr="00395C73">
        <w:rPr>
          <w:rFonts w:ascii="Arial" w:eastAsia="宋体" w:hAnsi="Arial" w:cs="Arial"/>
          <w:kern w:val="0"/>
          <w:sz w:val="20"/>
          <w:szCs w:val="20"/>
        </w:rPr>
        <w:t>。</w:t>
      </w:r>
      <w:r w:rsidRPr="00395C73">
        <w:rPr>
          <w:rFonts w:ascii="Arial" w:eastAsia="宋体" w:hAnsi="Arial" w:cs="Arial"/>
          <w:kern w:val="0"/>
          <w:sz w:val="20"/>
          <w:szCs w:val="20"/>
        </w:rPr>
        <w:t>(4)</w:t>
      </w:r>
      <w:r w:rsidRPr="00395C73">
        <w:rPr>
          <w:rFonts w:ascii="Arial" w:eastAsia="宋体" w:hAnsi="Arial" w:cs="Arial"/>
          <w:kern w:val="0"/>
          <w:sz w:val="20"/>
          <w:szCs w:val="20"/>
        </w:rPr>
        <w:t>滴丸每丸含利福平</w:t>
      </w:r>
      <w:r w:rsidRPr="00395C73">
        <w:rPr>
          <w:rFonts w:ascii="Arial" w:eastAsia="宋体" w:hAnsi="Arial" w:cs="Arial"/>
          <w:kern w:val="0"/>
          <w:sz w:val="20"/>
          <w:szCs w:val="20"/>
        </w:rPr>
        <w:t>10mg</w:t>
      </w:r>
      <w:r w:rsidRPr="00395C73">
        <w:rPr>
          <w:rFonts w:ascii="Arial" w:eastAsia="宋体" w:hAnsi="Arial" w:cs="Arial"/>
          <w:kern w:val="0"/>
          <w:sz w:val="20"/>
          <w:szCs w:val="20"/>
        </w:rPr>
        <w:t>，缓冲液</w:t>
      </w:r>
      <w:r w:rsidRPr="00395C73">
        <w:rPr>
          <w:rFonts w:ascii="Arial" w:eastAsia="宋体" w:hAnsi="Arial" w:cs="Arial"/>
          <w:kern w:val="0"/>
          <w:sz w:val="20"/>
          <w:szCs w:val="20"/>
        </w:rPr>
        <w:t>10ml</w:t>
      </w:r>
      <w:r w:rsidRPr="00395C73">
        <w:rPr>
          <w:rFonts w:ascii="Arial" w:eastAsia="宋体" w:hAnsi="Arial" w:cs="Arial"/>
          <w:kern w:val="0"/>
          <w:sz w:val="20"/>
          <w:szCs w:val="20"/>
        </w:rPr>
        <w:t>。</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b/>
          <w:bCs/>
          <w:kern w:val="0"/>
          <w:sz w:val="20"/>
          <w:szCs w:val="20"/>
        </w:rPr>
        <w:t>【贮藏】</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片剂：密封，在阴暗干燥处保存。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胶囊：密封，在阴暗干燥处保存。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胶丸：密封，在凉暗</w:t>
      </w:r>
      <w:r w:rsidRPr="00395C73">
        <w:rPr>
          <w:rFonts w:ascii="Arial" w:eastAsia="宋体" w:hAnsi="Arial" w:cs="Arial"/>
          <w:kern w:val="0"/>
          <w:sz w:val="20"/>
          <w:szCs w:val="20"/>
        </w:rPr>
        <w:t>(</w:t>
      </w:r>
      <w:r w:rsidRPr="00395C73">
        <w:rPr>
          <w:rFonts w:ascii="Arial" w:eastAsia="宋体" w:hAnsi="Arial" w:cs="Arial"/>
          <w:kern w:val="0"/>
          <w:sz w:val="20"/>
          <w:szCs w:val="20"/>
        </w:rPr>
        <w:t>避光且不超过</w:t>
      </w:r>
      <w:r w:rsidRPr="00395C73">
        <w:rPr>
          <w:rFonts w:ascii="Arial" w:eastAsia="宋体"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w:t>
      </w:r>
      <w:r w:rsidRPr="00395C73">
        <w:rPr>
          <w:rFonts w:ascii="Arial" w:eastAsia="宋体" w:hAnsi="Arial" w:cs="Arial"/>
          <w:kern w:val="0"/>
          <w:sz w:val="20"/>
          <w:szCs w:val="20"/>
        </w:rPr>
        <w:t>干燥处保存。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注射液：凉暗</w:t>
      </w:r>
      <w:r w:rsidRPr="00395C73">
        <w:rPr>
          <w:rFonts w:ascii="Arial" w:eastAsia="宋体" w:hAnsi="Arial" w:cs="Arial"/>
          <w:kern w:val="0"/>
          <w:sz w:val="20"/>
          <w:szCs w:val="20"/>
        </w:rPr>
        <w:t>(</w:t>
      </w:r>
      <w:r w:rsidRPr="00395C73">
        <w:rPr>
          <w:rFonts w:ascii="Arial" w:eastAsia="宋体" w:hAnsi="Arial" w:cs="Arial"/>
          <w:kern w:val="0"/>
          <w:sz w:val="20"/>
          <w:szCs w:val="20"/>
        </w:rPr>
        <w:t>避光且不超过</w:t>
      </w:r>
      <w:r w:rsidRPr="00395C73">
        <w:rPr>
          <w:rFonts w:ascii="Arial" w:eastAsia="宋体"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w:t>
      </w:r>
      <w:r w:rsidRPr="00395C73">
        <w:rPr>
          <w:rFonts w:ascii="Arial" w:eastAsia="宋体" w:hAnsi="Arial" w:cs="Arial"/>
          <w:kern w:val="0"/>
          <w:sz w:val="20"/>
          <w:szCs w:val="20"/>
        </w:rPr>
        <w:t>处保存。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t>粉针剂：密封，在凉暗</w:t>
      </w:r>
      <w:r w:rsidRPr="00395C73">
        <w:rPr>
          <w:rFonts w:ascii="Arial" w:eastAsia="宋体" w:hAnsi="Arial" w:cs="Arial"/>
          <w:kern w:val="0"/>
          <w:sz w:val="20"/>
          <w:szCs w:val="20"/>
        </w:rPr>
        <w:t>(</w:t>
      </w:r>
      <w:r w:rsidRPr="00395C73">
        <w:rPr>
          <w:rFonts w:ascii="Arial" w:eastAsia="宋体" w:hAnsi="Arial" w:cs="Arial"/>
          <w:kern w:val="0"/>
          <w:sz w:val="20"/>
          <w:szCs w:val="20"/>
        </w:rPr>
        <w:t>避光且不超过</w:t>
      </w:r>
      <w:r w:rsidRPr="00395C73">
        <w:rPr>
          <w:rFonts w:ascii="Arial" w:eastAsia="宋体"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w:t>
      </w:r>
      <w:r w:rsidRPr="00395C73">
        <w:rPr>
          <w:rFonts w:ascii="Arial" w:eastAsia="宋体" w:hAnsi="Arial" w:cs="Arial"/>
          <w:kern w:val="0"/>
          <w:sz w:val="20"/>
          <w:szCs w:val="20"/>
        </w:rPr>
        <w:t>干燥处保存。</w:t>
      </w:r>
    </w:p>
    <w:p w:rsidR="00395C73" w:rsidRPr="00395C73" w:rsidRDefault="00395C73" w:rsidP="00395C73">
      <w:pPr>
        <w:widowControl/>
        <w:spacing w:before="150" w:after="150" w:line="336" w:lineRule="auto"/>
        <w:jc w:val="left"/>
        <w:rPr>
          <w:rFonts w:ascii="Arial" w:eastAsia="宋体" w:hAnsi="Arial" w:cs="Arial"/>
          <w:kern w:val="0"/>
          <w:sz w:val="20"/>
          <w:szCs w:val="20"/>
        </w:rPr>
      </w:pPr>
      <w:r w:rsidRPr="00395C73">
        <w:rPr>
          <w:rFonts w:ascii="Arial" w:eastAsia="宋体" w:hAnsi="Arial" w:cs="Arial"/>
          <w:kern w:val="0"/>
          <w:sz w:val="20"/>
          <w:szCs w:val="20"/>
        </w:rPr>
        <w:lastRenderedPageBreak/>
        <w:t>滴眼液：密封，在凉暗</w:t>
      </w:r>
      <w:r w:rsidRPr="00395C73">
        <w:rPr>
          <w:rFonts w:ascii="Arial" w:eastAsia="宋体" w:hAnsi="Arial" w:cs="Arial"/>
          <w:kern w:val="0"/>
          <w:sz w:val="20"/>
          <w:szCs w:val="20"/>
        </w:rPr>
        <w:t>(</w:t>
      </w:r>
      <w:r w:rsidRPr="00395C73">
        <w:rPr>
          <w:rFonts w:ascii="Arial" w:eastAsia="宋体" w:hAnsi="Arial" w:cs="Arial"/>
          <w:kern w:val="0"/>
          <w:sz w:val="20"/>
          <w:szCs w:val="20"/>
        </w:rPr>
        <w:t>避光且不超过</w:t>
      </w:r>
      <w:r w:rsidRPr="00395C73">
        <w:rPr>
          <w:rFonts w:ascii="Arial" w:eastAsia="宋体"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eastAsia="宋体" w:hAnsi="Arial" w:cs="Arial"/>
          <w:kern w:val="0"/>
          <w:sz w:val="20"/>
          <w:szCs w:val="20"/>
        </w:rPr>
        <w:t>)</w:t>
      </w:r>
      <w:r w:rsidRPr="00395C73">
        <w:rPr>
          <w:rFonts w:ascii="Arial" w:eastAsia="宋体" w:hAnsi="Arial" w:cs="Arial"/>
          <w:kern w:val="0"/>
          <w:sz w:val="20"/>
          <w:szCs w:val="20"/>
        </w:rPr>
        <w:t>干燥处保存。</w:t>
      </w:r>
    </w:p>
    <w:p w:rsidR="00395C73" w:rsidRPr="00395C73" w:rsidRDefault="00395C73" w:rsidP="00395C73">
      <w:pPr>
        <w:widowControl/>
        <w:jc w:val="center"/>
        <w:rPr>
          <w:rFonts w:ascii="Arial" w:eastAsia="宋体" w:hAnsi="Arial" w:cs="Arial"/>
          <w:kern w:val="0"/>
          <w:sz w:val="20"/>
          <w:szCs w:val="20"/>
        </w:rPr>
      </w:pPr>
      <w:r w:rsidRPr="00395C73">
        <w:rPr>
          <w:rFonts w:ascii="Arial" w:eastAsia="宋体" w:hAnsi="Arial" w:cs="Arial"/>
          <w:kern w:val="0"/>
          <w:sz w:val="20"/>
          <w:szCs w:val="20"/>
        </w:rPr>
        <w:t>使用</w:t>
      </w:r>
      <w:r w:rsidRPr="00395C73">
        <w:rPr>
          <w:rFonts w:ascii="Arial" w:eastAsia="宋体" w:hAnsi="Arial" w:cs="Arial"/>
          <w:kern w:val="0"/>
          <w:sz w:val="20"/>
          <w:szCs w:val="20"/>
        </w:rPr>
        <w:t>UpToDate</w:t>
      </w:r>
      <w:r w:rsidRPr="00395C73">
        <w:rPr>
          <w:rFonts w:ascii="Arial" w:eastAsia="宋体" w:hAnsi="Arial" w:cs="Arial"/>
          <w:kern w:val="0"/>
          <w:sz w:val="20"/>
          <w:szCs w:val="20"/>
        </w:rPr>
        <w:t>临床顾问须遵循</w:t>
      </w:r>
      <w:hyperlink r:id="rId4" w:tgtFrame="_blank" w:history="1">
        <w:r w:rsidRPr="00395C73">
          <w:rPr>
            <w:rFonts w:ascii="Arial" w:eastAsia="宋体" w:hAnsi="Arial" w:cs="Arial"/>
            <w:color w:val="336633"/>
            <w:kern w:val="0"/>
            <w:sz w:val="20"/>
            <w:szCs w:val="20"/>
            <w:u w:val="single"/>
          </w:rPr>
          <w:t>用户协议</w:t>
        </w:r>
      </w:hyperlink>
      <w:r w:rsidRPr="00395C73">
        <w:rPr>
          <w:rFonts w:ascii="Arial" w:eastAsia="宋体" w:hAnsi="Arial" w:cs="Arial"/>
          <w:kern w:val="0"/>
          <w:sz w:val="20"/>
          <w:szCs w:val="20"/>
        </w:rPr>
        <w:t>。</w:t>
      </w:r>
      <w:r w:rsidRPr="00395C73">
        <w:rPr>
          <w:rFonts w:ascii="Arial" w:eastAsia="宋体" w:hAnsi="Arial" w:cs="Arial"/>
          <w:kern w:val="0"/>
          <w:sz w:val="20"/>
          <w:szCs w:val="20"/>
        </w:rPr>
        <w:t xml:space="preserve"> </w:t>
      </w:r>
    </w:p>
    <w:p w:rsidR="00395C73" w:rsidRPr="00395C73" w:rsidRDefault="00395C73" w:rsidP="00395C73">
      <w:pPr>
        <w:widowControl/>
        <w:jc w:val="left"/>
        <w:rPr>
          <w:rFonts w:ascii="Arial" w:eastAsia="宋体" w:hAnsi="Arial" w:cs="Arial"/>
          <w:kern w:val="0"/>
          <w:sz w:val="20"/>
          <w:szCs w:val="20"/>
        </w:rPr>
      </w:pPr>
      <w:r w:rsidRPr="00395C73">
        <w:rPr>
          <w:rFonts w:ascii="Arial" w:eastAsia="宋体" w:hAnsi="Arial" w:cs="Arial"/>
          <w:kern w:val="0"/>
          <w:sz w:val="20"/>
          <w:szCs w:val="20"/>
        </w:rPr>
        <w:t>专题</w:t>
      </w:r>
      <w:r w:rsidRPr="00395C73">
        <w:rPr>
          <w:rFonts w:ascii="Arial" w:eastAsia="宋体" w:hAnsi="Arial" w:cs="Arial"/>
          <w:kern w:val="0"/>
          <w:sz w:val="20"/>
          <w:szCs w:val="20"/>
        </w:rPr>
        <w:t xml:space="preserve"> 92278 </w:t>
      </w:r>
      <w:r w:rsidRPr="00395C73">
        <w:rPr>
          <w:rFonts w:ascii="Arial" w:eastAsia="宋体" w:hAnsi="Arial" w:cs="Arial"/>
          <w:kern w:val="0"/>
          <w:sz w:val="20"/>
          <w:szCs w:val="20"/>
        </w:rPr>
        <w:t>版本</w:t>
      </w:r>
      <w:r w:rsidRPr="00395C7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B5"/>
    <w:rsid w:val="00395C73"/>
    <w:rsid w:val="0048715B"/>
    <w:rsid w:val="00792049"/>
    <w:rsid w:val="00CB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25169-8172-4454-9E59-CD28FFA7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395C73"/>
    <w:rPr>
      <w:b/>
      <w:bCs/>
    </w:rPr>
  </w:style>
  <w:style w:type="character" w:customStyle="1" w:styleId="h22">
    <w:name w:val="h22"/>
    <w:basedOn w:val="a0"/>
    <w:rsid w:val="00395C73"/>
    <w:rPr>
      <w:b/>
      <w:bCs/>
    </w:rPr>
  </w:style>
  <w:style w:type="character" w:customStyle="1" w:styleId="nowrap1">
    <w:name w:val="nowrap1"/>
    <w:basedOn w:val="a0"/>
    <w:rsid w:val="0039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22365">
      <w:bodyDiv w:val="1"/>
      <w:marLeft w:val="0"/>
      <w:marRight w:val="0"/>
      <w:marTop w:val="0"/>
      <w:marBottom w:val="0"/>
      <w:divBdr>
        <w:top w:val="none" w:sz="0" w:space="0" w:color="auto"/>
        <w:left w:val="none" w:sz="0" w:space="0" w:color="auto"/>
        <w:bottom w:val="none" w:sz="0" w:space="0" w:color="auto"/>
        <w:right w:val="none" w:sz="0" w:space="0" w:color="auto"/>
      </w:divBdr>
      <w:divsChild>
        <w:div w:id="756176110">
          <w:marLeft w:val="0"/>
          <w:marRight w:val="0"/>
          <w:marTop w:val="0"/>
          <w:marBottom w:val="0"/>
          <w:divBdr>
            <w:top w:val="none" w:sz="0" w:space="0" w:color="auto"/>
            <w:left w:val="none" w:sz="0" w:space="0" w:color="auto"/>
            <w:bottom w:val="none" w:sz="0" w:space="0" w:color="auto"/>
            <w:right w:val="none" w:sz="0" w:space="0" w:color="auto"/>
          </w:divBdr>
          <w:divsChild>
            <w:div w:id="1801800000">
              <w:marLeft w:val="0"/>
              <w:marRight w:val="0"/>
              <w:marTop w:val="0"/>
              <w:marBottom w:val="0"/>
              <w:divBdr>
                <w:top w:val="none" w:sz="0" w:space="0" w:color="auto"/>
                <w:left w:val="none" w:sz="0" w:space="0" w:color="auto"/>
                <w:bottom w:val="none" w:sz="0" w:space="0" w:color="auto"/>
                <w:right w:val="none" w:sz="0" w:space="0" w:color="auto"/>
              </w:divBdr>
              <w:divsChild>
                <w:div w:id="89469948">
                  <w:marLeft w:val="450"/>
                  <w:marRight w:val="900"/>
                  <w:marTop w:val="450"/>
                  <w:marBottom w:val="450"/>
                  <w:divBdr>
                    <w:top w:val="none" w:sz="0" w:space="0" w:color="auto"/>
                    <w:left w:val="none" w:sz="0" w:space="0" w:color="auto"/>
                    <w:bottom w:val="none" w:sz="0" w:space="0" w:color="auto"/>
                    <w:right w:val="none" w:sz="0" w:space="0" w:color="auto"/>
                  </w:divBdr>
                  <w:divsChild>
                    <w:div w:id="108203315">
                      <w:marLeft w:val="0"/>
                      <w:marRight w:val="0"/>
                      <w:marTop w:val="0"/>
                      <w:marBottom w:val="0"/>
                      <w:divBdr>
                        <w:top w:val="none" w:sz="0" w:space="0" w:color="auto"/>
                        <w:left w:val="none" w:sz="0" w:space="0" w:color="auto"/>
                        <w:bottom w:val="none" w:sz="0" w:space="0" w:color="auto"/>
                        <w:right w:val="none" w:sz="0" w:space="0" w:color="auto"/>
                      </w:divBdr>
                    </w:div>
                    <w:div w:id="2013679881">
                      <w:marLeft w:val="0"/>
                      <w:marRight w:val="0"/>
                      <w:marTop w:val="0"/>
                      <w:marBottom w:val="0"/>
                      <w:divBdr>
                        <w:top w:val="none" w:sz="0" w:space="0" w:color="auto"/>
                        <w:left w:val="none" w:sz="0" w:space="0" w:color="auto"/>
                        <w:bottom w:val="none" w:sz="0" w:space="0" w:color="auto"/>
                        <w:right w:val="none" w:sz="0" w:space="0" w:color="auto"/>
                      </w:divBdr>
                    </w:div>
                    <w:div w:id="1596328455">
                      <w:marLeft w:val="0"/>
                      <w:marRight w:val="0"/>
                      <w:marTop w:val="480"/>
                      <w:marBottom w:val="480"/>
                      <w:divBdr>
                        <w:top w:val="none" w:sz="0" w:space="0" w:color="auto"/>
                        <w:left w:val="none" w:sz="0" w:space="0" w:color="auto"/>
                        <w:bottom w:val="none" w:sz="0" w:space="0" w:color="auto"/>
                        <w:right w:val="none" w:sz="0" w:space="0" w:color="auto"/>
                      </w:divBdr>
                    </w:div>
                    <w:div w:id="1756123899">
                      <w:marLeft w:val="0"/>
                      <w:marRight w:val="0"/>
                      <w:marTop w:val="0"/>
                      <w:marBottom w:val="0"/>
                      <w:divBdr>
                        <w:top w:val="none" w:sz="0" w:space="0" w:color="auto"/>
                        <w:left w:val="none" w:sz="0" w:space="0" w:color="auto"/>
                        <w:bottom w:val="none" w:sz="0" w:space="0" w:color="auto"/>
                        <w:right w:val="none" w:sz="0" w:space="0" w:color="auto"/>
                      </w:divBdr>
                      <w:divsChild>
                        <w:div w:id="6870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2017</Words>
  <Characters>11502</Characters>
  <Application>Microsoft Office Word</Application>
  <DocSecurity>0</DocSecurity>
  <Lines>95</Lines>
  <Paragraphs>26</Paragraphs>
  <ScaleCrop>false</ScaleCrop>
  <Company/>
  <LinksUpToDate>false</LinksUpToDate>
  <CharactersWithSpaces>13493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2015-02-09T02:21:00Z</dcterms:created>
  <dcterms:modified xsi:type="dcterms:W3CDTF">2015-02-09T02:21:00Z</dcterms:modified>
</cp:coreProperties>
</file>