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4F9" w:rsidRPr="008B04F9" w:rsidRDefault="008B04F9" w:rsidP="008B04F9">
      <w:pPr>
        <w:widowControl/>
        <w:jc w:val="left"/>
        <w:rPr>
          <w:rFonts w:ascii="宋体" w:eastAsia="宋体" w:hAnsi="宋体" w:cs="宋体"/>
          <w:b/>
          <w:bCs/>
          <w:color w:val="000000"/>
          <w:kern w:val="0"/>
          <w:sz w:val="20"/>
          <w:szCs w:val="20"/>
        </w:rPr>
      </w:pPr>
      <w:r w:rsidRPr="008B04F9">
        <w:rPr>
          <w:rFonts w:ascii="宋体" w:eastAsia="宋体" w:hAnsi="宋体" w:cs="宋体" w:hint="eastAsia"/>
          <w:b/>
          <w:bCs/>
          <w:color w:val="000000"/>
          <w:kern w:val="0"/>
          <w:sz w:val="20"/>
          <w:szCs w:val="20"/>
        </w:rPr>
        <w:t>盐酸维拉帕米</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文章版本号：2</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最后发布时间：2014-4-15 9:48:59</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【药物名称】</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中文通用名称：盐酸维拉帕米</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英文通用名称：Verapamil Hydrochloride</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其他名称：奥地迈尔、巴平特佳、</w:t>
      </w:r>
      <w:proofErr w:type="gramStart"/>
      <w:r w:rsidRPr="008B04F9">
        <w:rPr>
          <w:rFonts w:ascii="宋体" w:eastAsia="宋体" w:hAnsi="宋体" w:cs="宋体" w:hint="eastAsia"/>
          <w:color w:val="000000"/>
          <w:kern w:val="0"/>
          <w:sz w:val="20"/>
          <w:szCs w:val="20"/>
        </w:rPr>
        <w:t>导搏定</w:t>
      </w:r>
      <w:proofErr w:type="gramEnd"/>
      <w:r w:rsidRPr="008B04F9">
        <w:rPr>
          <w:rFonts w:ascii="宋体" w:eastAsia="宋体" w:hAnsi="宋体" w:cs="宋体" w:hint="eastAsia"/>
          <w:color w:val="000000"/>
          <w:kern w:val="0"/>
          <w:sz w:val="20"/>
          <w:szCs w:val="20"/>
        </w:rPr>
        <w:t>、盖衡、诺富生、戊脉安、盐酸异搏定、</w:t>
      </w:r>
      <w:proofErr w:type="spellStart"/>
      <w:r w:rsidRPr="008B04F9">
        <w:rPr>
          <w:rFonts w:ascii="宋体" w:eastAsia="宋体" w:hAnsi="宋体" w:cs="宋体" w:hint="eastAsia"/>
          <w:color w:val="000000"/>
          <w:kern w:val="0"/>
          <w:sz w:val="20"/>
          <w:szCs w:val="20"/>
        </w:rPr>
        <w:t>Cordilox</w:t>
      </w:r>
      <w:proofErr w:type="spellEnd"/>
      <w:r w:rsidRPr="008B04F9">
        <w:rPr>
          <w:rFonts w:ascii="宋体" w:eastAsia="宋体" w:hAnsi="宋体" w:cs="宋体" w:hint="eastAsia"/>
          <w:color w:val="000000"/>
          <w:kern w:val="0"/>
          <w:sz w:val="20"/>
          <w:szCs w:val="20"/>
        </w:rPr>
        <w:t>、</w:t>
      </w:r>
      <w:proofErr w:type="spellStart"/>
      <w:r w:rsidRPr="008B04F9">
        <w:rPr>
          <w:rFonts w:ascii="宋体" w:eastAsia="宋体" w:hAnsi="宋体" w:cs="宋体" w:hint="eastAsia"/>
          <w:color w:val="000000"/>
          <w:kern w:val="0"/>
          <w:sz w:val="20"/>
          <w:szCs w:val="20"/>
        </w:rPr>
        <w:t>Isoptin</w:t>
      </w:r>
      <w:proofErr w:type="spellEnd"/>
      <w:r w:rsidRPr="008B04F9">
        <w:rPr>
          <w:rFonts w:ascii="宋体" w:eastAsia="宋体" w:hAnsi="宋体" w:cs="宋体" w:hint="eastAsia"/>
          <w:color w:val="000000"/>
          <w:kern w:val="0"/>
          <w:sz w:val="20"/>
          <w:szCs w:val="20"/>
        </w:rPr>
        <w:t>、</w:t>
      </w:r>
      <w:proofErr w:type="spellStart"/>
      <w:r w:rsidRPr="008B04F9">
        <w:rPr>
          <w:rFonts w:ascii="宋体" w:eastAsia="宋体" w:hAnsi="宋体" w:cs="宋体" w:hint="eastAsia"/>
          <w:color w:val="000000"/>
          <w:kern w:val="0"/>
          <w:sz w:val="20"/>
          <w:szCs w:val="20"/>
        </w:rPr>
        <w:t>Manidon</w:t>
      </w:r>
      <w:proofErr w:type="spellEnd"/>
      <w:r w:rsidRPr="008B04F9">
        <w:rPr>
          <w:rFonts w:ascii="宋体" w:eastAsia="宋体" w:hAnsi="宋体" w:cs="宋体" w:hint="eastAsia"/>
          <w:color w:val="000000"/>
          <w:kern w:val="0"/>
          <w:sz w:val="20"/>
          <w:szCs w:val="20"/>
        </w:rPr>
        <w:t>、</w:t>
      </w:r>
      <w:proofErr w:type="spellStart"/>
      <w:r w:rsidRPr="008B04F9">
        <w:rPr>
          <w:rFonts w:ascii="宋体" w:eastAsia="宋体" w:hAnsi="宋体" w:cs="宋体" w:hint="eastAsia"/>
          <w:color w:val="000000"/>
          <w:kern w:val="0"/>
          <w:sz w:val="20"/>
          <w:szCs w:val="20"/>
        </w:rPr>
        <w:t>Novopressan</w:t>
      </w:r>
      <w:proofErr w:type="spellEnd"/>
      <w:r w:rsidRPr="008B04F9">
        <w:rPr>
          <w:rFonts w:ascii="宋体" w:eastAsia="宋体" w:hAnsi="宋体" w:cs="宋体" w:hint="eastAsia"/>
          <w:color w:val="000000"/>
          <w:kern w:val="0"/>
          <w:sz w:val="20"/>
          <w:szCs w:val="20"/>
        </w:rPr>
        <w:t>、</w:t>
      </w:r>
      <w:proofErr w:type="spellStart"/>
      <w:r w:rsidRPr="008B04F9">
        <w:rPr>
          <w:rFonts w:ascii="宋体" w:eastAsia="宋体" w:hAnsi="宋体" w:cs="宋体" w:hint="eastAsia"/>
          <w:color w:val="000000"/>
          <w:kern w:val="0"/>
          <w:sz w:val="20"/>
          <w:szCs w:val="20"/>
        </w:rPr>
        <w:t>Verelan</w:t>
      </w:r>
      <w:proofErr w:type="spellEnd"/>
      <w:r w:rsidRPr="008B04F9">
        <w:rPr>
          <w:rFonts w:ascii="宋体" w:eastAsia="宋体" w:hAnsi="宋体" w:cs="宋体" w:hint="eastAsia"/>
          <w:color w:val="000000"/>
          <w:kern w:val="0"/>
          <w:sz w:val="20"/>
          <w:szCs w:val="20"/>
        </w:rPr>
        <w:t xml:space="preserve"> PM。</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【药理分类】</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心血管系统用药&gt;&gt;降血压药&gt;&gt;钙通道阻滞药&gt;&gt;二氢吡啶类</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心血管系统用药&gt;&gt;抗心绞痛药&gt;&gt;钙通道阻滞药&gt;&gt;二氢吡啶类</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精神障碍用药&gt;&gt;抗精神病药&gt;&gt;其它抗精神病药</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心血管系统用药&gt;&gt;抗心律失常药&gt;&gt;钙通道阻滞药(Ⅳ类)</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【临床应用】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CFDA说明书适应症</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口服适用于治疗：(1)心绞痛：变异型心绞痛、不稳定性心绞痛、慢性稳定性心绞痛。(2)与地高辛合用控制慢性心房颤动和(或)心房扑动时的心室率；预防阵发性室上性心动过速的反复发作。(3)原发性高血压。(4)肥厚型心肌病。</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2.静脉给药适用于治疗：(1)快速阵发性室上性心动过速的转复。(2)心房扑动或心房颤动心室率的暂时控制。</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其他临床应用参考</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1.用于预防偏头痛。</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2.用于双相情感障碍(躁狂相)。</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【用法与用量】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成人</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◆常规剂量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·心绞痛</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1.口服给药  (1)普通片剂：一般剂量为一次80-120mg，一日3次。约在用药后8小时根据疗效和安全评估决定是否增量。一日最大剂量为480mg。(2)缓释制剂：一次180mg，一日1次。</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·心律失常</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lastRenderedPageBreak/>
        <w:t>1.口服给药  一日最大剂量为480mg。(1)慢性心房颤动服用洋地黄治疗的患者，一日总量为240-320mg，分3-4次服用。(2)预防阵发性室上性心动过速(未服用洋地黄的患者)，一日总量为240-480mg，分3-4次服用。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·原发性高血压</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1.口服给药  (1)普通片剂：一般初始剂量为一次80mg，一日3次。使用剂量可达一日360-480mg。对低剂量即有反应的体型瘦小者，应考虑初始剂量为一次40mg，一日3次。一日最大剂量为480mg。(2)缓释制剂：一次180mg，一日1次，晨服。对本</w:t>
      </w:r>
      <w:proofErr w:type="gramStart"/>
      <w:r w:rsidRPr="008B04F9">
        <w:rPr>
          <w:rFonts w:ascii="宋体" w:eastAsia="宋体" w:hAnsi="宋体" w:cs="宋体" w:hint="eastAsia"/>
          <w:color w:val="000000"/>
          <w:kern w:val="0"/>
          <w:sz w:val="20"/>
          <w:szCs w:val="20"/>
        </w:rPr>
        <w:t>药反应</w:t>
      </w:r>
      <w:proofErr w:type="gramEnd"/>
      <w:r w:rsidRPr="008B04F9">
        <w:rPr>
          <w:rFonts w:ascii="宋体" w:eastAsia="宋体" w:hAnsi="宋体" w:cs="宋体" w:hint="eastAsia"/>
          <w:color w:val="000000"/>
          <w:kern w:val="0"/>
          <w:sz w:val="20"/>
          <w:szCs w:val="20"/>
        </w:rPr>
        <w:t>增强的体型瘦小者初始剂量为一次120mg，一日1次。在上一剂量后24小时根据疗效和安全性评估才可增加剂量。如一次180mg，一日1次，效果不佳可按以下方式增量：①一次240mg，一日1次，晨服。②一次180mg，一日2次(清晨和傍晚各1次)；或清晨240mg，傍晚120mg。③每12小时240mg。当从普通片剂换至缓释片时，总剂量可能保持不变。</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·快速阵发性室上性心动过速的转复、心房扑动或心房颤动心室率的暂时控制</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1.静脉注射  一般起始剂量为5-10mg(或0.075-0.15mg/kg)，稀释后缓慢静脉推注至少2分钟。如效果不佳可在首剂15-30分钟后再给药5-10mg(或0.15mg/kg)。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2.静脉滴注  每小时5-10mg，加入氯化钠注射液或5%葡萄糖注射液中静滴，一日总量不超过50-100mg。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◆肝功能不全时剂量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严重肝功能不全者口服给药时只需服用正常剂量的30%。</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◆老年人剂量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老年患者宜从小剂量开始用药。本药片剂给药的安全剂量为一次40mg，一日3次。缓释片剂量为一次120mg，一日1次。静脉注射的剂量同成人常规剂量，为减轻不良反应，应缓慢注入(至少3分钟)。</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儿童</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◆常规剂量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·预防阵发性室上性心动过速(未服用洋地黄的患者)</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1.口服给药  1-5岁者，一日4-8mg/kg，分3次服用；或每隔8小时40-80mg。5岁以上者，每隔6-8小时80mg。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·快速阵发性室上性心动过速的转复、心房扑动或心房颤动心室率的暂时控制</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1.静脉注射  1岁以内，首剂0.1-0.2mg/kg(通常单剂0.75-2mg)；1-15岁，首剂0.1-0.3mg/kg(通常单剂2-5mg)，总量不超过5mg。静脉推注至少2分钟，如效果不佳可在30分钟后可再给药1次。</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【国外用法用量参考】</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成人</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◆常规剂量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·心绞痛</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lastRenderedPageBreak/>
        <w:t>1.口服给药  (1)</w:t>
      </w:r>
      <w:proofErr w:type="gramStart"/>
      <w:r w:rsidRPr="008B04F9">
        <w:rPr>
          <w:rFonts w:ascii="宋体" w:eastAsia="宋体" w:hAnsi="宋体" w:cs="宋体" w:hint="eastAsia"/>
          <w:color w:val="000000"/>
          <w:kern w:val="0"/>
          <w:sz w:val="20"/>
          <w:szCs w:val="20"/>
        </w:rPr>
        <w:t>速释剂</w:t>
      </w:r>
      <w:proofErr w:type="gramEnd"/>
      <w:r w:rsidRPr="008B04F9">
        <w:rPr>
          <w:rFonts w:ascii="宋体" w:eastAsia="宋体" w:hAnsi="宋体" w:cs="宋体" w:hint="eastAsia"/>
          <w:color w:val="000000"/>
          <w:kern w:val="0"/>
          <w:sz w:val="20"/>
          <w:szCs w:val="20"/>
        </w:rPr>
        <w:t>：一次80-120mg，一日3次。(2)缓释剂：初始剂量为一次180mg，一日1次，临睡前服用。必要时可调整至每晚480mg，最大剂量为每晚540mg。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·房性心律失常、阵发性室上性心动过速</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1.口服给药  </w:t>
      </w:r>
      <w:proofErr w:type="gramStart"/>
      <w:r w:rsidRPr="008B04F9">
        <w:rPr>
          <w:rFonts w:ascii="宋体" w:eastAsia="宋体" w:hAnsi="宋体" w:cs="宋体" w:hint="eastAsia"/>
          <w:color w:val="000000"/>
          <w:kern w:val="0"/>
          <w:sz w:val="20"/>
          <w:szCs w:val="20"/>
        </w:rPr>
        <w:t>速释剂</w:t>
      </w:r>
      <w:proofErr w:type="gramEnd"/>
      <w:r w:rsidRPr="008B04F9">
        <w:rPr>
          <w:rFonts w:ascii="宋体" w:eastAsia="宋体" w:hAnsi="宋体" w:cs="宋体" w:hint="eastAsia"/>
          <w:color w:val="000000"/>
          <w:kern w:val="0"/>
          <w:sz w:val="20"/>
          <w:szCs w:val="20"/>
        </w:rPr>
        <w:t>：已洋地黄化的患者初始剂量为一日240-320mg，分3-4次服用；未洋地黄化的患者，一日可达480mg，分3-4次服用。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2.静脉给药  首剂可注射5-10mg(0.075-0.15mg/kg)，注射时间2分钟。如未出现药物反应，30分钟后可再给予10mg。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·高血压</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1.口服给药  (1)</w:t>
      </w:r>
      <w:proofErr w:type="gramStart"/>
      <w:r w:rsidRPr="008B04F9">
        <w:rPr>
          <w:rFonts w:ascii="宋体" w:eastAsia="宋体" w:hAnsi="宋体" w:cs="宋体" w:hint="eastAsia"/>
          <w:color w:val="000000"/>
          <w:kern w:val="0"/>
          <w:sz w:val="20"/>
          <w:szCs w:val="20"/>
        </w:rPr>
        <w:t>速释剂</w:t>
      </w:r>
      <w:proofErr w:type="gramEnd"/>
      <w:r w:rsidRPr="008B04F9">
        <w:rPr>
          <w:rFonts w:ascii="宋体" w:eastAsia="宋体" w:hAnsi="宋体" w:cs="宋体" w:hint="eastAsia"/>
          <w:color w:val="000000"/>
          <w:kern w:val="0"/>
          <w:sz w:val="20"/>
          <w:szCs w:val="20"/>
        </w:rPr>
        <w:t>：初始剂量为一次80mg，一日3-4次；可每日或每隔1周增加剂量至一日360-480mg。(2)缓释剂：初始剂量为一次180mg，晨服；可每隔1周增加剂量至一次240mg，一日2次，或每日早晨480mg。(3)控释剂：初始剂量为一次180mg(控释片)或200mg(控释胶囊)，临睡前服用；必要时可调整至一次400mg(控释胶囊)或480mg(控释片)，临睡前服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·预防偏头痛</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1.口服给药  </w:t>
      </w:r>
      <w:proofErr w:type="gramStart"/>
      <w:r w:rsidRPr="008B04F9">
        <w:rPr>
          <w:rFonts w:ascii="宋体" w:eastAsia="宋体" w:hAnsi="宋体" w:cs="宋体" w:hint="eastAsia"/>
          <w:color w:val="000000"/>
          <w:kern w:val="0"/>
          <w:sz w:val="20"/>
          <w:szCs w:val="20"/>
        </w:rPr>
        <w:t>速释剂</w:t>
      </w:r>
      <w:proofErr w:type="gramEnd"/>
      <w:r w:rsidRPr="008B04F9">
        <w:rPr>
          <w:rFonts w:ascii="宋体" w:eastAsia="宋体" w:hAnsi="宋体" w:cs="宋体" w:hint="eastAsia"/>
          <w:color w:val="000000"/>
          <w:kern w:val="0"/>
          <w:sz w:val="20"/>
          <w:szCs w:val="20"/>
        </w:rPr>
        <w:t>：一次80mg，一日3-4次。</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◆肾功能不全时剂量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肾功能不全患者应慎用本药，虽一般不需调整剂量，但应注意监测心电图是否出现PR间期延长以及其他药物中毒症状。</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◆肝功能不全时剂量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肝脏疾病患者用药须小心。肝硬化患者静脉剂量为常规剂量的50%，口服剂量为常规剂量的20%。</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◆老年人剂量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1.口服给药  (1)即释片：初始剂量为一次40mg，一日3次。(2)缓释剂：初始剂量为一日120mg。(3)控释剂：初始剂量为一日100mg。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2.静脉注射  首剂可注射5-10mg(0.075-0.15mg/kg)，注射时间3分钟。</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◆透析时剂量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血液透析、持续性非卧床腹膜透析、持续动脉-静脉血液灌洗患者无需调整用量。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◆其他疾病时剂量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杜氏肌肉萎缩症患者：建议减量用药。</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儿童</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◆常规剂量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·房性心律失常、阵发性室上性心动过速</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1.静脉给药  1岁以下，一次0.1-0.2mg/kg；1-15岁，一次0.1-0.3mg/kg，最大剂量为5mg。注射时间2分钟，如反应不明显，可在30分钟后再给药1次，1-15岁儿童</w:t>
      </w:r>
      <w:proofErr w:type="gramStart"/>
      <w:r w:rsidRPr="008B04F9">
        <w:rPr>
          <w:rFonts w:ascii="宋体" w:eastAsia="宋体" w:hAnsi="宋体" w:cs="宋体" w:hint="eastAsia"/>
          <w:color w:val="000000"/>
          <w:kern w:val="0"/>
          <w:sz w:val="20"/>
          <w:szCs w:val="20"/>
        </w:rPr>
        <w:t>最大总</w:t>
      </w:r>
      <w:proofErr w:type="gramEnd"/>
      <w:r w:rsidRPr="008B04F9">
        <w:rPr>
          <w:rFonts w:ascii="宋体" w:eastAsia="宋体" w:hAnsi="宋体" w:cs="宋体" w:hint="eastAsia"/>
          <w:color w:val="000000"/>
          <w:kern w:val="0"/>
          <w:sz w:val="20"/>
          <w:szCs w:val="20"/>
        </w:rPr>
        <w:t>剂量为10mg。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·高血压</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lastRenderedPageBreak/>
        <w:t>1.口服给药  一日3-4mg/kg，分3次服。最大剂量为一日8mg/kg(不超过一日480mg)，分3次服。</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【给药说明】</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给药方式说明</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口服给药  本药缓释剂必须和食物同时服用。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【禁忌症】</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1.对本药过敏者。</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2.心源性休克患者。</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3.低血压患者(收缩压＜90mmHg)。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4.重度充血性心力衰竭患者(继发于室上性心动过速而对本</w:t>
      </w:r>
      <w:proofErr w:type="gramStart"/>
      <w:r w:rsidRPr="008B04F9">
        <w:rPr>
          <w:rFonts w:ascii="宋体" w:eastAsia="宋体" w:hAnsi="宋体" w:cs="宋体" w:hint="eastAsia"/>
          <w:color w:val="000000"/>
          <w:kern w:val="0"/>
          <w:sz w:val="20"/>
          <w:szCs w:val="20"/>
        </w:rPr>
        <w:t>药有效</w:t>
      </w:r>
      <w:proofErr w:type="gramEnd"/>
      <w:r w:rsidRPr="008B04F9">
        <w:rPr>
          <w:rFonts w:ascii="宋体" w:eastAsia="宋体" w:hAnsi="宋体" w:cs="宋体" w:hint="eastAsia"/>
          <w:color w:val="000000"/>
          <w:kern w:val="0"/>
          <w:sz w:val="20"/>
          <w:szCs w:val="20"/>
        </w:rPr>
        <w:t>者除外)。</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5.严重左心室功能不全者。</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6.急性心肌梗死并发心动过缓患者。</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7.Ⅱ或Ⅲ度房室阻滞(已安装心脏起搏器并行使功能者除外)。</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8.病窦综合征患者(已安装心脏起搏器并行使功能者除外)。</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9.房颤或房扑合并房室旁路通道(预激综合征)患者。</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10.洋地黄中毒者禁用注射剂。</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11.室性心动过速者禁用注射剂。</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12.妊娠早、中期妇女。</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13.肌肉萎缩者、颅内压增高患者禁用注射剂。</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【慎用】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1.心动过缓患者(心率低于每分钟50次)。</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2.Ⅰ度房室传导阻滞患者。</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3.进行性肌营养不良患者。</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4.轻度心力衰竭患者(给本药前须先用洋地黄及利尿药控制心力衰竭)。</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5.肾功能损害者。</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6.严重肝功能不全者。</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7.支气管哮喘患者。</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8.杜氏肌肉萎缩症、重症肌无力患者慎用本药口服制剂(国外资料)。</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9.老年患者(国外资料)。</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【特殊人群】</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lastRenderedPageBreak/>
        <w:t>儿童</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新生儿使用静脉给药的治疗效果与成人相似，但有极少数新生儿和婴儿可发生致命性的严重血流动力学不良反应的报道，故儿童慎用。18岁以下儿童口服给药的安全性和有效性尚不明确。</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老人</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老年人可能出现更强的低血压反应，且更易出现便秘，应慎用。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妊娠期妇女</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1.本药可通过胎盘屏障，有研究表明，脐带血中的药物浓度为母体血药浓度的20%-92%。因此，妊娠早、中期禁用本药；妊娠晚期</w:t>
      </w:r>
      <w:proofErr w:type="gramStart"/>
      <w:r w:rsidRPr="008B04F9">
        <w:rPr>
          <w:rFonts w:ascii="宋体" w:eastAsia="宋体" w:hAnsi="宋体" w:cs="宋体" w:hint="eastAsia"/>
          <w:color w:val="000000"/>
          <w:kern w:val="0"/>
          <w:sz w:val="20"/>
          <w:szCs w:val="20"/>
        </w:rPr>
        <w:t>用药需</w:t>
      </w:r>
      <w:proofErr w:type="gramEnd"/>
      <w:r w:rsidRPr="008B04F9">
        <w:rPr>
          <w:rFonts w:ascii="宋体" w:eastAsia="宋体" w:hAnsi="宋体" w:cs="宋体" w:hint="eastAsia"/>
          <w:color w:val="000000"/>
          <w:kern w:val="0"/>
          <w:sz w:val="20"/>
          <w:szCs w:val="20"/>
        </w:rPr>
        <w:t>权衡利弊。</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2.美国食品药品管理局(FDA)对本药的妊娠安全性分级为C级。</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哺乳期妇女</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本药可经乳汁分泌，乳汁中的药物浓度约为血药浓度的23%，哺乳期妇女用药期间应暂停哺乳。</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【不良反应】</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1.心血管系统  常见(≥1%且＜10%)心力衰竭或加重已存在的心力衰竭、血压过度下降和(或)直立性低血压、窦性心率过缓、Ⅰ度房室传导阻滞、踝部水肿、面色潮红、皮肤发红和发热；不常见(≥0.1%且＜1%)心悸、心动过速，Ⅱ度及Ⅲ度房室传导阻滞；极罕见(＜0.01%，包括个例报道)心脏窦性停搏。对于安装起搏器的患者，服用本药时，其起搏和感知阈值会升高。还可出现心绞痛、心房颤动、心源性休克、心肌梗死、病态窦房结综合征。</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2.代谢/内分泌系统  不常见糖耐量降低；罕见(≥0.01%且＜0.1%)长期用药的老年患者发生男子乳腺发育；极罕见</w:t>
      </w:r>
      <w:proofErr w:type="gramStart"/>
      <w:r w:rsidRPr="008B04F9">
        <w:rPr>
          <w:rFonts w:ascii="宋体" w:eastAsia="宋体" w:hAnsi="宋体" w:cs="宋体" w:hint="eastAsia"/>
          <w:color w:val="000000"/>
          <w:kern w:val="0"/>
          <w:sz w:val="20"/>
          <w:szCs w:val="20"/>
        </w:rPr>
        <w:t>泌</w:t>
      </w:r>
      <w:proofErr w:type="gramEnd"/>
      <w:r w:rsidRPr="008B04F9">
        <w:rPr>
          <w:rFonts w:ascii="宋体" w:eastAsia="宋体" w:hAnsi="宋体" w:cs="宋体" w:hint="eastAsia"/>
          <w:color w:val="000000"/>
          <w:kern w:val="0"/>
          <w:sz w:val="20"/>
          <w:szCs w:val="20"/>
        </w:rPr>
        <w:t>乳素水平增高、乳漏。还可出现急性间歇性卟啉病、低血糖、脂质异常。</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3.呼吸系统  不常见支气管痉挛。静脉给药可出现呼吸衰竭。还可出现咳嗽、哮喘加重、咽炎、肺水肿、鼻窦炎。</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4.肌肉骨骼系统  罕见关节痛、肌痛、肌无力；极罕见重症肌无力、Lambert-Eaton综合征或晚期</w:t>
      </w:r>
      <w:proofErr w:type="gramStart"/>
      <w:r w:rsidRPr="008B04F9">
        <w:rPr>
          <w:rFonts w:ascii="宋体" w:eastAsia="宋体" w:hAnsi="宋体" w:cs="宋体" w:hint="eastAsia"/>
          <w:color w:val="000000"/>
          <w:kern w:val="0"/>
          <w:sz w:val="20"/>
          <w:szCs w:val="20"/>
        </w:rPr>
        <w:t>杜兴肌</w:t>
      </w:r>
      <w:proofErr w:type="gramEnd"/>
      <w:r w:rsidRPr="008B04F9">
        <w:rPr>
          <w:rFonts w:ascii="宋体" w:eastAsia="宋体" w:hAnsi="宋体" w:cs="宋体" w:hint="eastAsia"/>
          <w:color w:val="000000"/>
          <w:kern w:val="0"/>
          <w:sz w:val="20"/>
          <w:szCs w:val="20"/>
        </w:rPr>
        <w:t>营养不良加重。还可出现痉挛。</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5.泌尿生殖系统  不常见勃起功能障碍。还可出现急性肾衰竭、小便次数增多。</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6.神经系统  常见神经过敏、轻微头痛、感觉异常、神经病、颤抖；不常见眩晕；极罕见锥体外系症状(帕金森氏综合征，舞蹈手足徐动症，肌张力障碍综合征)。也可见脑血管意外、麻木、麻痹、感觉倒错、癫痫、嗜睡。</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7.精神  精神抑郁、神经衰弱、精神错乱、失眠。</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8.肝脏  不常见</w:t>
      </w:r>
      <w:proofErr w:type="gramStart"/>
      <w:r w:rsidRPr="008B04F9">
        <w:rPr>
          <w:rFonts w:ascii="宋体" w:eastAsia="宋体" w:hAnsi="宋体" w:cs="宋体" w:hint="eastAsia"/>
          <w:color w:val="000000"/>
          <w:kern w:val="0"/>
          <w:sz w:val="20"/>
          <w:szCs w:val="20"/>
        </w:rPr>
        <w:t>可逆性肝酶升高</w:t>
      </w:r>
      <w:proofErr w:type="gramEnd"/>
      <w:r w:rsidRPr="008B04F9">
        <w:rPr>
          <w:rFonts w:ascii="宋体" w:eastAsia="宋体" w:hAnsi="宋体" w:cs="宋体" w:hint="eastAsia"/>
          <w:color w:val="000000"/>
          <w:kern w:val="0"/>
          <w:sz w:val="20"/>
          <w:szCs w:val="20"/>
        </w:rPr>
        <w:t>(可能为过敏性肝炎的一种表现)，伴或不伴碱性磷酸酶和胆红素升高。</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9.胃肠道  极常见(≥10%)恶心、干呕、腹胀、便秘；不常见腹部不适、呕吐；极罕见肠梗阻、齿龈增生(齿龈炎、出血)。还可出现消化不良。</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10.血液  血红蛋白降低、血小板聚集下降。</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11.皮肤  罕见紫癜；极罕见血管神经性水肿、史-约综合征(多形性红斑)、日光性皮炎、脱发。也可见皮疹、多汗，还可出现发色改变。</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lastRenderedPageBreak/>
        <w:t>12.眼  旋转性眼球震颠，还可出现视物模糊。</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13.耳  不常见耳鸣。</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14.过敏反应  常见过敏反应，如红斑、瘙痒、风疹、斑丘疹、肢端红痛症。</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15.其他  常见疲劳。也可见外周水肿、乏力。还可出现传染性疾病、流感样症状、撤</w:t>
      </w:r>
      <w:proofErr w:type="gramStart"/>
      <w:r w:rsidRPr="008B04F9">
        <w:rPr>
          <w:rFonts w:ascii="宋体" w:eastAsia="宋体" w:hAnsi="宋体" w:cs="宋体" w:hint="eastAsia"/>
          <w:color w:val="000000"/>
          <w:kern w:val="0"/>
          <w:sz w:val="20"/>
          <w:szCs w:val="20"/>
        </w:rPr>
        <w:t>药症状</w:t>
      </w:r>
      <w:proofErr w:type="gramEnd"/>
      <w:r w:rsidRPr="008B04F9">
        <w:rPr>
          <w:rFonts w:ascii="宋体" w:eastAsia="宋体" w:hAnsi="宋体" w:cs="宋体" w:hint="eastAsia"/>
          <w:color w:val="000000"/>
          <w:kern w:val="0"/>
          <w:sz w:val="20"/>
          <w:szCs w:val="20"/>
        </w:rPr>
        <w:t>(如心绞痛)。</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【药物相互作用】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药物-药物相互作用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1.蛋白结合力高的药物：</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结果：合用可使本药游离型血药浓度增高。</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机制：本药与血浆蛋白高度结合，与其他蛋白结合力高的药物竞争结合血浆蛋白。</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2.细胞色素P</w:t>
      </w:r>
      <w:r w:rsidRPr="008B04F9">
        <w:rPr>
          <w:rFonts w:ascii="宋体" w:eastAsia="宋体" w:hAnsi="宋体" w:cs="宋体" w:hint="eastAsia"/>
          <w:color w:val="000000"/>
          <w:kern w:val="0"/>
          <w:sz w:val="20"/>
          <w:szCs w:val="20"/>
          <w:vertAlign w:val="subscript"/>
        </w:rPr>
        <w:t>450</w:t>
      </w:r>
      <w:r w:rsidRPr="008B04F9">
        <w:rPr>
          <w:rFonts w:ascii="宋体" w:eastAsia="宋体" w:hAnsi="宋体" w:cs="宋体" w:hint="eastAsia"/>
          <w:color w:val="000000"/>
          <w:kern w:val="0"/>
          <w:sz w:val="20"/>
          <w:szCs w:val="20"/>
        </w:rPr>
        <w:t>(CYP) 3A4抑制药[如吡咯类抗真菌药(如克霉</w:t>
      </w:r>
      <w:proofErr w:type="gramStart"/>
      <w:r w:rsidRPr="008B04F9">
        <w:rPr>
          <w:rFonts w:ascii="宋体" w:eastAsia="宋体" w:hAnsi="宋体" w:cs="宋体" w:hint="eastAsia"/>
          <w:color w:val="000000"/>
          <w:kern w:val="0"/>
          <w:sz w:val="20"/>
          <w:szCs w:val="20"/>
        </w:rPr>
        <w:t>唑</w:t>
      </w:r>
      <w:proofErr w:type="gramEnd"/>
      <w:r w:rsidRPr="008B04F9">
        <w:rPr>
          <w:rFonts w:ascii="宋体" w:eastAsia="宋体" w:hAnsi="宋体" w:cs="宋体" w:hint="eastAsia"/>
          <w:color w:val="000000"/>
          <w:kern w:val="0"/>
          <w:sz w:val="20"/>
          <w:szCs w:val="20"/>
        </w:rPr>
        <w:t>、酮康</w:t>
      </w:r>
      <w:proofErr w:type="gramStart"/>
      <w:r w:rsidRPr="008B04F9">
        <w:rPr>
          <w:rFonts w:ascii="宋体" w:eastAsia="宋体" w:hAnsi="宋体" w:cs="宋体" w:hint="eastAsia"/>
          <w:color w:val="000000"/>
          <w:kern w:val="0"/>
          <w:sz w:val="20"/>
          <w:szCs w:val="20"/>
        </w:rPr>
        <w:t>唑</w:t>
      </w:r>
      <w:proofErr w:type="gramEnd"/>
      <w:r w:rsidRPr="008B04F9">
        <w:rPr>
          <w:rFonts w:ascii="宋体" w:eastAsia="宋体" w:hAnsi="宋体" w:cs="宋体" w:hint="eastAsia"/>
          <w:color w:val="000000"/>
          <w:kern w:val="0"/>
          <w:sz w:val="20"/>
          <w:szCs w:val="20"/>
        </w:rPr>
        <w:t>)、蛋白酶抑制药(如利托那韦、</w:t>
      </w:r>
      <w:proofErr w:type="gramStart"/>
      <w:r w:rsidRPr="008B04F9">
        <w:rPr>
          <w:rFonts w:ascii="宋体" w:eastAsia="宋体" w:hAnsi="宋体" w:cs="宋体" w:hint="eastAsia"/>
          <w:color w:val="000000"/>
          <w:kern w:val="0"/>
          <w:sz w:val="20"/>
          <w:szCs w:val="20"/>
        </w:rPr>
        <w:t>茚</w:t>
      </w:r>
      <w:proofErr w:type="gramEnd"/>
      <w:r w:rsidRPr="008B04F9">
        <w:rPr>
          <w:rFonts w:ascii="宋体" w:eastAsia="宋体" w:hAnsi="宋体" w:cs="宋体" w:hint="eastAsia"/>
          <w:color w:val="000000"/>
          <w:kern w:val="0"/>
          <w:sz w:val="20"/>
          <w:szCs w:val="20"/>
        </w:rPr>
        <w:t>地</w:t>
      </w:r>
      <w:proofErr w:type="gramStart"/>
      <w:r w:rsidRPr="008B04F9">
        <w:rPr>
          <w:rFonts w:ascii="宋体" w:eastAsia="宋体" w:hAnsi="宋体" w:cs="宋体" w:hint="eastAsia"/>
          <w:color w:val="000000"/>
          <w:kern w:val="0"/>
          <w:sz w:val="20"/>
          <w:szCs w:val="20"/>
        </w:rPr>
        <w:t>那韦)</w:t>
      </w:r>
      <w:proofErr w:type="gramEnd"/>
      <w:r w:rsidRPr="008B04F9">
        <w:rPr>
          <w:rFonts w:ascii="宋体" w:eastAsia="宋体" w:hAnsi="宋体" w:cs="宋体" w:hint="eastAsia"/>
          <w:color w:val="000000"/>
          <w:kern w:val="0"/>
          <w:sz w:val="20"/>
          <w:szCs w:val="20"/>
        </w:rPr>
        <w:t>、大环内酯类药(如红霉素、克拉霉素)、西</w:t>
      </w:r>
      <w:proofErr w:type="gramStart"/>
      <w:r w:rsidRPr="008B04F9">
        <w:rPr>
          <w:rFonts w:ascii="宋体" w:eastAsia="宋体" w:hAnsi="宋体" w:cs="宋体" w:hint="eastAsia"/>
          <w:color w:val="000000"/>
          <w:kern w:val="0"/>
          <w:sz w:val="20"/>
          <w:szCs w:val="20"/>
        </w:rPr>
        <w:t>咪</w:t>
      </w:r>
      <w:proofErr w:type="gramEnd"/>
      <w:r w:rsidRPr="008B04F9">
        <w:rPr>
          <w:rFonts w:ascii="宋体" w:eastAsia="宋体" w:hAnsi="宋体" w:cs="宋体" w:hint="eastAsia"/>
          <w:color w:val="000000"/>
          <w:kern w:val="0"/>
          <w:sz w:val="20"/>
          <w:szCs w:val="20"/>
        </w:rPr>
        <w:t>替丁、5-羟色胺受体拮抗药(如阿</w:t>
      </w:r>
      <w:proofErr w:type="gramStart"/>
      <w:r w:rsidRPr="008B04F9">
        <w:rPr>
          <w:rFonts w:ascii="宋体" w:eastAsia="宋体" w:hAnsi="宋体" w:cs="宋体" w:hint="eastAsia"/>
          <w:color w:val="000000"/>
          <w:kern w:val="0"/>
          <w:sz w:val="20"/>
          <w:szCs w:val="20"/>
        </w:rPr>
        <w:t>莫曲坦</w:t>
      </w:r>
      <w:proofErr w:type="gramEnd"/>
      <w:r w:rsidRPr="008B04F9">
        <w:rPr>
          <w:rFonts w:ascii="宋体" w:eastAsia="宋体" w:hAnsi="宋体" w:cs="宋体" w:hint="eastAsia"/>
          <w:color w:val="000000"/>
          <w:kern w:val="0"/>
          <w:sz w:val="20"/>
          <w:szCs w:val="20"/>
        </w:rPr>
        <w:t>)、抗抑郁药(如丙</w:t>
      </w:r>
      <w:proofErr w:type="gramStart"/>
      <w:r w:rsidRPr="008B04F9">
        <w:rPr>
          <w:rFonts w:ascii="宋体" w:eastAsia="宋体" w:hAnsi="宋体" w:cs="宋体" w:hint="eastAsia"/>
          <w:color w:val="000000"/>
          <w:kern w:val="0"/>
          <w:sz w:val="20"/>
          <w:szCs w:val="20"/>
        </w:rPr>
        <w:t>咪嗪</w:t>
      </w:r>
      <w:proofErr w:type="gramEnd"/>
      <w:r w:rsidRPr="008B04F9">
        <w:rPr>
          <w:rFonts w:ascii="宋体" w:eastAsia="宋体" w:hAnsi="宋体" w:cs="宋体" w:hint="eastAsia"/>
          <w:color w:val="000000"/>
          <w:kern w:val="0"/>
          <w:sz w:val="20"/>
          <w:szCs w:val="20"/>
        </w:rPr>
        <w:t>)、抗糖尿病药(如格列苯</w:t>
      </w:r>
      <w:proofErr w:type="gramStart"/>
      <w:r w:rsidRPr="008B04F9">
        <w:rPr>
          <w:rFonts w:ascii="宋体" w:eastAsia="宋体" w:hAnsi="宋体" w:cs="宋体" w:hint="eastAsia"/>
          <w:color w:val="000000"/>
          <w:kern w:val="0"/>
          <w:sz w:val="20"/>
          <w:szCs w:val="20"/>
        </w:rPr>
        <w:t>脲</w:t>
      </w:r>
      <w:proofErr w:type="gramEnd"/>
      <w:r w:rsidRPr="008B04F9">
        <w:rPr>
          <w:rFonts w:ascii="宋体" w:eastAsia="宋体" w:hAnsi="宋体" w:cs="宋体" w:hint="eastAsia"/>
          <w:color w:val="000000"/>
          <w:kern w:val="0"/>
          <w:sz w:val="20"/>
          <w:szCs w:val="20"/>
        </w:rPr>
        <w:t>)、苯二</w:t>
      </w:r>
      <w:proofErr w:type="gramStart"/>
      <w:r w:rsidRPr="008B04F9">
        <w:rPr>
          <w:rFonts w:ascii="宋体" w:eastAsia="宋体" w:hAnsi="宋体" w:cs="宋体" w:hint="eastAsia"/>
          <w:color w:val="000000"/>
          <w:kern w:val="0"/>
          <w:sz w:val="20"/>
          <w:szCs w:val="20"/>
        </w:rPr>
        <w:t>氮卓类</w:t>
      </w:r>
      <w:proofErr w:type="gramEnd"/>
      <w:r w:rsidRPr="008B04F9">
        <w:rPr>
          <w:rFonts w:ascii="宋体" w:eastAsia="宋体" w:hAnsi="宋体" w:cs="宋体" w:hint="eastAsia"/>
          <w:color w:val="000000"/>
          <w:kern w:val="0"/>
          <w:sz w:val="20"/>
          <w:szCs w:val="20"/>
        </w:rPr>
        <w:t>和其他抗焦虑药(如</w:t>
      </w:r>
      <w:proofErr w:type="gramStart"/>
      <w:r w:rsidRPr="008B04F9">
        <w:rPr>
          <w:rFonts w:ascii="宋体" w:eastAsia="宋体" w:hAnsi="宋体" w:cs="宋体" w:hint="eastAsia"/>
          <w:color w:val="000000"/>
          <w:kern w:val="0"/>
          <w:sz w:val="20"/>
          <w:szCs w:val="20"/>
        </w:rPr>
        <w:t>丁螺</w:t>
      </w:r>
      <w:proofErr w:type="gramEnd"/>
      <w:r w:rsidRPr="008B04F9">
        <w:rPr>
          <w:rFonts w:ascii="宋体" w:eastAsia="宋体" w:hAnsi="宋体" w:cs="宋体" w:hint="eastAsia"/>
          <w:color w:val="000000"/>
          <w:kern w:val="0"/>
          <w:sz w:val="20"/>
          <w:szCs w:val="20"/>
        </w:rPr>
        <w:t>环酮)]：</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结果：合用可使本药及以上药物的血药浓度均升高。</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机制：本药经CYP 3A4代谢，并可抑制CYP 3A4。</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3.β-肾上腺素受体阻断药：</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结果：合用可增强对房室传导、心率和(或)心脏收缩的抑制作用。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处理：禁止与已用β-肾上腺素受体阻断药的患者合用。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4.丙</w:t>
      </w:r>
      <w:proofErr w:type="gramStart"/>
      <w:r w:rsidRPr="008B04F9">
        <w:rPr>
          <w:rFonts w:ascii="宋体" w:eastAsia="宋体" w:hAnsi="宋体" w:cs="宋体" w:hint="eastAsia"/>
          <w:color w:val="000000"/>
          <w:kern w:val="0"/>
          <w:sz w:val="20"/>
          <w:szCs w:val="20"/>
        </w:rPr>
        <w:t>吡</w:t>
      </w:r>
      <w:proofErr w:type="gramEnd"/>
      <w:r w:rsidRPr="008B04F9">
        <w:rPr>
          <w:rFonts w:ascii="宋体" w:eastAsia="宋体" w:hAnsi="宋体" w:cs="宋体" w:hint="eastAsia"/>
          <w:color w:val="000000"/>
          <w:kern w:val="0"/>
          <w:sz w:val="20"/>
          <w:szCs w:val="20"/>
        </w:rPr>
        <w:t>胺：</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结果：合用可增强本药的负性</w:t>
      </w:r>
      <w:proofErr w:type="gramStart"/>
      <w:r w:rsidRPr="008B04F9">
        <w:rPr>
          <w:rFonts w:ascii="宋体" w:eastAsia="宋体" w:hAnsi="宋体" w:cs="宋体" w:hint="eastAsia"/>
          <w:color w:val="000000"/>
          <w:kern w:val="0"/>
          <w:sz w:val="20"/>
          <w:szCs w:val="20"/>
        </w:rPr>
        <w:t>肌</w:t>
      </w:r>
      <w:proofErr w:type="gramEnd"/>
      <w:r w:rsidRPr="008B04F9">
        <w:rPr>
          <w:rFonts w:ascii="宋体" w:eastAsia="宋体" w:hAnsi="宋体" w:cs="宋体" w:hint="eastAsia"/>
          <w:color w:val="000000"/>
          <w:kern w:val="0"/>
          <w:sz w:val="20"/>
          <w:szCs w:val="20"/>
        </w:rPr>
        <w:t>力作用。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机制：本药与丙</w:t>
      </w:r>
      <w:proofErr w:type="gramStart"/>
      <w:r w:rsidRPr="008B04F9">
        <w:rPr>
          <w:rFonts w:ascii="宋体" w:eastAsia="宋体" w:hAnsi="宋体" w:cs="宋体" w:hint="eastAsia"/>
          <w:color w:val="000000"/>
          <w:kern w:val="0"/>
          <w:sz w:val="20"/>
          <w:szCs w:val="20"/>
        </w:rPr>
        <w:t>吡</w:t>
      </w:r>
      <w:proofErr w:type="gramEnd"/>
      <w:r w:rsidRPr="008B04F9">
        <w:rPr>
          <w:rFonts w:ascii="宋体" w:eastAsia="宋体" w:hAnsi="宋体" w:cs="宋体" w:hint="eastAsia"/>
          <w:color w:val="000000"/>
          <w:kern w:val="0"/>
          <w:sz w:val="20"/>
          <w:szCs w:val="20"/>
        </w:rPr>
        <w:t>胺均具负性</w:t>
      </w:r>
      <w:proofErr w:type="gramStart"/>
      <w:r w:rsidRPr="008B04F9">
        <w:rPr>
          <w:rFonts w:ascii="宋体" w:eastAsia="宋体" w:hAnsi="宋体" w:cs="宋体" w:hint="eastAsia"/>
          <w:color w:val="000000"/>
          <w:kern w:val="0"/>
          <w:sz w:val="20"/>
          <w:szCs w:val="20"/>
        </w:rPr>
        <w:t>肌</w:t>
      </w:r>
      <w:proofErr w:type="gramEnd"/>
      <w:r w:rsidRPr="008B04F9">
        <w:rPr>
          <w:rFonts w:ascii="宋体" w:eastAsia="宋体" w:hAnsi="宋体" w:cs="宋体" w:hint="eastAsia"/>
          <w:color w:val="000000"/>
          <w:kern w:val="0"/>
          <w:sz w:val="20"/>
          <w:szCs w:val="20"/>
        </w:rPr>
        <w:t>力作用。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处理：给予本药前48小时内或给药后24小时不可使用丙</w:t>
      </w:r>
      <w:proofErr w:type="gramStart"/>
      <w:r w:rsidRPr="008B04F9">
        <w:rPr>
          <w:rFonts w:ascii="宋体" w:eastAsia="宋体" w:hAnsi="宋体" w:cs="宋体" w:hint="eastAsia"/>
          <w:color w:val="000000"/>
          <w:kern w:val="0"/>
          <w:sz w:val="20"/>
          <w:szCs w:val="20"/>
        </w:rPr>
        <w:t>吡</w:t>
      </w:r>
      <w:proofErr w:type="gramEnd"/>
      <w:r w:rsidRPr="008B04F9">
        <w:rPr>
          <w:rFonts w:ascii="宋体" w:eastAsia="宋体" w:hAnsi="宋体" w:cs="宋体" w:hint="eastAsia"/>
          <w:color w:val="000000"/>
          <w:kern w:val="0"/>
          <w:sz w:val="20"/>
          <w:szCs w:val="20"/>
        </w:rPr>
        <w:t>胺。</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5.抗高血压药(如血管扩张药、血管紧张素转换酶抑制药、利尿药等)：</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结果：与以上药物合用时降压作用叠加。</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处理：应适当监测联合降压治疗的患者，须调整本药剂量。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6.</w:t>
      </w:r>
      <w:proofErr w:type="gramStart"/>
      <w:r w:rsidRPr="008B04F9">
        <w:rPr>
          <w:rFonts w:ascii="宋体" w:eastAsia="宋体" w:hAnsi="宋体" w:cs="宋体" w:hint="eastAsia"/>
          <w:color w:val="000000"/>
          <w:kern w:val="0"/>
          <w:sz w:val="20"/>
          <w:szCs w:val="20"/>
        </w:rPr>
        <w:t>氟卡尼</w:t>
      </w:r>
      <w:proofErr w:type="gramEnd"/>
      <w:r w:rsidRPr="008B04F9">
        <w:rPr>
          <w:rFonts w:ascii="宋体" w:eastAsia="宋体" w:hAnsi="宋体" w:cs="宋体" w:hint="eastAsia"/>
          <w:color w:val="000000"/>
          <w:kern w:val="0"/>
          <w:sz w:val="20"/>
          <w:szCs w:val="20"/>
        </w:rPr>
        <w:t>：</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结果：合用对心肌收缩力、房室传导和复极化有叠加作用。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7.吸入性麻醉药：</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结果：合用可致过度的心脏抑制。</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处理：吸入性麻醉药可通过减少钙离子内流而抑制心血管活性。</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lastRenderedPageBreak/>
        <w:t>处理：合用时需仔细调整两药剂量。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8.减弱肾上腺素的药物：</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结果：合用可导致低血压效应增强。</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9.阿司匹林：</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结果：合用可增加出血倾向。</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10.可乐定：</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结果：合用可使窦性心动过缓的发生率升高，且需住院治疗和安装起搏器。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处理：合用时应监测心率。</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11.地高辛、洋地黄：</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结果：长期使用本药可使地高辛的血药浓度增加50%-75%，增加地高辛毒性。并可明显影响肝硬化患者的地高辛的药代动力学。合用可使洋地黄的血药浓度升高，增加洋地黄中毒的风险。</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机制：本药可降低以上药物经肾脏和(或)肾外的清除。可使肝硬化患者的地高辛的总清除率和肾外清除率分别减少27%和29%。</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处理：以上药物与本药口服制剂合用时须减少地高辛或洋地黄的剂量；本药的注射剂禁止与洋地黄合用。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12.CYP 3A4的作用底物[如抗心律失常药(如胺碘酮、奎尼丁)、咪达唑仑、环</w:t>
      </w:r>
      <w:proofErr w:type="gramStart"/>
      <w:r w:rsidRPr="008B04F9">
        <w:rPr>
          <w:rFonts w:ascii="宋体" w:eastAsia="宋体" w:hAnsi="宋体" w:cs="宋体" w:hint="eastAsia"/>
          <w:color w:val="000000"/>
          <w:kern w:val="0"/>
          <w:sz w:val="20"/>
          <w:szCs w:val="20"/>
        </w:rPr>
        <w:t>孢</w:t>
      </w:r>
      <w:proofErr w:type="gramEnd"/>
      <w:r w:rsidRPr="008B04F9">
        <w:rPr>
          <w:rFonts w:ascii="宋体" w:eastAsia="宋体" w:hAnsi="宋体" w:cs="宋体" w:hint="eastAsia"/>
          <w:color w:val="000000"/>
          <w:kern w:val="0"/>
          <w:sz w:val="20"/>
          <w:szCs w:val="20"/>
        </w:rPr>
        <w:t>素、依维莫司、西罗莫司、他</w:t>
      </w:r>
      <w:proofErr w:type="gramStart"/>
      <w:r w:rsidRPr="008B04F9">
        <w:rPr>
          <w:rFonts w:ascii="宋体" w:eastAsia="宋体" w:hAnsi="宋体" w:cs="宋体" w:hint="eastAsia"/>
          <w:color w:val="000000"/>
          <w:kern w:val="0"/>
          <w:sz w:val="20"/>
          <w:szCs w:val="20"/>
        </w:rPr>
        <w:t>克莫司</w:t>
      </w:r>
      <w:proofErr w:type="gramEnd"/>
      <w:r w:rsidRPr="008B04F9">
        <w:rPr>
          <w:rFonts w:ascii="宋体" w:eastAsia="宋体" w:hAnsi="宋体" w:cs="宋体" w:hint="eastAsia"/>
          <w:color w:val="000000"/>
          <w:kern w:val="0"/>
          <w:sz w:val="20"/>
          <w:szCs w:val="20"/>
        </w:rPr>
        <w:t>、茶碱、</w:t>
      </w:r>
      <w:proofErr w:type="gramStart"/>
      <w:r w:rsidRPr="008B04F9">
        <w:rPr>
          <w:rFonts w:ascii="宋体" w:eastAsia="宋体" w:hAnsi="宋体" w:cs="宋体" w:hint="eastAsia"/>
          <w:color w:val="000000"/>
          <w:kern w:val="0"/>
          <w:sz w:val="20"/>
          <w:szCs w:val="20"/>
        </w:rPr>
        <w:t>哌唑嗪</w:t>
      </w:r>
      <w:proofErr w:type="gramEnd"/>
      <w:r w:rsidRPr="008B04F9">
        <w:rPr>
          <w:rFonts w:ascii="宋体" w:eastAsia="宋体" w:hAnsi="宋体" w:cs="宋体" w:hint="eastAsia"/>
          <w:color w:val="000000"/>
          <w:kern w:val="0"/>
          <w:sz w:val="20"/>
          <w:szCs w:val="20"/>
        </w:rPr>
        <w:t>、特拉</w:t>
      </w:r>
      <w:proofErr w:type="gramStart"/>
      <w:r w:rsidRPr="008B04F9">
        <w:rPr>
          <w:rFonts w:ascii="宋体" w:eastAsia="宋体" w:hAnsi="宋体" w:cs="宋体" w:hint="eastAsia"/>
          <w:color w:val="000000"/>
          <w:kern w:val="0"/>
          <w:sz w:val="20"/>
          <w:szCs w:val="20"/>
        </w:rPr>
        <w:t>唑嗪</w:t>
      </w:r>
      <w:proofErr w:type="gramEnd"/>
      <w:r w:rsidRPr="008B04F9">
        <w:rPr>
          <w:rFonts w:ascii="宋体" w:eastAsia="宋体" w:hAnsi="宋体" w:cs="宋体" w:hint="eastAsia"/>
          <w:color w:val="000000"/>
          <w:kern w:val="0"/>
          <w:sz w:val="20"/>
          <w:szCs w:val="20"/>
        </w:rPr>
        <w:t>]：</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结果：合用可增加以上药物的血浆浓度。与胺碘酮合用可增加心脏毒性。与奎尼丁合用可能发生血压过度降低，梗阻性肥厚型心肌病患者可能出现肺水肿。</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机制：本药可抑制CYP 3A4</w:t>
      </w:r>
      <w:proofErr w:type="gramStart"/>
      <w:r w:rsidRPr="008B04F9">
        <w:rPr>
          <w:rFonts w:ascii="宋体" w:eastAsia="宋体" w:hAnsi="宋体" w:cs="宋体" w:hint="eastAsia"/>
          <w:color w:val="000000"/>
          <w:kern w:val="0"/>
          <w:sz w:val="20"/>
          <w:szCs w:val="20"/>
        </w:rPr>
        <w:t>介</w:t>
      </w:r>
      <w:proofErr w:type="gramEnd"/>
      <w:r w:rsidRPr="008B04F9">
        <w:rPr>
          <w:rFonts w:ascii="宋体" w:eastAsia="宋体" w:hAnsi="宋体" w:cs="宋体" w:hint="eastAsia"/>
          <w:color w:val="000000"/>
          <w:kern w:val="0"/>
          <w:sz w:val="20"/>
          <w:szCs w:val="20"/>
        </w:rPr>
        <w:t>导的以上药物的代谢。</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13.秋水仙碱：</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结果：合用可升高秋水仙碱的血药浓度。</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机制：秋水仙碱既是CYP 3A4的底物，也是外排性转运蛋白P-糖蛋白(P-</w:t>
      </w:r>
      <w:proofErr w:type="spellStart"/>
      <w:r w:rsidRPr="008B04F9">
        <w:rPr>
          <w:rFonts w:ascii="宋体" w:eastAsia="宋体" w:hAnsi="宋体" w:cs="宋体" w:hint="eastAsia"/>
          <w:color w:val="000000"/>
          <w:kern w:val="0"/>
          <w:sz w:val="20"/>
          <w:szCs w:val="20"/>
        </w:rPr>
        <w:t>gp</w:t>
      </w:r>
      <w:proofErr w:type="spellEnd"/>
      <w:r w:rsidRPr="008B04F9">
        <w:rPr>
          <w:rFonts w:ascii="宋体" w:eastAsia="宋体" w:hAnsi="宋体" w:cs="宋体" w:hint="eastAsia"/>
          <w:color w:val="000000"/>
          <w:kern w:val="0"/>
          <w:sz w:val="20"/>
          <w:szCs w:val="20"/>
        </w:rPr>
        <w:t>)的底物，维拉帕米可抑制CYP 3A4及P-</w:t>
      </w:r>
      <w:proofErr w:type="spellStart"/>
      <w:r w:rsidRPr="008B04F9">
        <w:rPr>
          <w:rFonts w:ascii="宋体" w:eastAsia="宋体" w:hAnsi="宋体" w:cs="宋体" w:hint="eastAsia"/>
          <w:color w:val="000000"/>
          <w:kern w:val="0"/>
          <w:sz w:val="20"/>
          <w:szCs w:val="20"/>
        </w:rPr>
        <w:t>gp</w:t>
      </w:r>
      <w:proofErr w:type="spellEnd"/>
      <w:r w:rsidRPr="008B04F9">
        <w:rPr>
          <w:rFonts w:ascii="宋体" w:eastAsia="宋体" w:hAnsi="宋体" w:cs="宋体" w:hint="eastAsia"/>
          <w:color w:val="000000"/>
          <w:kern w:val="0"/>
          <w:sz w:val="20"/>
          <w:szCs w:val="20"/>
        </w:rPr>
        <w:t>。</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处理：不推荐合用。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14.</w:t>
      </w:r>
      <w:proofErr w:type="gramStart"/>
      <w:r w:rsidRPr="008B04F9">
        <w:rPr>
          <w:rFonts w:ascii="宋体" w:eastAsia="宋体" w:hAnsi="宋体" w:cs="宋体" w:hint="eastAsia"/>
          <w:color w:val="000000"/>
          <w:kern w:val="0"/>
          <w:sz w:val="20"/>
          <w:szCs w:val="20"/>
        </w:rPr>
        <w:t>羟</w:t>
      </w:r>
      <w:proofErr w:type="gramEnd"/>
      <w:r w:rsidRPr="008B04F9">
        <w:rPr>
          <w:rFonts w:ascii="宋体" w:eastAsia="宋体" w:hAnsi="宋体" w:cs="宋体" w:hint="eastAsia"/>
          <w:color w:val="000000"/>
          <w:kern w:val="0"/>
          <w:sz w:val="20"/>
          <w:szCs w:val="20"/>
        </w:rPr>
        <w:t>甲基戊二</w:t>
      </w:r>
      <w:proofErr w:type="gramStart"/>
      <w:r w:rsidRPr="008B04F9">
        <w:rPr>
          <w:rFonts w:ascii="宋体" w:eastAsia="宋体" w:hAnsi="宋体" w:cs="宋体" w:hint="eastAsia"/>
          <w:color w:val="000000"/>
          <w:kern w:val="0"/>
          <w:sz w:val="20"/>
          <w:szCs w:val="20"/>
        </w:rPr>
        <w:t>酸单酰</w:t>
      </w:r>
      <w:proofErr w:type="gramEnd"/>
      <w:r w:rsidRPr="008B04F9">
        <w:rPr>
          <w:rFonts w:ascii="宋体" w:eastAsia="宋体" w:hAnsi="宋体" w:cs="宋体" w:hint="eastAsia"/>
          <w:color w:val="000000"/>
          <w:kern w:val="0"/>
          <w:sz w:val="20"/>
          <w:szCs w:val="20"/>
        </w:rPr>
        <w:t>辅酶A(HMG-CoA)还原酶抑制药(辛伐他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、阿托伐他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w:t>
      </w:r>
      <w:proofErr w:type="gramStart"/>
      <w:r w:rsidRPr="008B04F9">
        <w:rPr>
          <w:rFonts w:ascii="宋体" w:eastAsia="宋体" w:hAnsi="宋体" w:cs="宋体" w:hint="eastAsia"/>
          <w:color w:val="000000"/>
          <w:kern w:val="0"/>
          <w:sz w:val="20"/>
          <w:szCs w:val="20"/>
        </w:rPr>
        <w:t>洛</w:t>
      </w:r>
      <w:proofErr w:type="gramEnd"/>
      <w:r w:rsidRPr="008B04F9">
        <w:rPr>
          <w:rFonts w:ascii="宋体" w:eastAsia="宋体" w:hAnsi="宋体" w:cs="宋体" w:hint="eastAsia"/>
          <w:color w:val="000000"/>
          <w:kern w:val="0"/>
          <w:sz w:val="20"/>
          <w:szCs w:val="20"/>
        </w:rPr>
        <w:t>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、氟伐他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、普伐他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w:t>
      </w:r>
      <w:proofErr w:type="gramStart"/>
      <w:r w:rsidRPr="008B04F9">
        <w:rPr>
          <w:rFonts w:ascii="宋体" w:eastAsia="宋体" w:hAnsi="宋体" w:cs="宋体" w:hint="eastAsia"/>
          <w:color w:val="000000"/>
          <w:kern w:val="0"/>
          <w:sz w:val="20"/>
          <w:szCs w:val="20"/>
        </w:rPr>
        <w:t>瑞舒伐他汀</w:t>
      </w:r>
      <w:proofErr w:type="gramEnd"/>
      <w:r w:rsidRPr="008B04F9">
        <w:rPr>
          <w:rFonts w:ascii="宋体" w:eastAsia="宋体" w:hAnsi="宋体" w:cs="宋体" w:hint="eastAsia"/>
          <w:color w:val="000000"/>
          <w:kern w:val="0"/>
          <w:sz w:val="20"/>
          <w:szCs w:val="20"/>
        </w:rPr>
        <w:t>)：</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结果：合用可升高辛伐他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、阿托伐他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w:t>
      </w:r>
      <w:proofErr w:type="gramStart"/>
      <w:r w:rsidRPr="008B04F9">
        <w:rPr>
          <w:rFonts w:ascii="宋体" w:eastAsia="宋体" w:hAnsi="宋体" w:cs="宋体" w:hint="eastAsia"/>
          <w:color w:val="000000"/>
          <w:kern w:val="0"/>
          <w:sz w:val="20"/>
          <w:szCs w:val="20"/>
        </w:rPr>
        <w:t>洛</w:t>
      </w:r>
      <w:proofErr w:type="gramEnd"/>
      <w:r w:rsidRPr="008B04F9">
        <w:rPr>
          <w:rFonts w:ascii="宋体" w:eastAsia="宋体" w:hAnsi="宋体" w:cs="宋体" w:hint="eastAsia"/>
          <w:color w:val="000000"/>
          <w:kern w:val="0"/>
          <w:sz w:val="20"/>
          <w:szCs w:val="20"/>
        </w:rPr>
        <w:t>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的血药浓度。较高剂量的维拉帕米和</w:t>
      </w:r>
      <w:proofErr w:type="gramStart"/>
      <w:r w:rsidRPr="008B04F9">
        <w:rPr>
          <w:rFonts w:ascii="宋体" w:eastAsia="宋体" w:hAnsi="宋体" w:cs="宋体" w:hint="eastAsia"/>
          <w:color w:val="000000"/>
          <w:kern w:val="0"/>
          <w:sz w:val="20"/>
          <w:szCs w:val="20"/>
        </w:rPr>
        <w:t>辛伐</w:t>
      </w:r>
      <w:proofErr w:type="gramEnd"/>
      <w:r w:rsidRPr="008B04F9">
        <w:rPr>
          <w:rFonts w:ascii="宋体" w:eastAsia="宋体" w:hAnsi="宋体" w:cs="宋体" w:hint="eastAsia"/>
          <w:color w:val="000000"/>
          <w:kern w:val="0"/>
          <w:sz w:val="20"/>
          <w:szCs w:val="20"/>
        </w:rPr>
        <w:t>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合用时，可增加肌病/横纹肌溶解的风险。氟伐他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、普伐他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w:t>
      </w:r>
      <w:proofErr w:type="gramStart"/>
      <w:r w:rsidRPr="008B04F9">
        <w:rPr>
          <w:rFonts w:ascii="宋体" w:eastAsia="宋体" w:hAnsi="宋体" w:cs="宋体" w:hint="eastAsia"/>
          <w:color w:val="000000"/>
          <w:kern w:val="0"/>
          <w:sz w:val="20"/>
          <w:szCs w:val="20"/>
        </w:rPr>
        <w:t>瑞舒伐他汀</w:t>
      </w:r>
      <w:proofErr w:type="gramEnd"/>
      <w:r w:rsidRPr="008B04F9">
        <w:rPr>
          <w:rFonts w:ascii="宋体" w:eastAsia="宋体" w:hAnsi="宋体" w:cs="宋体" w:hint="eastAsia"/>
          <w:color w:val="000000"/>
          <w:kern w:val="0"/>
          <w:sz w:val="20"/>
          <w:szCs w:val="20"/>
        </w:rPr>
        <w:t>与本</w:t>
      </w:r>
      <w:proofErr w:type="gramStart"/>
      <w:r w:rsidRPr="008B04F9">
        <w:rPr>
          <w:rFonts w:ascii="宋体" w:eastAsia="宋体" w:hAnsi="宋体" w:cs="宋体" w:hint="eastAsia"/>
          <w:color w:val="000000"/>
          <w:kern w:val="0"/>
          <w:sz w:val="20"/>
          <w:szCs w:val="20"/>
        </w:rPr>
        <w:t>药发生</w:t>
      </w:r>
      <w:proofErr w:type="gramEnd"/>
      <w:r w:rsidRPr="008B04F9">
        <w:rPr>
          <w:rFonts w:ascii="宋体" w:eastAsia="宋体" w:hAnsi="宋体" w:cs="宋体" w:hint="eastAsia"/>
          <w:color w:val="000000"/>
          <w:kern w:val="0"/>
          <w:sz w:val="20"/>
          <w:szCs w:val="20"/>
        </w:rPr>
        <w:t>相互作用的可能性较小。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机制：本药可抑制CYP 3A4</w:t>
      </w:r>
      <w:proofErr w:type="gramStart"/>
      <w:r w:rsidRPr="008B04F9">
        <w:rPr>
          <w:rFonts w:ascii="宋体" w:eastAsia="宋体" w:hAnsi="宋体" w:cs="宋体" w:hint="eastAsia"/>
          <w:color w:val="000000"/>
          <w:kern w:val="0"/>
          <w:sz w:val="20"/>
          <w:szCs w:val="20"/>
        </w:rPr>
        <w:t>介</w:t>
      </w:r>
      <w:proofErr w:type="gramEnd"/>
      <w:r w:rsidRPr="008B04F9">
        <w:rPr>
          <w:rFonts w:ascii="宋体" w:eastAsia="宋体" w:hAnsi="宋体" w:cs="宋体" w:hint="eastAsia"/>
          <w:color w:val="000000"/>
          <w:kern w:val="0"/>
          <w:sz w:val="20"/>
          <w:szCs w:val="20"/>
        </w:rPr>
        <w:t>导的辛伐他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、阿托伐他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w:t>
      </w:r>
      <w:proofErr w:type="gramStart"/>
      <w:r w:rsidRPr="008B04F9">
        <w:rPr>
          <w:rFonts w:ascii="宋体" w:eastAsia="宋体" w:hAnsi="宋体" w:cs="宋体" w:hint="eastAsia"/>
          <w:color w:val="000000"/>
          <w:kern w:val="0"/>
          <w:sz w:val="20"/>
          <w:szCs w:val="20"/>
        </w:rPr>
        <w:t>洛</w:t>
      </w:r>
      <w:proofErr w:type="gramEnd"/>
      <w:r w:rsidRPr="008B04F9">
        <w:rPr>
          <w:rFonts w:ascii="宋体" w:eastAsia="宋体" w:hAnsi="宋体" w:cs="宋体" w:hint="eastAsia"/>
          <w:color w:val="000000"/>
          <w:kern w:val="0"/>
          <w:sz w:val="20"/>
          <w:szCs w:val="20"/>
        </w:rPr>
        <w:t>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的代谢。氟伐他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、普伐他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w:t>
      </w:r>
      <w:proofErr w:type="gramStart"/>
      <w:r w:rsidRPr="008B04F9">
        <w:rPr>
          <w:rFonts w:ascii="宋体" w:eastAsia="宋体" w:hAnsi="宋体" w:cs="宋体" w:hint="eastAsia"/>
          <w:color w:val="000000"/>
          <w:kern w:val="0"/>
          <w:sz w:val="20"/>
          <w:szCs w:val="20"/>
        </w:rPr>
        <w:t>瑞舒伐他汀</w:t>
      </w:r>
      <w:proofErr w:type="gramEnd"/>
      <w:r w:rsidRPr="008B04F9">
        <w:rPr>
          <w:rFonts w:ascii="宋体" w:eastAsia="宋体" w:hAnsi="宋体" w:cs="宋体" w:hint="eastAsia"/>
          <w:color w:val="000000"/>
          <w:kern w:val="0"/>
          <w:sz w:val="20"/>
          <w:szCs w:val="20"/>
        </w:rPr>
        <w:t>不通过CYP 3A4代谢。</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处理：合用</w:t>
      </w:r>
      <w:proofErr w:type="gramStart"/>
      <w:r w:rsidRPr="008B04F9">
        <w:rPr>
          <w:rFonts w:ascii="宋体" w:eastAsia="宋体" w:hAnsi="宋体" w:cs="宋体" w:hint="eastAsia"/>
          <w:color w:val="000000"/>
          <w:kern w:val="0"/>
          <w:sz w:val="20"/>
          <w:szCs w:val="20"/>
        </w:rPr>
        <w:t>时辛伐他汀</w:t>
      </w:r>
      <w:proofErr w:type="gramEnd"/>
      <w:r w:rsidRPr="008B04F9">
        <w:rPr>
          <w:rFonts w:ascii="宋体" w:eastAsia="宋体" w:hAnsi="宋体" w:cs="宋体" w:hint="eastAsia"/>
          <w:color w:val="000000"/>
          <w:kern w:val="0"/>
          <w:sz w:val="20"/>
          <w:szCs w:val="20"/>
        </w:rPr>
        <w:t>、阿托伐他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w:t>
      </w:r>
      <w:proofErr w:type="gramStart"/>
      <w:r w:rsidRPr="008B04F9">
        <w:rPr>
          <w:rFonts w:ascii="宋体" w:eastAsia="宋体" w:hAnsi="宋体" w:cs="宋体" w:hint="eastAsia"/>
          <w:color w:val="000000"/>
          <w:kern w:val="0"/>
          <w:sz w:val="20"/>
          <w:szCs w:val="20"/>
        </w:rPr>
        <w:t>洛</w:t>
      </w:r>
      <w:proofErr w:type="gramEnd"/>
      <w:r w:rsidRPr="008B04F9">
        <w:rPr>
          <w:rFonts w:ascii="宋体" w:eastAsia="宋体" w:hAnsi="宋体" w:cs="宋体" w:hint="eastAsia"/>
          <w:color w:val="000000"/>
          <w:kern w:val="0"/>
          <w:sz w:val="20"/>
          <w:szCs w:val="20"/>
        </w:rPr>
        <w:t>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应从可能的最低的剂量开始，然后逐渐向上调整。已经服用辛伐他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、阿托伐他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w:t>
      </w:r>
      <w:proofErr w:type="gramStart"/>
      <w:r w:rsidRPr="008B04F9">
        <w:rPr>
          <w:rFonts w:ascii="宋体" w:eastAsia="宋体" w:hAnsi="宋体" w:cs="宋体" w:hint="eastAsia"/>
          <w:color w:val="000000"/>
          <w:kern w:val="0"/>
          <w:sz w:val="20"/>
          <w:szCs w:val="20"/>
        </w:rPr>
        <w:t>洛</w:t>
      </w:r>
      <w:proofErr w:type="gramEnd"/>
      <w:r w:rsidRPr="008B04F9">
        <w:rPr>
          <w:rFonts w:ascii="宋体" w:eastAsia="宋体" w:hAnsi="宋体" w:cs="宋体" w:hint="eastAsia"/>
          <w:color w:val="000000"/>
          <w:kern w:val="0"/>
          <w:sz w:val="20"/>
          <w:szCs w:val="20"/>
        </w:rPr>
        <w:t>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的患者，如果准备加用维拉帕米，应考虑降低辛伐他</w:t>
      </w:r>
      <w:proofErr w:type="gramStart"/>
      <w:r w:rsidRPr="008B04F9">
        <w:rPr>
          <w:rFonts w:ascii="宋体" w:eastAsia="宋体" w:hAnsi="宋体" w:cs="宋体" w:hint="eastAsia"/>
          <w:color w:val="000000"/>
          <w:kern w:val="0"/>
          <w:sz w:val="20"/>
          <w:szCs w:val="20"/>
        </w:rPr>
        <w:lastRenderedPageBreak/>
        <w:t>汀</w:t>
      </w:r>
      <w:proofErr w:type="gramEnd"/>
      <w:r w:rsidRPr="008B04F9">
        <w:rPr>
          <w:rFonts w:ascii="宋体" w:eastAsia="宋体" w:hAnsi="宋体" w:cs="宋体" w:hint="eastAsia"/>
          <w:color w:val="000000"/>
          <w:kern w:val="0"/>
          <w:sz w:val="20"/>
          <w:szCs w:val="20"/>
        </w:rPr>
        <w:t>、阿托伐他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w:t>
      </w:r>
      <w:proofErr w:type="gramStart"/>
      <w:r w:rsidRPr="008B04F9">
        <w:rPr>
          <w:rFonts w:ascii="宋体" w:eastAsia="宋体" w:hAnsi="宋体" w:cs="宋体" w:hint="eastAsia"/>
          <w:color w:val="000000"/>
          <w:kern w:val="0"/>
          <w:sz w:val="20"/>
          <w:szCs w:val="20"/>
        </w:rPr>
        <w:t>洛</w:t>
      </w:r>
      <w:proofErr w:type="gramEnd"/>
      <w:r w:rsidRPr="008B04F9">
        <w:rPr>
          <w:rFonts w:ascii="宋体" w:eastAsia="宋体" w:hAnsi="宋体" w:cs="宋体" w:hint="eastAsia"/>
          <w:color w:val="000000"/>
          <w:kern w:val="0"/>
          <w:sz w:val="20"/>
          <w:szCs w:val="20"/>
        </w:rPr>
        <w:t>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的剂量，并根据血清胆固醇浓度重新调整剂量。合用</w:t>
      </w:r>
      <w:proofErr w:type="gramStart"/>
      <w:r w:rsidRPr="008B04F9">
        <w:rPr>
          <w:rFonts w:ascii="宋体" w:eastAsia="宋体" w:hAnsi="宋体" w:cs="宋体" w:hint="eastAsia"/>
          <w:color w:val="000000"/>
          <w:kern w:val="0"/>
          <w:sz w:val="20"/>
          <w:szCs w:val="20"/>
        </w:rPr>
        <w:t>时辛伐他汀</w:t>
      </w:r>
      <w:proofErr w:type="gramEnd"/>
      <w:r w:rsidRPr="008B04F9">
        <w:rPr>
          <w:rFonts w:ascii="宋体" w:eastAsia="宋体" w:hAnsi="宋体" w:cs="宋体" w:hint="eastAsia"/>
          <w:color w:val="000000"/>
          <w:kern w:val="0"/>
          <w:sz w:val="20"/>
          <w:szCs w:val="20"/>
        </w:rPr>
        <w:t>的剂量应限制在一日10mg，</w:t>
      </w:r>
      <w:proofErr w:type="gramStart"/>
      <w:r w:rsidRPr="008B04F9">
        <w:rPr>
          <w:rFonts w:ascii="宋体" w:eastAsia="宋体" w:hAnsi="宋体" w:cs="宋体" w:hint="eastAsia"/>
          <w:color w:val="000000"/>
          <w:kern w:val="0"/>
          <w:sz w:val="20"/>
          <w:szCs w:val="20"/>
        </w:rPr>
        <w:t>洛</w:t>
      </w:r>
      <w:proofErr w:type="gramEnd"/>
      <w:r w:rsidRPr="008B04F9">
        <w:rPr>
          <w:rFonts w:ascii="宋体" w:eastAsia="宋体" w:hAnsi="宋体" w:cs="宋体" w:hint="eastAsia"/>
          <w:color w:val="000000"/>
          <w:kern w:val="0"/>
          <w:sz w:val="20"/>
          <w:szCs w:val="20"/>
        </w:rPr>
        <w:t>伐他</w:t>
      </w:r>
      <w:proofErr w:type="gramStart"/>
      <w:r w:rsidRPr="008B04F9">
        <w:rPr>
          <w:rFonts w:ascii="宋体" w:eastAsia="宋体" w:hAnsi="宋体" w:cs="宋体" w:hint="eastAsia"/>
          <w:color w:val="000000"/>
          <w:kern w:val="0"/>
          <w:sz w:val="20"/>
          <w:szCs w:val="20"/>
        </w:rPr>
        <w:t>汀</w:t>
      </w:r>
      <w:proofErr w:type="gramEnd"/>
      <w:r w:rsidRPr="008B04F9">
        <w:rPr>
          <w:rFonts w:ascii="宋体" w:eastAsia="宋体" w:hAnsi="宋体" w:cs="宋体" w:hint="eastAsia"/>
          <w:color w:val="000000"/>
          <w:kern w:val="0"/>
          <w:sz w:val="20"/>
          <w:szCs w:val="20"/>
        </w:rPr>
        <w:t>的剂量应限制在一日40mg。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15.锂剂：</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结果：合用可减弱锂的药物作用，增加锂的神经毒性。</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16.神经肌肉阻滞药：</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结果：合用时可增强神经肌肉阻滞药的活性。</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处理：合用时应减少本药和(或)神经肌肉阻滞药的剂量。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17.乙内酰脲、维生素D、</w:t>
      </w:r>
      <w:proofErr w:type="gramStart"/>
      <w:r w:rsidRPr="008B04F9">
        <w:rPr>
          <w:rFonts w:ascii="宋体" w:eastAsia="宋体" w:hAnsi="宋体" w:cs="宋体" w:hint="eastAsia"/>
          <w:color w:val="000000"/>
          <w:kern w:val="0"/>
          <w:sz w:val="20"/>
          <w:szCs w:val="20"/>
        </w:rPr>
        <w:t>磺吡</w:t>
      </w:r>
      <w:proofErr w:type="gramEnd"/>
      <w:r w:rsidRPr="008B04F9">
        <w:rPr>
          <w:rFonts w:ascii="宋体" w:eastAsia="宋体" w:hAnsi="宋体" w:cs="宋体" w:hint="eastAsia"/>
          <w:color w:val="000000"/>
          <w:kern w:val="0"/>
          <w:sz w:val="20"/>
          <w:szCs w:val="20"/>
        </w:rPr>
        <w:t>酮和异烟肼：</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结果：以上药物可降低本药的血药浓度。</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机制：以上药物可增加肝脏代谢。</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18.CYP 3A4诱导药[如苯妥英、利福平、苯巴比妥、卡马西平、排尿酸药(如</w:t>
      </w:r>
      <w:proofErr w:type="gramStart"/>
      <w:r w:rsidRPr="008B04F9">
        <w:rPr>
          <w:rFonts w:ascii="宋体" w:eastAsia="宋体" w:hAnsi="宋体" w:cs="宋体" w:hint="eastAsia"/>
          <w:color w:val="000000"/>
          <w:kern w:val="0"/>
          <w:sz w:val="20"/>
          <w:szCs w:val="20"/>
        </w:rPr>
        <w:t>磺吡</w:t>
      </w:r>
      <w:proofErr w:type="gramEnd"/>
      <w:r w:rsidRPr="008B04F9">
        <w:rPr>
          <w:rFonts w:ascii="宋体" w:eastAsia="宋体" w:hAnsi="宋体" w:cs="宋体" w:hint="eastAsia"/>
          <w:color w:val="000000"/>
          <w:kern w:val="0"/>
          <w:sz w:val="20"/>
          <w:szCs w:val="20"/>
        </w:rPr>
        <w:t>酮)、金丝桃属植物(</w:t>
      </w:r>
      <w:proofErr w:type="gramStart"/>
      <w:r w:rsidRPr="008B04F9">
        <w:rPr>
          <w:rFonts w:ascii="宋体" w:eastAsia="宋体" w:hAnsi="宋体" w:cs="宋体" w:hint="eastAsia"/>
          <w:color w:val="000000"/>
          <w:kern w:val="0"/>
          <w:sz w:val="20"/>
          <w:szCs w:val="20"/>
        </w:rPr>
        <w:t>贯叶连翘</w:t>
      </w:r>
      <w:proofErr w:type="gramEnd"/>
      <w:r w:rsidRPr="008B04F9">
        <w:rPr>
          <w:rFonts w:ascii="宋体" w:eastAsia="宋体" w:hAnsi="宋体" w:cs="宋体" w:hint="eastAsia"/>
          <w:color w:val="000000"/>
          <w:kern w:val="0"/>
          <w:sz w:val="20"/>
          <w:szCs w:val="20"/>
        </w:rPr>
        <w:t>提取物)]：</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结果：合用可降低本药的血药浓度，减弱本药疗效。与卡马西平合用可增强卡马西平的作用，增加其神经毒性。</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机制：本药经CYP 3A4代谢，并可抑制CYP 3A4。</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19.细胞毒性药物(如环磷酰胺、长春新碱、甲基</w:t>
      </w:r>
      <w:proofErr w:type="gramStart"/>
      <w:r w:rsidRPr="008B04F9">
        <w:rPr>
          <w:rFonts w:ascii="宋体" w:eastAsia="宋体" w:hAnsi="宋体" w:cs="宋体" w:hint="eastAsia"/>
          <w:color w:val="000000"/>
          <w:kern w:val="0"/>
          <w:sz w:val="20"/>
          <w:szCs w:val="20"/>
        </w:rPr>
        <w:t>苄肼</w:t>
      </w:r>
      <w:proofErr w:type="gramEnd"/>
      <w:r w:rsidRPr="008B04F9">
        <w:rPr>
          <w:rFonts w:ascii="宋体" w:eastAsia="宋体" w:hAnsi="宋体" w:cs="宋体" w:hint="eastAsia"/>
          <w:color w:val="000000"/>
          <w:kern w:val="0"/>
          <w:sz w:val="20"/>
          <w:szCs w:val="20"/>
        </w:rPr>
        <w:t>、强的松、长春地辛、</w:t>
      </w:r>
      <w:proofErr w:type="gramStart"/>
      <w:r w:rsidRPr="008B04F9">
        <w:rPr>
          <w:rFonts w:ascii="宋体" w:eastAsia="宋体" w:hAnsi="宋体" w:cs="宋体" w:hint="eastAsia"/>
          <w:color w:val="000000"/>
          <w:kern w:val="0"/>
          <w:sz w:val="20"/>
          <w:szCs w:val="20"/>
        </w:rPr>
        <w:t>多柔比</w:t>
      </w:r>
      <w:proofErr w:type="gramEnd"/>
      <w:r w:rsidRPr="008B04F9">
        <w:rPr>
          <w:rFonts w:ascii="宋体" w:eastAsia="宋体" w:hAnsi="宋体" w:cs="宋体" w:hint="eastAsia"/>
          <w:color w:val="000000"/>
          <w:kern w:val="0"/>
          <w:sz w:val="20"/>
          <w:szCs w:val="20"/>
        </w:rPr>
        <w:t>星、</w:t>
      </w:r>
      <w:proofErr w:type="gramStart"/>
      <w:r w:rsidRPr="008B04F9">
        <w:rPr>
          <w:rFonts w:ascii="宋体" w:eastAsia="宋体" w:hAnsi="宋体" w:cs="宋体" w:hint="eastAsia"/>
          <w:color w:val="000000"/>
          <w:kern w:val="0"/>
          <w:sz w:val="20"/>
          <w:szCs w:val="20"/>
        </w:rPr>
        <w:t>顺铂等</w:t>
      </w:r>
      <w:proofErr w:type="gramEnd"/>
      <w:r w:rsidRPr="008B04F9">
        <w:rPr>
          <w:rFonts w:ascii="宋体" w:eastAsia="宋体" w:hAnsi="宋体" w:cs="宋体" w:hint="eastAsia"/>
          <w:color w:val="000000"/>
          <w:kern w:val="0"/>
          <w:sz w:val="20"/>
          <w:szCs w:val="20"/>
        </w:rPr>
        <w:t>)：</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结果：合用时以上药物可减少本药的吸收。口服</w:t>
      </w:r>
      <w:proofErr w:type="gramStart"/>
      <w:r w:rsidRPr="008B04F9">
        <w:rPr>
          <w:rFonts w:ascii="宋体" w:eastAsia="宋体" w:hAnsi="宋体" w:cs="宋体" w:hint="eastAsia"/>
          <w:color w:val="000000"/>
          <w:kern w:val="0"/>
          <w:sz w:val="20"/>
          <w:szCs w:val="20"/>
        </w:rPr>
        <w:t>多柔比</w:t>
      </w:r>
      <w:proofErr w:type="gramEnd"/>
      <w:r w:rsidRPr="008B04F9">
        <w:rPr>
          <w:rFonts w:ascii="宋体" w:eastAsia="宋体" w:hAnsi="宋体" w:cs="宋体" w:hint="eastAsia"/>
          <w:color w:val="000000"/>
          <w:kern w:val="0"/>
          <w:sz w:val="20"/>
          <w:szCs w:val="20"/>
        </w:rPr>
        <w:t>星和本药用于小细胞肺癌患者时，可增加</w:t>
      </w:r>
      <w:proofErr w:type="gramStart"/>
      <w:r w:rsidRPr="008B04F9">
        <w:rPr>
          <w:rFonts w:ascii="宋体" w:eastAsia="宋体" w:hAnsi="宋体" w:cs="宋体" w:hint="eastAsia"/>
          <w:color w:val="000000"/>
          <w:kern w:val="0"/>
          <w:sz w:val="20"/>
          <w:szCs w:val="20"/>
        </w:rPr>
        <w:t>多柔比</w:t>
      </w:r>
      <w:proofErr w:type="gramEnd"/>
      <w:r w:rsidRPr="008B04F9">
        <w:rPr>
          <w:rFonts w:ascii="宋体" w:eastAsia="宋体" w:hAnsi="宋体" w:cs="宋体" w:hint="eastAsia"/>
          <w:color w:val="000000"/>
          <w:kern w:val="0"/>
          <w:sz w:val="20"/>
          <w:szCs w:val="20"/>
        </w:rPr>
        <w:t>星的生物利用度和血浆峰浓度，晚期癌症患者未观察到与伴随维拉帕米静脉内给药相关的</w:t>
      </w:r>
      <w:proofErr w:type="gramStart"/>
      <w:r w:rsidRPr="008B04F9">
        <w:rPr>
          <w:rFonts w:ascii="宋体" w:eastAsia="宋体" w:hAnsi="宋体" w:cs="宋体" w:hint="eastAsia"/>
          <w:color w:val="000000"/>
          <w:kern w:val="0"/>
          <w:sz w:val="20"/>
          <w:szCs w:val="20"/>
        </w:rPr>
        <w:t>多柔比</w:t>
      </w:r>
      <w:proofErr w:type="gramEnd"/>
      <w:r w:rsidRPr="008B04F9">
        <w:rPr>
          <w:rFonts w:ascii="宋体" w:eastAsia="宋体" w:hAnsi="宋体" w:cs="宋体" w:hint="eastAsia"/>
          <w:color w:val="000000"/>
          <w:kern w:val="0"/>
          <w:sz w:val="20"/>
          <w:szCs w:val="20"/>
        </w:rPr>
        <w:t>星药代动力学的显著改变。</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20.异烟肼：</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结果：合用时以上药物可明显降低本药的生物利用度。</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21.麻黄：</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结果：麻黄可降低钙通道阻滞药(CCB)的降压效果。</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机制：麻黄含具有拟交感神经活性的麻黄碱和伪麻黄碱，有拮抗作用。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处理：避免合用。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药物-酒精/尼古丁相互作用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酒精：</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结果：本药可使血中乙醇浓度增加，可延长酒精的毒性作用。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机制：本药可抑制乙醇的消除。</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药物-食物相互作用</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葡萄柚汁：</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结果：葡萄柚汁可使本药的血药浓度升高。</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lastRenderedPageBreak/>
        <w:t>处理：避免本药与含有葡萄柚的食物和饮料同服。</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【注意事项】</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用药警示</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1.用药前应首选抑制迷走神经的手法治疗(如</w:t>
      </w:r>
      <w:proofErr w:type="spellStart"/>
      <w:r w:rsidRPr="008B04F9">
        <w:rPr>
          <w:rFonts w:ascii="宋体" w:eastAsia="宋体" w:hAnsi="宋体" w:cs="宋体" w:hint="eastAsia"/>
          <w:color w:val="000000"/>
          <w:kern w:val="0"/>
          <w:sz w:val="20"/>
          <w:szCs w:val="20"/>
        </w:rPr>
        <w:t>valsalva</w:t>
      </w:r>
      <w:proofErr w:type="spellEnd"/>
      <w:r w:rsidRPr="008B04F9">
        <w:rPr>
          <w:rFonts w:ascii="宋体" w:eastAsia="宋体" w:hAnsi="宋体" w:cs="宋体" w:hint="eastAsia"/>
          <w:color w:val="000000"/>
          <w:kern w:val="0"/>
          <w:sz w:val="20"/>
          <w:szCs w:val="20"/>
        </w:rPr>
        <w:t>法)。</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2.用药时必须在持续心电监测和血压监测下，并应备有急救设备与药品。</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3.由于个体敏感性的差异，使用本药可能会影响驾驶和操作机器的能力，尤其在治疗开始、增加剂量、从其他药物换药或与酒精同服时。</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4.QRS增宽(≥0.12秒)的室性心动过速患者静脉使用本药，可能导致显著的血流动力学恶化和心室颤动。用药前需鉴别宽QRS心动过速为室上性或室性。</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5.静脉注射本药引起的血压下降一般是一过性和无症状的，但也可能发生眩晕。静脉注射本</w:t>
      </w:r>
      <w:proofErr w:type="gramStart"/>
      <w:r w:rsidRPr="008B04F9">
        <w:rPr>
          <w:rFonts w:ascii="宋体" w:eastAsia="宋体" w:hAnsi="宋体" w:cs="宋体" w:hint="eastAsia"/>
          <w:color w:val="000000"/>
          <w:kern w:val="0"/>
          <w:sz w:val="20"/>
          <w:szCs w:val="20"/>
        </w:rPr>
        <w:t>药之前</w:t>
      </w:r>
      <w:proofErr w:type="gramEnd"/>
      <w:r w:rsidRPr="008B04F9">
        <w:rPr>
          <w:rFonts w:ascii="宋体" w:eastAsia="宋体" w:hAnsi="宋体" w:cs="宋体" w:hint="eastAsia"/>
          <w:color w:val="000000"/>
          <w:kern w:val="0"/>
          <w:sz w:val="20"/>
          <w:szCs w:val="20"/>
        </w:rPr>
        <w:t>静脉给予钙剂可预防该血流动力学反应。</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6.轻度心功能不全者如须使用本药，治疗之前需已用洋地黄类或利尿药控制临床症状。</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7.心肌梗死伴发心绞痛者在发生急性心肌梗死7日内不应使用本药。</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不良反应的处理方法</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1.用药时出现心力衰竭或原有心力衰竭加重者，应加用强心药及利尿药。</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当出现显著的Ⅰ度房室传导阻滞或逐渐发展成Ⅱ或Ⅲ度房室传导阻滞时，需要减量或停药。心动过缓、传导阻滞或心脏停搏时可静脉给予阿托品、异丙肾上腺素、去甲肾上腺素或安置人工心脏起搏器。低血压可静脉给予多巴胺、间羟胺。</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3.有本药减弱肌肉萎缩患者的神经肌肉传导的报道，此类患者可能需要减量。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用药前后及用药时应当检查或监测</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1.静脉给药或调整口服剂量时需监测心电图。</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2.用药期间应定期监测血压、肝功能。</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3.严重肝或肾功能不全者重复静脉给药时须严密监测血压、PR间期或药效过量的其他表现。</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高警讯药物</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美国安全用药规范研究院(ISMP)将本药静脉注射剂定为高警讯药物，使用不当将给患者带来严重危害。</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其他注意事项</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1.本药口服制剂适于治疗心绞痛，但须按患者需要及耐受状况调整剂量。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2.本药不改变血清钙浓度，但也有高于正常范围的血钙水平可能影响本药疗效的报道。</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3.出现下列情况时需要严密监护：(1)Ⅰ度房室传导阻滞。(2)心动过缓(心率低于每分种50次)。(3)严重的肝功能不全，应定期监测肝功能。(4)神经肌肉传导减弱的相关情况(重症肌无力，Lambert-Eaton综合征，晚期</w:t>
      </w:r>
      <w:proofErr w:type="gramStart"/>
      <w:r w:rsidRPr="008B04F9">
        <w:rPr>
          <w:rFonts w:ascii="宋体" w:eastAsia="宋体" w:hAnsi="宋体" w:cs="宋体" w:hint="eastAsia"/>
          <w:color w:val="000000"/>
          <w:kern w:val="0"/>
          <w:sz w:val="20"/>
          <w:szCs w:val="20"/>
        </w:rPr>
        <w:t>杜兴肌</w:t>
      </w:r>
      <w:proofErr w:type="gramEnd"/>
      <w:r w:rsidRPr="008B04F9">
        <w:rPr>
          <w:rFonts w:ascii="宋体" w:eastAsia="宋体" w:hAnsi="宋体" w:cs="宋体" w:hint="eastAsia"/>
          <w:color w:val="000000"/>
          <w:kern w:val="0"/>
          <w:sz w:val="20"/>
          <w:szCs w:val="20"/>
        </w:rPr>
        <w:t>营养不良)。(5)伴随QRS增宽(＞0.12秒)的室性心动过速。</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【国外专科用药信息参考】</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lastRenderedPageBreak/>
        <w:t>牙科用药信息</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1.与牙科治疗相关的主要不良反应：本药可导致牙龈增生。本药引起的牙龈增生一般发生在日剂量240-360mg，持续使用11个月以上。增生的严重程度与剂量无关。</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2.牙龈切除术前需停用CCB。停用CCB 1周后牙龈增生可显著消退，2个月后症状完全消失。如患者须继续CCB治疗，应进行专业的清洗以控制牙菌斑，降低牙龈组织增生速率。</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精神状况信息</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1.对精神状态的影响：本药可导致嗜睡、头晕、意识混乱、失眠、精神病症状、锥体外系症状。</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2.对精神障碍治疗的影响：巴比妥类药物可降低本药的血清浓度；本药可能升高</w:t>
      </w:r>
      <w:proofErr w:type="gramStart"/>
      <w:r w:rsidRPr="008B04F9">
        <w:rPr>
          <w:rFonts w:ascii="宋体" w:eastAsia="宋体" w:hAnsi="宋体" w:cs="宋体" w:hint="eastAsia"/>
          <w:color w:val="000000"/>
          <w:kern w:val="0"/>
          <w:sz w:val="20"/>
          <w:szCs w:val="20"/>
        </w:rPr>
        <w:t>丁螺</w:t>
      </w:r>
      <w:proofErr w:type="gramEnd"/>
      <w:r w:rsidRPr="008B04F9">
        <w:rPr>
          <w:rFonts w:ascii="宋体" w:eastAsia="宋体" w:hAnsi="宋体" w:cs="宋体" w:hint="eastAsia"/>
          <w:color w:val="000000"/>
          <w:kern w:val="0"/>
          <w:sz w:val="20"/>
          <w:szCs w:val="20"/>
        </w:rPr>
        <w:t>环酮、卡马西平、咪达唑仑的血清浓度；本药与锂剂合用可能升高或降低血清</w:t>
      </w:r>
      <w:proofErr w:type="gramStart"/>
      <w:r w:rsidRPr="008B04F9">
        <w:rPr>
          <w:rFonts w:ascii="宋体" w:eastAsia="宋体" w:hAnsi="宋体" w:cs="宋体" w:hint="eastAsia"/>
          <w:color w:val="000000"/>
          <w:kern w:val="0"/>
          <w:sz w:val="20"/>
          <w:szCs w:val="20"/>
        </w:rPr>
        <w:t>锂</w:t>
      </w:r>
      <w:proofErr w:type="gramEnd"/>
      <w:r w:rsidRPr="008B04F9">
        <w:rPr>
          <w:rFonts w:ascii="宋体" w:eastAsia="宋体" w:hAnsi="宋体" w:cs="宋体" w:hint="eastAsia"/>
          <w:color w:val="000000"/>
          <w:kern w:val="0"/>
          <w:sz w:val="20"/>
          <w:szCs w:val="20"/>
        </w:rPr>
        <w:t>浓度；本药可用于治疗双相精神障碍(躁狂相)。</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心血管注意事项</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1.本药可单独或与其他药物合用于治疗高血压。</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2.对于心房颤动、心房扑动患者，应快速静脉给予本药以控制心室率。患者心室率至少降低20%或小于100次/</w:t>
      </w:r>
      <w:proofErr w:type="gramStart"/>
      <w:r w:rsidRPr="008B04F9">
        <w:rPr>
          <w:rFonts w:ascii="宋体" w:eastAsia="宋体" w:hAnsi="宋体" w:cs="宋体" w:hint="eastAsia"/>
          <w:color w:val="000000"/>
          <w:kern w:val="0"/>
          <w:sz w:val="20"/>
          <w:szCs w:val="20"/>
        </w:rPr>
        <w:t>分钟时</w:t>
      </w:r>
      <w:proofErr w:type="gramEnd"/>
      <w:r w:rsidRPr="008B04F9">
        <w:rPr>
          <w:rFonts w:ascii="宋体" w:eastAsia="宋体" w:hAnsi="宋体" w:cs="宋体" w:hint="eastAsia"/>
          <w:color w:val="000000"/>
          <w:kern w:val="0"/>
          <w:sz w:val="20"/>
          <w:szCs w:val="20"/>
        </w:rPr>
        <w:t>可继续口服本药以控制症状。因治疗时合用地高辛，用药应谨慎。</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护理注意事项</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1.本药静脉滴注时需使用输注</w:t>
      </w:r>
      <w:proofErr w:type="gramStart"/>
      <w:r w:rsidRPr="008B04F9">
        <w:rPr>
          <w:rFonts w:ascii="宋体" w:eastAsia="宋体" w:hAnsi="宋体" w:cs="宋体" w:hint="eastAsia"/>
          <w:color w:val="000000"/>
          <w:kern w:val="0"/>
          <w:sz w:val="20"/>
          <w:szCs w:val="20"/>
        </w:rPr>
        <w:t>泵进行</w:t>
      </w:r>
      <w:proofErr w:type="gramEnd"/>
      <w:r w:rsidRPr="008B04F9">
        <w:rPr>
          <w:rFonts w:ascii="宋体" w:eastAsia="宋体" w:hAnsi="宋体" w:cs="宋体" w:hint="eastAsia"/>
          <w:color w:val="000000"/>
          <w:kern w:val="0"/>
          <w:sz w:val="20"/>
          <w:szCs w:val="20"/>
        </w:rPr>
        <w:t>滴注，连续使用强心药并进行血流动力学监测。</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2.应保持良好的口腔卫生，并监测齿龈增生情况。</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3.应定期检查肝功能。</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【药物过量】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过量的表现</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药物过量后出现的症状与剂量、采取对应措施的时间以及患者的心肌收缩能力(年龄相关)有关。严重的中毒患者可出现意识障碍(模糊到昏迷)、严重低血压、缓慢性或快速性心律失常、高血糖症、低钾血症、代谢性酸中毒、低氧血症、心源性休克伴肺水肿、肝功能不全、惊厥。偶有死亡报道。</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过量的处理</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药物过量的处理：主要是清除药物和恢复心血管系统的稳定性，可根据用药的时间和方式以及中毒症状的性质和严重程度选择治疗措施。(1)如为使用大剂量的本药缓释制剂中毒，服药48小时后药物在小肠内仍会释放和吸收。如胃肠道运动(肠鸣音)消失，即使用药时间</w:t>
      </w:r>
      <w:proofErr w:type="gramStart"/>
      <w:r w:rsidRPr="008B04F9">
        <w:rPr>
          <w:rFonts w:ascii="宋体" w:eastAsia="宋体" w:hAnsi="宋体" w:cs="宋体" w:hint="eastAsia"/>
          <w:color w:val="000000"/>
          <w:kern w:val="0"/>
          <w:sz w:val="20"/>
          <w:szCs w:val="20"/>
        </w:rPr>
        <w:t>己超过</w:t>
      </w:r>
      <w:proofErr w:type="gramEnd"/>
      <w:r w:rsidRPr="008B04F9">
        <w:rPr>
          <w:rFonts w:ascii="宋体" w:eastAsia="宋体" w:hAnsi="宋体" w:cs="宋体" w:hint="eastAsia"/>
          <w:color w:val="000000"/>
          <w:kern w:val="0"/>
          <w:sz w:val="20"/>
          <w:szCs w:val="20"/>
        </w:rPr>
        <w:t>12小时，仍建议进行洗胃。如怀疑本药缓释制剂过量中毒，需要采取多种排毒措施，如诱导呕吐、内镜引导下胃、小肠抽吸、小肠灌洗、泻药及灌肠治疗。(2)应采用标准的重症监护复苏措施，例如胸外心脏按压、机械通气、除颤和起搏器。(3)由于本药不能通过透析清除，故不建议进行血液透析，但可考虑血液滤过或血浆置换(CCB大部分与血浆蛋白结合)。(4)可能采用的特殊治疗措施包括去除心脏抑制、纠正低血压和心动过缓。缓慢性心律失常可使用阿托品和(或)β-肾上腺素激动药(如异丙去甲肾上腺素、奥西那林)控制症状。在出现危及生命的心动过缓时，可使用临时心脏起搏器治疗。钙剂是特异性的解毒药，可静脉注射10%葡萄糖酸钙10-20ml(2.25-4.5mmol)；如治疗需要，可重复上述剂量或给予持续静脉滴注(如每小时5mmol)。血浆中钙离子浓度必须保</w:t>
      </w:r>
      <w:r w:rsidRPr="008B04F9">
        <w:rPr>
          <w:rFonts w:ascii="宋体" w:eastAsia="宋体" w:hAnsi="宋体" w:cs="宋体" w:hint="eastAsia"/>
          <w:color w:val="000000"/>
          <w:kern w:val="0"/>
          <w:sz w:val="20"/>
          <w:szCs w:val="20"/>
        </w:rPr>
        <w:lastRenderedPageBreak/>
        <w:t>持在正常上限或稍高于正常上限。此外，心源性休克和血管扩张可导致低血压，可使用多巴胺[最高可达25μg/(kg·min)]、多巴</w:t>
      </w:r>
      <w:proofErr w:type="gramStart"/>
      <w:r w:rsidRPr="008B04F9">
        <w:rPr>
          <w:rFonts w:ascii="宋体" w:eastAsia="宋体" w:hAnsi="宋体" w:cs="宋体" w:hint="eastAsia"/>
          <w:color w:val="000000"/>
          <w:kern w:val="0"/>
          <w:sz w:val="20"/>
          <w:szCs w:val="20"/>
        </w:rPr>
        <w:t>酚</w:t>
      </w:r>
      <w:proofErr w:type="gramEnd"/>
      <w:r w:rsidRPr="008B04F9">
        <w:rPr>
          <w:rFonts w:ascii="宋体" w:eastAsia="宋体" w:hAnsi="宋体" w:cs="宋体" w:hint="eastAsia"/>
          <w:color w:val="000000"/>
          <w:kern w:val="0"/>
          <w:sz w:val="20"/>
          <w:szCs w:val="20"/>
        </w:rPr>
        <w:t>丁胺[最高可达15μg/(kg·min)]、肾上腺素或去甲肾上腺素进行治疗。药物剂量应根据患者对药物的反应进行调整。(5)治疗早期即应进行补液治疗(林格液或生理盐水)，用于对抗动脉的扩张。</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【药理】</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药效学</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本药为CCB，可抑制组织中钙离子的跨膜转运，属Ⅳ类抗心律失常药，同时又有抗心绞痛作用。其药理作用表现为：(1)心脏：①钙离子内流受抑制可降低窦房结和房室结自律性，减慢房室结前向传导和延长有效不应期，从而产生具剂量依赖性的抗心律失常作用。但本药较少影响房室结的逆向传导以及心房、心室肌和房室间的旁路传导。②钙离子内流受抑制还可降低心肌氧耗而治疗劳累性心绞痛。③本药除阻滞钙离子内流外，还可减慢钠离子内流，因此本药的作用机制可归结为降低</w:t>
      </w:r>
      <w:proofErr w:type="gramStart"/>
      <w:r w:rsidRPr="008B04F9">
        <w:rPr>
          <w:rFonts w:ascii="宋体" w:eastAsia="宋体" w:hAnsi="宋体" w:cs="宋体" w:hint="eastAsia"/>
          <w:color w:val="000000"/>
          <w:kern w:val="0"/>
          <w:sz w:val="20"/>
          <w:szCs w:val="20"/>
        </w:rPr>
        <w:t>慢反应</w:t>
      </w:r>
      <w:proofErr w:type="gramEnd"/>
      <w:r w:rsidRPr="008B04F9">
        <w:rPr>
          <w:rFonts w:ascii="宋体" w:eastAsia="宋体" w:hAnsi="宋体" w:cs="宋体" w:hint="eastAsia"/>
          <w:color w:val="000000"/>
          <w:kern w:val="0"/>
          <w:sz w:val="20"/>
          <w:szCs w:val="20"/>
        </w:rPr>
        <w:t>的能力。这一能力可消除折返以及自律性改变引起的室上性心律失常，也可减少窦房结的自主活动，消除由窦房结折返引起的折返性房性心动过速。(2)血管：钙离子内流受抑制使冠状动脉血管张力降低可缓解冠状动脉的痉挛，增加心肌的灌注(对狭窄后组织也可产生作用)，从而有效治疗变异型心绞痛。(3)本药还具有微弱的局部麻醉特性，但对心房、心室</w:t>
      </w:r>
      <w:proofErr w:type="gramStart"/>
      <w:r w:rsidRPr="008B04F9">
        <w:rPr>
          <w:rFonts w:ascii="宋体" w:eastAsia="宋体" w:hAnsi="宋体" w:cs="宋体" w:hint="eastAsia"/>
          <w:color w:val="000000"/>
          <w:kern w:val="0"/>
          <w:sz w:val="20"/>
          <w:szCs w:val="20"/>
        </w:rPr>
        <w:t>或蒲肯野纤维电</w:t>
      </w:r>
      <w:proofErr w:type="gramEnd"/>
      <w:r w:rsidRPr="008B04F9">
        <w:rPr>
          <w:rFonts w:ascii="宋体" w:eastAsia="宋体" w:hAnsi="宋体" w:cs="宋体" w:hint="eastAsia"/>
          <w:color w:val="000000"/>
          <w:kern w:val="0"/>
          <w:sz w:val="20"/>
          <w:szCs w:val="20"/>
        </w:rPr>
        <w:t>活动的除极相与复极相均无作用，不具有Ⅰ、Ⅱ或Ⅲ类抗心律失常药的活性。(4)研究表明，本药还具有抗血小板作用，可能有助于心绞痛的治疗。但这一作用还需进一步评价。(5)曾发现本药对运动诱发的哮喘有保护作用，但并不引起支气管扩张。离体试验提示本药可抑制组胺和过敏反应-</w:t>
      </w:r>
      <w:proofErr w:type="gramStart"/>
      <w:r w:rsidRPr="008B04F9">
        <w:rPr>
          <w:rFonts w:ascii="宋体" w:eastAsia="宋体" w:hAnsi="宋体" w:cs="宋体" w:hint="eastAsia"/>
          <w:color w:val="000000"/>
          <w:kern w:val="0"/>
          <w:sz w:val="20"/>
          <w:szCs w:val="20"/>
        </w:rPr>
        <w:t>慢反应</w:t>
      </w:r>
      <w:proofErr w:type="gramEnd"/>
      <w:r w:rsidRPr="008B04F9">
        <w:rPr>
          <w:rFonts w:ascii="宋体" w:eastAsia="宋体" w:hAnsi="宋体" w:cs="宋体" w:hint="eastAsia"/>
          <w:color w:val="000000"/>
          <w:kern w:val="0"/>
          <w:sz w:val="20"/>
          <w:szCs w:val="20"/>
        </w:rPr>
        <w:t>物质(SRS-A)的释放。这一机制及其临床作用尚有待进一步研究。</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药动学</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本药口服后90%以上被吸收，但生物利用度仅为20%-35%。单剂口服后1-2小时内达峰浓度，作用持续6-8小时。蛋白结合率约为90%。药物主要在肝内代谢，代谢产物中去甲维拉帕米具有心血管活性(约为本药的20%)。本药及其代谢产物70%经肾脏排泄，其中原形药物为3%-4%，另有约16%或更多的药物经消化道随粪便排出。平均半衰期为2.8-7.4小时，长期用药可增加至4.5-12小时。去甲维拉帕米半衰期约为9小时。老年患者的消除半衰期可能延长。</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肝功能不全者代谢延迟，其中肝硬化患者的表观分布容积增加，血清清除率降低至肝功能正常者的30%，半衰期则延长至14-16小时。血液透析不能清除本药。</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proofErr w:type="gramStart"/>
      <w:r w:rsidRPr="008B04F9">
        <w:rPr>
          <w:rFonts w:ascii="宋体" w:eastAsia="宋体" w:hAnsi="宋体" w:cs="宋体" w:hint="eastAsia"/>
          <w:color w:val="000000"/>
          <w:kern w:val="0"/>
          <w:sz w:val="20"/>
          <w:szCs w:val="20"/>
        </w:rPr>
        <w:t>静脉注射后抗心律失常</w:t>
      </w:r>
      <w:proofErr w:type="gramEnd"/>
      <w:r w:rsidRPr="008B04F9">
        <w:rPr>
          <w:rFonts w:ascii="宋体" w:eastAsia="宋体" w:hAnsi="宋体" w:cs="宋体" w:hint="eastAsia"/>
          <w:color w:val="000000"/>
          <w:kern w:val="0"/>
          <w:sz w:val="20"/>
          <w:szCs w:val="20"/>
        </w:rPr>
        <w:t>作用于2分钟(1-5分钟)开始起效，2-5分钟达最大效应，作用持续约2小时，血流动力学作用于3-5分钟开始，持续10-20分钟。药物代谢迅速，药-时曲线呈双相，半衰期α相约为4分钟，β相为2-5小时。</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遗传、生殖毒性与致癌性</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◆遗传毒性  Ames试验证实本药无致突变性。长期给予Beagle</w:t>
      </w:r>
      <w:proofErr w:type="gramStart"/>
      <w:r w:rsidRPr="008B04F9">
        <w:rPr>
          <w:rFonts w:ascii="宋体" w:eastAsia="宋体" w:hAnsi="宋体" w:cs="宋体" w:hint="eastAsia"/>
          <w:color w:val="000000"/>
          <w:kern w:val="0"/>
          <w:sz w:val="20"/>
          <w:szCs w:val="20"/>
        </w:rPr>
        <w:t>犬本药</w:t>
      </w:r>
      <w:proofErr w:type="gramEnd"/>
      <w:r w:rsidRPr="008B04F9">
        <w:rPr>
          <w:rFonts w:ascii="宋体" w:eastAsia="宋体" w:hAnsi="宋体" w:cs="宋体" w:hint="eastAsia"/>
          <w:color w:val="000000"/>
          <w:kern w:val="0"/>
          <w:sz w:val="20"/>
          <w:szCs w:val="20"/>
        </w:rPr>
        <w:t>大于一日30mg/kg，导致透镜状和(或)缝线状改变。大于或等于一日62.5mg/kg时引起症状明显的白内障。人类尚未有因使用本药而促使白内障形成的报道。</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◆生殖毒性  雌性鼠未见损害生殖力，对人类的生殖力影响尚不明确。本药可通过胎盘屏障，动物试验研究表明本药有胎毒性，可能</w:t>
      </w:r>
      <w:proofErr w:type="gramStart"/>
      <w:r w:rsidRPr="008B04F9">
        <w:rPr>
          <w:rFonts w:ascii="宋体" w:eastAsia="宋体" w:hAnsi="宋体" w:cs="宋体" w:hint="eastAsia"/>
          <w:color w:val="000000"/>
          <w:kern w:val="0"/>
          <w:sz w:val="20"/>
          <w:szCs w:val="20"/>
        </w:rPr>
        <w:t>导致胎仔心动过缓</w:t>
      </w:r>
      <w:proofErr w:type="gramEnd"/>
      <w:r w:rsidRPr="008B04F9">
        <w:rPr>
          <w:rFonts w:ascii="宋体" w:eastAsia="宋体" w:hAnsi="宋体" w:cs="宋体" w:hint="eastAsia"/>
          <w:color w:val="000000"/>
          <w:kern w:val="0"/>
          <w:sz w:val="20"/>
          <w:szCs w:val="20"/>
        </w:rPr>
        <w:t>、心脏传导阻滞、低血压。</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◆致癌性  本药无致癌性。</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【制剂与规格】</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lastRenderedPageBreak/>
        <w:t>盐酸维拉帕米片  40mg。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盐酸维拉帕米缓释片  (1)120mg。(2)180mg。(3)240mg。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盐酸维拉帕米缓释胶囊  (1)120mg。(2)180mg。(3)240mg。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注射用盐酸维拉帕米  (1)5mg。(2)10mg。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盐酸维拉帕米注射液  2ml:5mg。</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b/>
          <w:bCs/>
          <w:color w:val="000000"/>
          <w:kern w:val="0"/>
          <w:sz w:val="20"/>
          <w:szCs w:val="20"/>
        </w:rPr>
        <w:t>【贮藏】</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片剂：密封保存。</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缓释片：密封保存。</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缓释胶囊：密封保存。</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粉针剂：遮光，密封保存。</w:t>
      </w:r>
    </w:p>
    <w:p w:rsidR="008B04F9" w:rsidRPr="008B04F9" w:rsidRDefault="008B04F9" w:rsidP="008B04F9">
      <w:pPr>
        <w:widowControl/>
        <w:spacing w:before="150" w:after="150" w:line="270" w:lineRule="atLeast"/>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注射液：遮光，密封保存。</w:t>
      </w:r>
    </w:p>
    <w:p w:rsidR="008B04F9" w:rsidRPr="008B04F9" w:rsidRDefault="008B04F9" w:rsidP="008B04F9">
      <w:pPr>
        <w:widowControl/>
        <w:jc w:val="center"/>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使用</w:t>
      </w:r>
      <w:proofErr w:type="spellStart"/>
      <w:r w:rsidRPr="008B04F9">
        <w:rPr>
          <w:rFonts w:ascii="宋体" w:eastAsia="宋体" w:hAnsi="宋体" w:cs="宋体" w:hint="eastAsia"/>
          <w:color w:val="000000"/>
          <w:kern w:val="0"/>
          <w:sz w:val="20"/>
          <w:szCs w:val="20"/>
        </w:rPr>
        <w:t>UpToDate</w:t>
      </w:r>
      <w:proofErr w:type="spellEnd"/>
      <w:r w:rsidRPr="008B04F9">
        <w:rPr>
          <w:rFonts w:ascii="宋体" w:eastAsia="宋体" w:hAnsi="宋体" w:cs="宋体" w:hint="eastAsia"/>
          <w:color w:val="000000"/>
          <w:kern w:val="0"/>
          <w:sz w:val="20"/>
          <w:szCs w:val="20"/>
        </w:rPr>
        <w:t>临床顾问须遵循</w:t>
      </w:r>
      <w:hyperlink r:id="rId5" w:tgtFrame="_blank" w:history="1">
        <w:r w:rsidRPr="008B04F9">
          <w:rPr>
            <w:rFonts w:ascii="宋体" w:eastAsia="宋体" w:hAnsi="宋体" w:cs="宋体" w:hint="eastAsia"/>
            <w:color w:val="336633"/>
            <w:kern w:val="0"/>
            <w:sz w:val="20"/>
            <w:szCs w:val="20"/>
            <w:u w:val="single"/>
          </w:rPr>
          <w:t>用户协议</w:t>
        </w:r>
      </w:hyperlink>
      <w:r w:rsidRPr="008B04F9">
        <w:rPr>
          <w:rFonts w:ascii="宋体" w:eastAsia="宋体" w:hAnsi="宋体" w:cs="宋体" w:hint="eastAsia"/>
          <w:color w:val="000000"/>
          <w:kern w:val="0"/>
          <w:sz w:val="20"/>
          <w:szCs w:val="20"/>
        </w:rPr>
        <w:t>。</w:t>
      </w:r>
    </w:p>
    <w:p w:rsidR="008B04F9" w:rsidRPr="008B04F9" w:rsidRDefault="008B04F9" w:rsidP="008B04F9">
      <w:pPr>
        <w:widowControl/>
        <w:jc w:val="left"/>
        <w:rPr>
          <w:rFonts w:ascii="宋体" w:eastAsia="宋体" w:hAnsi="宋体" w:cs="宋体" w:hint="eastAsia"/>
          <w:color w:val="000000"/>
          <w:kern w:val="0"/>
          <w:sz w:val="20"/>
          <w:szCs w:val="20"/>
        </w:rPr>
      </w:pPr>
      <w:r w:rsidRPr="008B04F9">
        <w:rPr>
          <w:rFonts w:ascii="宋体" w:eastAsia="宋体" w:hAnsi="宋体" w:cs="宋体" w:hint="eastAsia"/>
          <w:color w:val="000000"/>
          <w:kern w:val="0"/>
          <w:sz w:val="20"/>
          <w:szCs w:val="20"/>
        </w:rPr>
        <w:t>专题 92191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18C"/>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8B04F9"/>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DC318C"/>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04F9"/>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8B04F9"/>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8B04F9"/>
  </w:style>
  <w:style w:type="character" w:customStyle="1" w:styleId="h2">
    <w:name w:val="h2"/>
    <w:basedOn w:val="a0"/>
    <w:rsid w:val="008B04F9"/>
  </w:style>
  <w:style w:type="character" w:customStyle="1" w:styleId="nowrap">
    <w:name w:val="nowrap"/>
    <w:basedOn w:val="a0"/>
    <w:rsid w:val="008B04F9"/>
  </w:style>
  <w:style w:type="character" w:styleId="a4">
    <w:name w:val="Hyperlink"/>
    <w:basedOn w:val="a0"/>
    <w:uiPriority w:val="99"/>
    <w:semiHidden/>
    <w:unhideWhenUsed/>
    <w:rsid w:val="008B04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04F9"/>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8B04F9"/>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8B04F9"/>
  </w:style>
  <w:style w:type="character" w:customStyle="1" w:styleId="h2">
    <w:name w:val="h2"/>
    <w:basedOn w:val="a0"/>
    <w:rsid w:val="008B04F9"/>
  </w:style>
  <w:style w:type="character" w:customStyle="1" w:styleId="nowrap">
    <w:name w:val="nowrap"/>
    <w:basedOn w:val="a0"/>
    <w:rsid w:val="008B04F9"/>
  </w:style>
  <w:style w:type="character" w:styleId="a4">
    <w:name w:val="Hyperlink"/>
    <w:basedOn w:val="a0"/>
    <w:uiPriority w:val="99"/>
    <w:semiHidden/>
    <w:unhideWhenUsed/>
    <w:rsid w:val="008B0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314762">
      <w:bodyDiv w:val="1"/>
      <w:marLeft w:val="0"/>
      <w:marRight w:val="0"/>
      <w:marTop w:val="0"/>
      <w:marBottom w:val="0"/>
      <w:divBdr>
        <w:top w:val="none" w:sz="0" w:space="0" w:color="auto"/>
        <w:left w:val="none" w:sz="0" w:space="0" w:color="auto"/>
        <w:bottom w:val="none" w:sz="0" w:space="0" w:color="auto"/>
        <w:right w:val="none" w:sz="0" w:space="0" w:color="auto"/>
      </w:divBdr>
      <w:divsChild>
        <w:div w:id="1864781315">
          <w:marLeft w:val="0"/>
          <w:marRight w:val="0"/>
          <w:marTop w:val="480"/>
          <w:marBottom w:val="480"/>
          <w:divBdr>
            <w:top w:val="none" w:sz="0" w:space="0" w:color="auto"/>
            <w:left w:val="none" w:sz="0" w:space="0" w:color="auto"/>
            <w:bottom w:val="none" w:sz="0" w:space="0" w:color="auto"/>
            <w:right w:val="none" w:sz="0" w:space="0" w:color="auto"/>
          </w:divBdr>
        </w:div>
        <w:div w:id="1465780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1545</Words>
  <Characters>8808</Characters>
  <Application>Microsoft Office Word</Application>
  <DocSecurity>0</DocSecurity>
  <Lines>73</Lines>
  <Paragraphs>20</Paragraphs>
  <ScaleCrop>false</ScaleCrop>
  <Company>China</Company>
  <LinksUpToDate>false</LinksUpToDate>
  <CharactersWithSpaces>10333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2015-02-09T02:25:00Z</dcterms:created>
  <dcterms:modified xsi:type="dcterms:W3CDTF">2015-02-09T02:25:00Z</dcterms:modified>
</cp:coreProperties>
</file>