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BAE" w:rsidRPr="00F34BAE" w:rsidRDefault="00F34BAE" w:rsidP="00F34BAE">
      <w:pPr>
        <w:widowControl/>
        <w:jc w:val="left"/>
        <w:rPr>
          <w:rFonts w:ascii="宋体" w:eastAsia="宋体" w:hAnsi="宋体" w:cs="宋体"/>
          <w:b/>
          <w:bCs/>
          <w:color w:val="000000"/>
          <w:kern w:val="0"/>
          <w:sz w:val="20"/>
          <w:szCs w:val="20"/>
        </w:rPr>
      </w:pPr>
      <w:r w:rsidRPr="00F34BAE">
        <w:rPr>
          <w:rFonts w:ascii="宋体" w:eastAsia="宋体" w:hAnsi="宋体" w:cs="宋体" w:hint="eastAsia"/>
          <w:b/>
          <w:bCs/>
          <w:color w:val="000000"/>
          <w:kern w:val="0"/>
          <w:sz w:val="20"/>
          <w:szCs w:val="20"/>
        </w:rPr>
        <w:t>别嘌醇</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文章版本号：3</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最后发布时间：2014-4-15 9:46:49</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【特别警示】</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本药可导致剥脱性皮炎、中毒性表皮坏死松解症、重症多形性红斑、超敏反应，严重可导致死亡。故建议出现皮疹时立即停药。(CFDA网站)</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【药物名称】</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中文通用名称：别嘌醇</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英文通用名称：Allopurinol</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其他名称：奥迈必利、别嘌呤、别嘌呤醇、柴罗列克、华风痛、路必利、全嘌呤、赛来力、赛洛克、赛洛力、痛风立克、痛风宁、维洛林、异嘌呤醇、易达通、</w:t>
      </w:r>
      <w:proofErr w:type="spellStart"/>
      <w:r w:rsidRPr="00F34BAE">
        <w:rPr>
          <w:rFonts w:ascii="宋体" w:eastAsia="宋体" w:hAnsi="宋体" w:cs="宋体" w:hint="eastAsia"/>
          <w:color w:val="000000"/>
          <w:kern w:val="0"/>
          <w:sz w:val="20"/>
          <w:szCs w:val="20"/>
        </w:rPr>
        <w:t>Adenock</w:t>
      </w:r>
      <w:proofErr w:type="spellEnd"/>
      <w:r w:rsidRPr="00F34BAE">
        <w:rPr>
          <w:rFonts w:ascii="宋体" w:eastAsia="宋体" w:hAnsi="宋体" w:cs="宋体" w:hint="eastAsia"/>
          <w:color w:val="000000"/>
          <w:kern w:val="0"/>
          <w:sz w:val="20"/>
          <w:szCs w:val="20"/>
        </w:rPr>
        <w:t>、</w:t>
      </w:r>
      <w:proofErr w:type="spellStart"/>
      <w:r w:rsidRPr="00F34BAE">
        <w:rPr>
          <w:rFonts w:ascii="宋体" w:eastAsia="宋体" w:hAnsi="宋体" w:cs="宋体" w:hint="eastAsia"/>
          <w:color w:val="000000"/>
          <w:kern w:val="0"/>
          <w:sz w:val="20"/>
          <w:szCs w:val="20"/>
        </w:rPr>
        <w:t>Allopurinolum</w:t>
      </w:r>
      <w:proofErr w:type="spellEnd"/>
      <w:r w:rsidRPr="00F34BAE">
        <w:rPr>
          <w:rFonts w:ascii="宋体" w:eastAsia="宋体" w:hAnsi="宋体" w:cs="宋体" w:hint="eastAsia"/>
          <w:color w:val="000000"/>
          <w:kern w:val="0"/>
          <w:sz w:val="20"/>
          <w:szCs w:val="20"/>
        </w:rPr>
        <w:t>、</w:t>
      </w:r>
      <w:proofErr w:type="spellStart"/>
      <w:r w:rsidRPr="00F34BAE">
        <w:rPr>
          <w:rFonts w:ascii="宋体" w:eastAsia="宋体" w:hAnsi="宋体" w:cs="宋体" w:hint="eastAsia"/>
          <w:color w:val="000000"/>
          <w:kern w:val="0"/>
          <w:sz w:val="20"/>
          <w:szCs w:val="20"/>
        </w:rPr>
        <w:t>Aloprim</w:t>
      </w:r>
      <w:proofErr w:type="spellEnd"/>
      <w:r w:rsidRPr="00F34BAE">
        <w:rPr>
          <w:rFonts w:ascii="宋体" w:eastAsia="宋体" w:hAnsi="宋体" w:cs="宋体" w:hint="eastAsia"/>
          <w:color w:val="000000"/>
          <w:kern w:val="0"/>
          <w:sz w:val="20"/>
          <w:szCs w:val="20"/>
        </w:rPr>
        <w:t>、</w:t>
      </w:r>
      <w:proofErr w:type="spellStart"/>
      <w:r w:rsidRPr="00F34BAE">
        <w:rPr>
          <w:rFonts w:ascii="宋体" w:eastAsia="宋体" w:hAnsi="宋体" w:cs="宋体" w:hint="eastAsia"/>
          <w:color w:val="000000"/>
          <w:kern w:val="0"/>
          <w:sz w:val="20"/>
          <w:szCs w:val="20"/>
        </w:rPr>
        <w:t>Anzief</w:t>
      </w:r>
      <w:proofErr w:type="spellEnd"/>
      <w:r w:rsidRPr="00F34BAE">
        <w:rPr>
          <w:rFonts w:ascii="宋体" w:eastAsia="宋体" w:hAnsi="宋体" w:cs="宋体" w:hint="eastAsia"/>
          <w:color w:val="000000"/>
          <w:kern w:val="0"/>
          <w:sz w:val="20"/>
          <w:szCs w:val="20"/>
        </w:rPr>
        <w:t>、HPP、</w:t>
      </w:r>
      <w:proofErr w:type="spellStart"/>
      <w:r w:rsidRPr="00F34BAE">
        <w:rPr>
          <w:rFonts w:ascii="宋体" w:eastAsia="宋体" w:hAnsi="宋体" w:cs="宋体" w:hint="eastAsia"/>
          <w:color w:val="000000"/>
          <w:kern w:val="0"/>
          <w:sz w:val="20"/>
          <w:szCs w:val="20"/>
        </w:rPr>
        <w:t>Isopurinol</w:t>
      </w:r>
      <w:proofErr w:type="spellEnd"/>
      <w:r w:rsidRPr="00F34BAE">
        <w:rPr>
          <w:rFonts w:ascii="宋体" w:eastAsia="宋体" w:hAnsi="宋体" w:cs="宋体" w:hint="eastAsia"/>
          <w:color w:val="000000"/>
          <w:kern w:val="0"/>
          <w:sz w:val="20"/>
          <w:szCs w:val="20"/>
        </w:rPr>
        <w:t>、</w:t>
      </w:r>
      <w:proofErr w:type="spellStart"/>
      <w:r w:rsidRPr="00F34BAE">
        <w:rPr>
          <w:rFonts w:ascii="宋体" w:eastAsia="宋体" w:hAnsi="宋体" w:cs="宋体" w:hint="eastAsia"/>
          <w:color w:val="000000"/>
          <w:kern w:val="0"/>
          <w:sz w:val="20"/>
          <w:szCs w:val="20"/>
        </w:rPr>
        <w:t>Lopuric</w:t>
      </w:r>
      <w:proofErr w:type="spellEnd"/>
      <w:r w:rsidRPr="00F34BAE">
        <w:rPr>
          <w:rFonts w:ascii="宋体" w:eastAsia="宋体" w:hAnsi="宋体" w:cs="宋体" w:hint="eastAsia"/>
          <w:color w:val="000000"/>
          <w:kern w:val="0"/>
          <w:sz w:val="20"/>
          <w:szCs w:val="20"/>
        </w:rPr>
        <w:t>、</w:t>
      </w:r>
      <w:proofErr w:type="spellStart"/>
      <w:r w:rsidRPr="00F34BAE">
        <w:rPr>
          <w:rFonts w:ascii="宋体" w:eastAsia="宋体" w:hAnsi="宋体" w:cs="宋体" w:hint="eastAsia"/>
          <w:color w:val="000000"/>
          <w:kern w:val="0"/>
          <w:sz w:val="20"/>
          <w:szCs w:val="20"/>
        </w:rPr>
        <w:t>Lopurim</w:t>
      </w:r>
      <w:proofErr w:type="spellEnd"/>
      <w:r w:rsidRPr="00F34BAE">
        <w:rPr>
          <w:rFonts w:ascii="宋体" w:eastAsia="宋体" w:hAnsi="宋体" w:cs="宋体" w:hint="eastAsia"/>
          <w:color w:val="000000"/>
          <w:kern w:val="0"/>
          <w:sz w:val="20"/>
          <w:szCs w:val="20"/>
        </w:rPr>
        <w:t>、</w:t>
      </w:r>
      <w:proofErr w:type="spellStart"/>
      <w:r w:rsidRPr="00F34BAE">
        <w:rPr>
          <w:rFonts w:ascii="宋体" w:eastAsia="宋体" w:hAnsi="宋体" w:cs="宋体" w:hint="eastAsia"/>
          <w:color w:val="000000"/>
          <w:kern w:val="0"/>
          <w:sz w:val="20"/>
          <w:szCs w:val="20"/>
        </w:rPr>
        <w:t>Lopurin</w:t>
      </w:r>
      <w:proofErr w:type="spellEnd"/>
      <w:r w:rsidRPr="00F34BAE">
        <w:rPr>
          <w:rFonts w:ascii="宋体" w:eastAsia="宋体" w:hAnsi="宋体" w:cs="宋体" w:hint="eastAsia"/>
          <w:color w:val="000000"/>
          <w:kern w:val="0"/>
          <w:sz w:val="20"/>
          <w:szCs w:val="20"/>
        </w:rPr>
        <w:t>、</w:t>
      </w:r>
      <w:proofErr w:type="spellStart"/>
      <w:r w:rsidRPr="00F34BAE">
        <w:rPr>
          <w:rFonts w:ascii="宋体" w:eastAsia="宋体" w:hAnsi="宋体" w:cs="宋体" w:hint="eastAsia"/>
          <w:color w:val="000000"/>
          <w:kern w:val="0"/>
          <w:sz w:val="20"/>
          <w:szCs w:val="20"/>
        </w:rPr>
        <w:t>Lupuric</w:t>
      </w:r>
      <w:proofErr w:type="spellEnd"/>
      <w:r w:rsidRPr="00F34BAE">
        <w:rPr>
          <w:rFonts w:ascii="宋体" w:eastAsia="宋体" w:hAnsi="宋体" w:cs="宋体" w:hint="eastAsia"/>
          <w:color w:val="000000"/>
          <w:kern w:val="0"/>
          <w:sz w:val="20"/>
          <w:szCs w:val="20"/>
        </w:rPr>
        <w:t>、</w:t>
      </w:r>
      <w:proofErr w:type="spellStart"/>
      <w:r w:rsidRPr="00F34BAE">
        <w:rPr>
          <w:rFonts w:ascii="宋体" w:eastAsia="宋体" w:hAnsi="宋体" w:cs="宋体" w:hint="eastAsia"/>
          <w:color w:val="000000"/>
          <w:kern w:val="0"/>
          <w:sz w:val="20"/>
          <w:szCs w:val="20"/>
        </w:rPr>
        <w:t>Milurit</w:t>
      </w:r>
      <w:proofErr w:type="spellEnd"/>
      <w:r w:rsidRPr="00F34BAE">
        <w:rPr>
          <w:rFonts w:ascii="宋体" w:eastAsia="宋体" w:hAnsi="宋体" w:cs="宋体" w:hint="eastAsia"/>
          <w:color w:val="000000"/>
          <w:kern w:val="0"/>
          <w:sz w:val="20"/>
          <w:szCs w:val="20"/>
        </w:rPr>
        <w:t>、</w:t>
      </w:r>
      <w:proofErr w:type="spellStart"/>
      <w:r w:rsidRPr="00F34BAE">
        <w:rPr>
          <w:rFonts w:ascii="宋体" w:eastAsia="宋体" w:hAnsi="宋体" w:cs="宋体" w:hint="eastAsia"/>
          <w:color w:val="000000"/>
          <w:kern w:val="0"/>
          <w:sz w:val="20"/>
          <w:szCs w:val="20"/>
        </w:rPr>
        <w:t>Progout</w:t>
      </w:r>
      <w:proofErr w:type="spellEnd"/>
      <w:r w:rsidRPr="00F34BAE">
        <w:rPr>
          <w:rFonts w:ascii="宋体" w:eastAsia="宋体" w:hAnsi="宋体" w:cs="宋体" w:hint="eastAsia"/>
          <w:color w:val="000000"/>
          <w:kern w:val="0"/>
          <w:sz w:val="20"/>
          <w:szCs w:val="20"/>
        </w:rPr>
        <w:t>、</w:t>
      </w:r>
      <w:proofErr w:type="spellStart"/>
      <w:r w:rsidRPr="00F34BAE">
        <w:rPr>
          <w:rFonts w:ascii="宋体" w:eastAsia="宋体" w:hAnsi="宋体" w:cs="宋体" w:hint="eastAsia"/>
          <w:color w:val="000000"/>
          <w:kern w:val="0"/>
          <w:sz w:val="20"/>
          <w:szCs w:val="20"/>
        </w:rPr>
        <w:t>Valeric</w:t>
      </w:r>
      <w:proofErr w:type="spellEnd"/>
      <w:r w:rsidRPr="00F34BAE">
        <w:rPr>
          <w:rFonts w:ascii="宋体" w:eastAsia="宋体" w:hAnsi="宋体" w:cs="宋体" w:hint="eastAsia"/>
          <w:color w:val="000000"/>
          <w:kern w:val="0"/>
          <w:sz w:val="20"/>
          <w:szCs w:val="20"/>
        </w:rPr>
        <w:t>、</w:t>
      </w:r>
      <w:proofErr w:type="spellStart"/>
      <w:r w:rsidRPr="00F34BAE">
        <w:rPr>
          <w:rFonts w:ascii="宋体" w:eastAsia="宋体" w:hAnsi="宋体" w:cs="宋体" w:hint="eastAsia"/>
          <w:color w:val="000000"/>
          <w:kern w:val="0"/>
          <w:sz w:val="20"/>
          <w:szCs w:val="20"/>
        </w:rPr>
        <w:t>Zyloprim</w:t>
      </w:r>
      <w:proofErr w:type="spellEnd"/>
      <w:r w:rsidRPr="00F34BAE">
        <w:rPr>
          <w:rFonts w:ascii="宋体" w:eastAsia="宋体" w:hAnsi="宋体" w:cs="宋体" w:hint="eastAsia"/>
          <w:color w:val="000000"/>
          <w:kern w:val="0"/>
          <w:sz w:val="20"/>
          <w:szCs w:val="20"/>
        </w:rPr>
        <w:t>、Zyloric。</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【药理分类】</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代谢及内分泌系统用药&gt;&gt;抗痛风药&gt;&gt;其它抗痛风药</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【临床应用】</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CFDA说明书适应症</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1.用于原发性和继发性高尿酸血症，尤其是尿酸生成过多者，也用于伴有肾功能不全的高尿酸血症。</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2.用于痛风反复发作或慢性痛风。</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3.用于痛风石。</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4.用于尿酸性肾结石和(或)尿酸性肾病。</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其他临床应用参考</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用于复发性草酸钙结石。(FDA批准适应症)</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【用法与用量】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成人</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◆常规剂量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·一般用法</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1.口服给药  (1)普通片剂：初始剂量一次50mg，一日1-2次，一周可递增50-100mg，至一日200-300mg，分2-3次服，每2周测血液和尿液的尿酸水平，如已达正常水平，则不再增量；如测定值仍高，可再增加剂量。最大日剂量为600mg。(2)缓释片或缓释胶囊：一次250mg，一日1次，应根据病情和生化检查结果(如血液和尿液的尿酸水平)酌情调整剂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◆肾功能不全时剂量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lastRenderedPageBreak/>
        <w:t>肾功能损害者应减少日剂量，并按肌酐清除率调整剂量。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◆肝功能不全时剂量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肝功能损害者应减少日剂量。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◆老年人剂量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老年患者应减少日剂量。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儿童</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◆常规剂量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·继发性高尿酸血症</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1.口服给药  普通片剂：6岁以下儿童，一次50mg，一日1-3次；6-10岁儿童，一次100mg，一日1-3次。剂量可酌情调整。</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【国外用法用量参考】</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成人</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◆常规剂量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·抗肿瘤治疗引起的高尿酸血症</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1.口服给药  一日600-800mg，连用2-3日，最大日剂量为800mg，于化疗开始前3日至开始前12小时用药；或一次25-100mg/m</w:t>
      </w:r>
      <w:r w:rsidRPr="00F34BAE">
        <w:rPr>
          <w:rFonts w:ascii="宋体" w:eastAsia="宋体" w:hAnsi="宋体" w:cs="宋体" w:hint="eastAsia"/>
          <w:color w:val="000000"/>
          <w:kern w:val="0"/>
          <w:sz w:val="20"/>
          <w:szCs w:val="20"/>
          <w:vertAlign w:val="superscript"/>
        </w:rPr>
        <w:t>2</w:t>
      </w:r>
      <w:r w:rsidRPr="00F34BAE">
        <w:rPr>
          <w:rFonts w:ascii="宋体" w:eastAsia="宋体" w:hAnsi="宋体" w:cs="宋体" w:hint="eastAsia"/>
          <w:color w:val="000000"/>
          <w:kern w:val="0"/>
          <w:sz w:val="20"/>
          <w:szCs w:val="20"/>
        </w:rPr>
        <w:t>，每8小时1次，最大日剂量为300mg/m</w:t>
      </w:r>
      <w:r w:rsidRPr="00F34BAE">
        <w:rPr>
          <w:rFonts w:ascii="宋体" w:eastAsia="宋体" w:hAnsi="宋体" w:cs="宋体" w:hint="eastAsia"/>
          <w:color w:val="000000"/>
          <w:kern w:val="0"/>
          <w:sz w:val="20"/>
          <w:szCs w:val="20"/>
          <w:vertAlign w:val="superscript"/>
        </w:rPr>
        <w:t>2</w:t>
      </w:r>
      <w:r w:rsidRPr="00F34BAE">
        <w:rPr>
          <w:rFonts w:ascii="宋体" w:eastAsia="宋体" w:hAnsi="宋体" w:cs="宋体" w:hint="eastAsia"/>
          <w:color w:val="000000"/>
          <w:kern w:val="0"/>
          <w:sz w:val="20"/>
          <w:szCs w:val="20"/>
        </w:rPr>
        <w:t>或10mg/kg(每8小时使用1次)，一日总剂量不超过800mg，于化疗开始前24-48小时用药。</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2.静脉滴注  口服无法耐受者，一日200-400mg/m</w:t>
      </w:r>
      <w:r w:rsidRPr="00F34BAE">
        <w:rPr>
          <w:rFonts w:ascii="宋体" w:eastAsia="宋体" w:hAnsi="宋体" w:cs="宋体" w:hint="eastAsia"/>
          <w:color w:val="000000"/>
          <w:kern w:val="0"/>
          <w:sz w:val="20"/>
          <w:szCs w:val="20"/>
          <w:vertAlign w:val="superscript"/>
        </w:rPr>
        <w:t>2</w:t>
      </w:r>
      <w:r w:rsidRPr="00F34BAE">
        <w:rPr>
          <w:rFonts w:ascii="宋体" w:eastAsia="宋体" w:hAnsi="宋体" w:cs="宋体" w:hint="eastAsia"/>
          <w:color w:val="000000"/>
          <w:kern w:val="0"/>
          <w:sz w:val="20"/>
          <w:szCs w:val="20"/>
        </w:rPr>
        <w:t>，1次或分次(两次间隔6、8或12小时，剂量按次均分)于化疗开始前24-48小时用药。应根据病情调整剂量，最大日剂量为600mg。</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·痛风</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1.口服给药  轻度患者，一日100-300mg，1次或分次(2-3次)使用；中至重度患者，一日400-600mg，1次或分次(2-3次)使用，最大日剂量为800mg。</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·复发性草酸钙结石</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1.口服给药  一日200-300mg，1次或分次(2-3次)使用，单剂最大为300mg，最大日剂量为800mg。</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◆肾功能不全时剂量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肾功能不全者用药：(1)根据肌酐清除率(</w:t>
      </w:r>
      <w:proofErr w:type="spellStart"/>
      <w:r w:rsidRPr="00F34BAE">
        <w:rPr>
          <w:rFonts w:ascii="宋体" w:eastAsia="宋体" w:hAnsi="宋体" w:cs="宋体" w:hint="eastAsia"/>
          <w:color w:val="000000"/>
          <w:kern w:val="0"/>
          <w:sz w:val="20"/>
          <w:szCs w:val="20"/>
        </w:rPr>
        <w:t>CrCl</w:t>
      </w:r>
      <w:proofErr w:type="spellEnd"/>
      <w:r w:rsidRPr="00F34BAE">
        <w:rPr>
          <w:rFonts w:ascii="宋体" w:eastAsia="宋体" w:hAnsi="宋体" w:cs="宋体" w:hint="eastAsia"/>
          <w:color w:val="000000"/>
          <w:kern w:val="0"/>
          <w:sz w:val="20"/>
          <w:szCs w:val="20"/>
        </w:rPr>
        <w:t>)调整剂量：①口服给药，</w:t>
      </w:r>
      <w:proofErr w:type="spellStart"/>
      <w:r w:rsidRPr="00F34BAE">
        <w:rPr>
          <w:rFonts w:ascii="宋体" w:eastAsia="宋体" w:hAnsi="宋体" w:cs="宋体" w:hint="eastAsia"/>
          <w:color w:val="000000"/>
          <w:kern w:val="0"/>
          <w:sz w:val="20"/>
          <w:szCs w:val="20"/>
        </w:rPr>
        <w:t>CrCl</w:t>
      </w:r>
      <w:proofErr w:type="spellEnd"/>
      <w:r w:rsidRPr="00F34BAE">
        <w:rPr>
          <w:rFonts w:ascii="宋体" w:eastAsia="宋体" w:hAnsi="宋体" w:cs="宋体" w:hint="eastAsia"/>
          <w:color w:val="000000"/>
          <w:kern w:val="0"/>
          <w:sz w:val="20"/>
          <w:szCs w:val="20"/>
        </w:rPr>
        <w:t>为10-20ml/min时，一日200mg；</w:t>
      </w:r>
      <w:proofErr w:type="spellStart"/>
      <w:r w:rsidRPr="00F34BAE">
        <w:rPr>
          <w:rFonts w:ascii="宋体" w:eastAsia="宋体" w:hAnsi="宋体" w:cs="宋体" w:hint="eastAsia"/>
          <w:color w:val="000000"/>
          <w:kern w:val="0"/>
          <w:sz w:val="20"/>
          <w:szCs w:val="20"/>
        </w:rPr>
        <w:t>CrCl</w:t>
      </w:r>
      <w:proofErr w:type="spellEnd"/>
      <w:r w:rsidRPr="00F34BAE">
        <w:rPr>
          <w:rFonts w:ascii="宋体" w:eastAsia="宋体" w:hAnsi="宋体" w:cs="宋体" w:hint="eastAsia"/>
          <w:color w:val="000000"/>
          <w:kern w:val="0"/>
          <w:sz w:val="20"/>
          <w:szCs w:val="20"/>
        </w:rPr>
        <w:t>为3-10ml/min时，一日100mg；</w:t>
      </w:r>
      <w:proofErr w:type="spellStart"/>
      <w:r w:rsidRPr="00F34BAE">
        <w:rPr>
          <w:rFonts w:ascii="宋体" w:eastAsia="宋体" w:hAnsi="宋体" w:cs="宋体" w:hint="eastAsia"/>
          <w:color w:val="000000"/>
          <w:kern w:val="0"/>
          <w:sz w:val="20"/>
          <w:szCs w:val="20"/>
        </w:rPr>
        <w:t>CrCl</w:t>
      </w:r>
      <w:proofErr w:type="spellEnd"/>
      <w:r w:rsidRPr="00F34BAE">
        <w:rPr>
          <w:rFonts w:ascii="宋体" w:eastAsia="宋体" w:hAnsi="宋体" w:cs="宋体" w:hint="eastAsia"/>
          <w:color w:val="000000"/>
          <w:kern w:val="0"/>
          <w:sz w:val="20"/>
          <w:szCs w:val="20"/>
        </w:rPr>
        <w:t>小于3ml/min时，剂量为100mg，给药间隔应延长(必要时应超过24小时)。②静脉滴注，</w:t>
      </w:r>
      <w:proofErr w:type="spellStart"/>
      <w:r w:rsidRPr="00F34BAE">
        <w:rPr>
          <w:rFonts w:ascii="宋体" w:eastAsia="宋体" w:hAnsi="宋体" w:cs="宋体" w:hint="eastAsia"/>
          <w:color w:val="000000"/>
          <w:kern w:val="0"/>
          <w:sz w:val="20"/>
          <w:szCs w:val="20"/>
        </w:rPr>
        <w:t>CrCl</w:t>
      </w:r>
      <w:proofErr w:type="spellEnd"/>
      <w:r w:rsidRPr="00F34BAE">
        <w:rPr>
          <w:rFonts w:ascii="宋体" w:eastAsia="宋体" w:hAnsi="宋体" w:cs="宋体" w:hint="eastAsia"/>
          <w:color w:val="000000"/>
          <w:kern w:val="0"/>
          <w:sz w:val="20"/>
          <w:szCs w:val="20"/>
        </w:rPr>
        <w:t>为10-20ml/min时，最大日剂量为200mg；</w:t>
      </w:r>
      <w:proofErr w:type="spellStart"/>
      <w:r w:rsidRPr="00F34BAE">
        <w:rPr>
          <w:rFonts w:ascii="宋体" w:eastAsia="宋体" w:hAnsi="宋体" w:cs="宋体" w:hint="eastAsia"/>
          <w:color w:val="000000"/>
          <w:kern w:val="0"/>
          <w:sz w:val="20"/>
          <w:szCs w:val="20"/>
        </w:rPr>
        <w:t>CrCl</w:t>
      </w:r>
      <w:proofErr w:type="spellEnd"/>
      <w:r w:rsidRPr="00F34BAE">
        <w:rPr>
          <w:rFonts w:ascii="宋体" w:eastAsia="宋体" w:hAnsi="宋体" w:cs="宋体" w:hint="eastAsia"/>
          <w:color w:val="000000"/>
          <w:kern w:val="0"/>
          <w:sz w:val="20"/>
          <w:szCs w:val="20"/>
        </w:rPr>
        <w:t>为3-10ml/min时，最大日剂量为100mg；</w:t>
      </w:r>
      <w:proofErr w:type="spellStart"/>
      <w:r w:rsidRPr="00F34BAE">
        <w:rPr>
          <w:rFonts w:ascii="宋体" w:eastAsia="宋体" w:hAnsi="宋体" w:cs="宋体" w:hint="eastAsia"/>
          <w:color w:val="000000"/>
          <w:kern w:val="0"/>
          <w:sz w:val="20"/>
          <w:szCs w:val="20"/>
        </w:rPr>
        <w:t>CrCl</w:t>
      </w:r>
      <w:proofErr w:type="spellEnd"/>
      <w:r w:rsidRPr="00F34BAE">
        <w:rPr>
          <w:rFonts w:ascii="宋体" w:eastAsia="宋体" w:hAnsi="宋体" w:cs="宋体" w:hint="eastAsia"/>
          <w:color w:val="000000"/>
          <w:kern w:val="0"/>
          <w:sz w:val="20"/>
          <w:szCs w:val="20"/>
        </w:rPr>
        <w:t>小于3ml/min时，最大日剂量为100mg，给药间隔应超过24小时。(2)根据肾小球滤过率(GFR)调整剂量：GFR大于50ml/min时，剂量为常规剂量的75%；GFR为10-50ml/min时，剂量为常规剂量的50%；GFR小于10ml/min时，剂量为常规剂量的25%。</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◆老年人剂量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因老年患者的肾功能下降，可能需要调整剂量。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lastRenderedPageBreak/>
        <w:t>儿童</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◆常规剂量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·抗肿瘤治疗引起的高尿酸血症</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1.口服给药  6岁以下儿童，一次150mg，一日1次，连用2-3日；6-10岁儿童，一次300mg，一日1次，连用2-3日。</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2.静脉滴注  口服无法耐受者，一日200mg/m</w:t>
      </w:r>
      <w:r w:rsidRPr="00F34BAE">
        <w:rPr>
          <w:rFonts w:ascii="宋体" w:eastAsia="宋体" w:hAnsi="宋体" w:cs="宋体" w:hint="eastAsia"/>
          <w:color w:val="000000"/>
          <w:kern w:val="0"/>
          <w:sz w:val="20"/>
          <w:szCs w:val="20"/>
          <w:vertAlign w:val="superscript"/>
        </w:rPr>
        <w:t>2</w:t>
      </w:r>
      <w:r w:rsidRPr="00F34BAE">
        <w:rPr>
          <w:rFonts w:ascii="宋体" w:eastAsia="宋体" w:hAnsi="宋体" w:cs="宋体" w:hint="eastAsia"/>
          <w:color w:val="000000"/>
          <w:kern w:val="0"/>
          <w:sz w:val="20"/>
          <w:szCs w:val="20"/>
        </w:rPr>
        <w:t>，1次或分次(两次间隔6、8或12小时，剂量按次均分)于化疗开始前24-48小时用药。应根据病情调整剂量。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◆肾功能不全时剂量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参见成人“肾功能不全时剂量”项。</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【给药说明】</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给药方式说明</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口服给药  餐后用药可减轻或避免消化系统不良反应。</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【禁忌症】</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1.对本药过敏者。</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2.严重肝、肾功能不全者。</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3.明显血细胞低下者。</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4.妊娠期妇女。</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5.哺乳期妇女。</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【慎用】</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1.肝、肾功能不全者。</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2.有特发性血色素沉积症病史者(国外资料)。</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3.骨髓抑制者(国外资料)。</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4.老年患者。</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【特殊人群】</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儿童</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尚无儿童使用本药缓释制剂的研究资料。因本药缓释制剂的剂量难以准确调整，儿童仅在确有必要时使用，且应根据患儿的病情及血尿酸和尿尿酸的检测结果，随时对剂量进行调整，以保证使用最低有效剂量。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老人</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老年患者应慎用本药。</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妊娠期妇女</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lastRenderedPageBreak/>
        <w:t>1.国内资料指出妊娠期妇女禁用本药。</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2.美国食品药品管理局(FDA)对本药的妊娠安全性分级为C级。</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哺乳期妇女</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本药及其代谢产物氧嘌呤醇均可随乳汁排泄，哺乳期妇女禁用。</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特殊疾病状态</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肾功能不全者：因可能增加发生过敏反应的风险，故此类患者慎用本药。</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【不良反应】</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1.代谢/内分泌系统  可见糖耐量减低(或出现糖尿病症状)。在治疗期间，从肌肉活检中发现次黄嘌呤、黄嘌呤及羟嘌呤醇结晶，临床上出现肌肉疼痛(这种情况并不多见，而且存在有诱因或肾脏疾病)。</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2.泌尿生殖系统  可见肌酐清除率降低、少尿、间质性肾炎，甚至发生进行性肾衰竭。长期用药可出现黄嘌呤肾病或结石。</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3.免疫系统  可见淋巴结肿大。</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4.神经系统  常见头痛、头晕，罕见手脚麻木感、乏力等，停药后则恢复。</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5.肝脏  可见暂时性氨基转移酶升高，可引起肝肉芽肿形成伴胆囊炎、胆管周围炎、过敏性肝坏死，甚至出现肝功能衰竭。</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6.胃肠道  可见恶心、呕吐、腹泻、腹痛、食欲减退、口腔溃疡等。</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7.血液  可见白细胞减少、血小板减少、贫血、粒细胞减少、全血细胞减少、骨髓抑制。</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8.皮肤  可见脱发、中毒性表皮坏死松解症、重症多形性红斑。</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9.眼  有导致白内障的报道。</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10.过敏反应  可见皮疹，可呈瘙痒性丘疹或荨麻疹，也可为水疱性反应等。尚可见过敏性血管炎、剥脱性皮炎。极罕见表皮坏死(Lyell综合征)。严重者可出现全身过敏性反应。</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11.其他  可见发热，罕见疼痛(如刺痛)。</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【药物相互作用】</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药物-药物相互作用</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1.排尿酸药：</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结果：合用可增强疗效。</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2.秋水仙碱：</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结果：合用可有效抑制急性痛风的发作。</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机制：本药在治疗初期阻断黄嘌呤转变为尿酸的同时，还可引起尿酸在体内快速重新分布，诱导急性痛风发作；而秋水仙碱作用于关节腔及体腔的各连接组织，可缓解急性痛风的关节痛、炎症和肿胀，降低痛风的严重度和发作频率。</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lastRenderedPageBreak/>
        <w:t>3.丙磺舒：</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结果：合用可升高丙磺舒血药浓度，增强机体清除尿酸的能力。</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机制：本药可降低丙磺舒代谢。</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4.阿莫西林、氨苄西林等：</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结果：合用时皮疹的发生率增加，尤其是高尿酸血症患者。</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5.血管紧张素转换酶抑制药、氨氯地平：</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结果：合用可引起史-约综合征(Stevens-Johnson syndrome)和皮疹等过敏反应。</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处理：慢性肾衰竭患者合用应谨慎。</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6.环磷酰胺：</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结果：合用可增强对骨髓的抑制。</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7.去羟肌苷：</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结果：本药可增加去羟肌苷的生物利用度，从而升高其血药浓度。</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8.口服降糖药(如甲苯磺丁脲等)：</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结果：合用可能导致血糖过低。</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机制：本药可使口服降糖药活性增强。</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9.茶碱：</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结果：合用易发生茶碱中毒反应。</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机制：本药可使茶碱清除率降低，血药浓度升高。</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处理：合用时应严密监测茶碱血清浓度，必要时调整茶碱剂量。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10.铁盐：</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结果：合用可使铁在组织中过量蓄积，引起含铁血黄素沉着。</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处理：两药不宜合用。</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11.抗凝血药(如双香豆素、茚满二酮、华法林等)：</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结果：合用可增加出血的危险性。</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机制：本药可抑制以上药物的代谢。</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处理：合用时应密切监测凝血酶原时间、国际标准化比值(INR)，必要时调整抗凝血药的剂量。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12.免疫抑制药(硫唑嘌呤或巯嘌呤等)：</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结果：合用可使以上药物疗效增加2-4倍，毒性增大。</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机制：本药可抑制黄嘌呤氧化酶从而延长以上药物的半衰期。</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处理：合用时硫唑嘌呤或巯嘌呤的用量一般要减少至常用量的1/4-1/3。</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lastRenderedPageBreak/>
        <w:t>13.阿糖腺苷：</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结果：合用可导致神经毒性、震颤、认知功能损害。</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处理：必须合用时应仔细监测神经毒性表现，阿糖腺苷的剂量可能需要调整。</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14.抗结核药(吡嗪酰胺、乙胺丁醇)、肾上腺素类药：</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结果：合用可降低本药疗效。</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15.制酸药(如氢氧化铝)：</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结果：此类药物可能通过减少本药的吸收而降低本药的疗效。</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16.吡嗪酰胺、利尿药(如氯噻酮、依他尼酸、呋塞米、美托拉宗、噻嗪类利尿药等)：</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结果：以上药物可增加血清中尿酸浓度。有高血压或肾功能不全的患者合用本药及噻嗪类利尿药发生肾衰竭及过敏反应的报道。</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处理：合用于控制痛风和高尿酸血症时，应注意调整本药用量。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17.尿酸化药：</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结果：合用可增加肾结石形成的风险。</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药物-酒精/尼古丁相互作用</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酒精：</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结果：饮酒可使血清中尿酸含量增加，降低本药药效。</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药物-食物相互作用</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1.低蛋白饮食：</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结果：患者进食低蛋白饮食时，可能导致本药及氧嘌呤醇的生物利用度增加。</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机制：低蛋白饮食可能引起肾小管对氧嘌呤醇吸收增加。</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处理：使用本药时不可过度限制蛋白质的摄入。</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2.茶、咖啡等食物或饮料：</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结果：合用可降低本药药效。</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【注意事项】</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用药警示</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1.本药不可用于治疗无症状的高尿酸血症。</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2.本药不能控制痛风性关节炎的急性炎症症状，不可作为抗炎药使用，必须在痛风性关节炎的急性炎症症状消失后(一般在发作后两周左右)方可开始使用。痛风急性期服用，可造成尿酸结晶迁延和痛风性关节炎持续。</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3.本药用于血尿酸和24小时尿尿酸过多，或有痛风石或泌尿系结石及不宜用排尿酸药者。当从排尿酸药换成本药时，排尿酸药的用量应在数周内逐渐减少，本药用量逐渐增多，直到能维持正常血尿酸浓度。</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lastRenderedPageBreak/>
        <w:t>4.本药必须由小剂量开始，逐渐递增至有效量维持正常血尿酸和尿尿酸水平，以后逐渐减量，以最低有效量维持较长时间。</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5.在治疗的最初几个月内，痛风的急性发作可能更频繁，因此应同时服用预防量的秋水仙碱；而在本药治疗期间出现痛风急性发作时，应及时给予足量的秋水仙碱。</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6.用药期间应大量饮水，使尿液呈中性或碱性以利尿酸排泄。</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7.本药有致眩晕的危险，用药期间不宜驾驶及操作机械。</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不良反应的处理方法</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1.用药期间出现任何血液系统不良反应时，均应考虑停药。</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2.如出现皮肤反应或超敏反应，应立即停药。</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用药前后及用药时应当检查或监测</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1.用药期间应定期检查血常规及肝肾功能。</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2.用药前及用药期间应定期检查血尿酸及24小时尿尿酸水平，以此作为调整药物剂量的依据。</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【国外专科用药信息参考】</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精神状况信息</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1.对精神状态的影响：本药可能引起嗜睡。</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2.对精神障碍治疗的影响：本药极少引起骨髓抑制，与氯氮平和卡马西平合用需谨慎。</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【药物过量】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过量的表现</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服药量达20g时，有出现恶心、呕吐、腹泻、头晕的报道，还有出现少尿、背痛的个案报道。</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过量的处理</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用药过量时，应迅速洗胃并适当给予支持疗法，尽快排除未被吸收的药物(保持较大的尿量以增加本药及其代谢物的清除)，同时采取适当的对症治疗，或进行血液透析。</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【药理】</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药效学</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本药及其代谢产物氧嘌呤醇(</w:t>
      </w:r>
      <w:proofErr w:type="spellStart"/>
      <w:r w:rsidRPr="00F34BAE">
        <w:rPr>
          <w:rFonts w:ascii="宋体" w:eastAsia="宋体" w:hAnsi="宋体" w:cs="宋体" w:hint="eastAsia"/>
          <w:color w:val="000000"/>
          <w:kern w:val="0"/>
          <w:sz w:val="20"/>
          <w:szCs w:val="20"/>
        </w:rPr>
        <w:t>oxypurinol</w:t>
      </w:r>
      <w:proofErr w:type="spellEnd"/>
      <w:r w:rsidRPr="00F34BAE">
        <w:rPr>
          <w:rFonts w:ascii="宋体" w:eastAsia="宋体" w:hAnsi="宋体" w:cs="宋体" w:hint="eastAsia"/>
          <w:color w:val="000000"/>
          <w:kern w:val="0"/>
          <w:sz w:val="20"/>
          <w:szCs w:val="20"/>
        </w:rPr>
        <w:t>)均可抑制黄嘌呤氧化酶(后者可使次黄嘌呤转变为黄嘌呤，再使黄嘌呤转变成尿酸)，使尿酸生成减少，血中及尿中的尿酸含量降低到溶解度以下，从而防止尿酸形成结晶沉积在关节及其他组织内。本药也有助于痛风结节及尿酸结晶的重新溶解。此外，通过对次黄嘌呤-鸟嘌呤磷酸核酸转换酶的作用，本药可抑制体内新的嘌呤的合成。</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药动学</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本药口服易吸收，胃肠道吸收率80%-90%，分布容积为1.6-2.43L/kg。口服300mg后，血药峰浓度(</w:t>
      </w:r>
      <w:proofErr w:type="spellStart"/>
      <w:r w:rsidRPr="00F34BAE">
        <w:rPr>
          <w:rFonts w:ascii="宋体" w:eastAsia="宋体" w:hAnsi="宋体" w:cs="宋体" w:hint="eastAsia"/>
          <w:color w:val="000000"/>
          <w:kern w:val="0"/>
          <w:sz w:val="20"/>
          <w:szCs w:val="20"/>
        </w:rPr>
        <w:t>C</w:t>
      </w:r>
      <w:r w:rsidRPr="00F34BAE">
        <w:rPr>
          <w:rFonts w:ascii="宋体" w:eastAsia="宋体" w:hAnsi="宋体" w:cs="宋体" w:hint="eastAsia"/>
          <w:color w:val="000000"/>
          <w:kern w:val="0"/>
          <w:sz w:val="20"/>
          <w:szCs w:val="20"/>
          <w:vertAlign w:val="subscript"/>
        </w:rPr>
        <w:t>max</w:t>
      </w:r>
      <w:proofErr w:type="spellEnd"/>
      <w:r w:rsidRPr="00F34BAE">
        <w:rPr>
          <w:rFonts w:ascii="宋体" w:eastAsia="宋体" w:hAnsi="宋体" w:cs="宋体" w:hint="eastAsia"/>
          <w:color w:val="000000"/>
          <w:kern w:val="0"/>
          <w:sz w:val="20"/>
          <w:szCs w:val="20"/>
        </w:rPr>
        <w:t>)为3-9μg/ml，氧嘌呤醇于2-5小时达到</w:t>
      </w:r>
      <w:proofErr w:type="spellStart"/>
      <w:r w:rsidRPr="00F34BAE">
        <w:rPr>
          <w:rFonts w:ascii="宋体" w:eastAsia="宋体" w:hAnsi="宋体" w:cs="宋体" w:hint="eastAsia"/>
          <w:color w:val="000000"/>
          <w:kern w:val="0"/>
          <w:sz w:val="20"/>
          <w:szCs w:val="20"/>
        </w:rPr>
        <w:t>C</w:t>
      </w:r>
      <w:r w:rsidRPr="00F34BAE">
        <w:rPr>
          <w:rFonts w:ascii="宋体" w:eastAsia="宋体" w:hAnsi="宋体" w:cs="宋体" w:hint="eastAsia"/>
          <w:color w:val="000000"/>
          <w:kern w:val="0"/>
          <w:sz w:val="20"/>
          <w:szCs w:val="20"/>
          <w:vertAlign w:val="subscript"/>
        </w:rPr>
        <w:t>max</w:t>
      </w:r>
      <w:proofErr w:type="spellEnd"/>
      <w:r w:rsidRPr="00F34BAE">
        <w:rPr>
          <w:rFonts w:ascii="宋体" w:eastAsia="宋体" w:hAnsi="宋体" w:cs="宋体" w:hint="eastAsia"/>
          <w:color w:val="000000"/>
          <w:kern w:val="0"/>
          <w:sz w:val="20"/>
          <w:szCs w:val="20"/>
        </w:rPr>
        <w:t>(为5.89μg/ml)。静脉给予本药100mg和300mg，30分钟时达到</w:t>
      </w:r>
      <w:proofErr w:type="spellStart"/>
      <w:r w:rsidRPr="00F34BAE">
        <w:rPr>
          <w:rFonts w:ascii="宋体" w:eastAsia="宋体" w:hAnsi="宋体" w:cs="宋体" w:hint="eastAsia"/>
          <w:color w:val="000000"/>
          <w:kern w:val="0"/>
          <w:sz w:val="20"/>
          <w:szCs w:val="20"/>
        </w:rPr>
        <w:t>C</w:t>
      </w:r>
      <w:r w:rsidRPr="00F34BAE">
        <w:rPr>
          <w:rFonts w:ascii="宋体" w:eastAsia="宋体" w:hAnsi="宋体" w:cs="宋体" w:hint="eastAsia"/>
          <w:color w:val="000000"/>
          <w:kern w:val="0"/>
          <w:sz w:val="20"/>
          <w:szCs w:val="20"/>
          <w:vertAlign w:val="subscript"/>
        </w:rPr>
        <w:t>max</w:t>
      </w:r>
      <w:proofErr w:type="spellEnd"/>
      <w:r w:rsidRPr="00F34BAE">
        <w:rPr>
          <w:rFonts w:ascii="宋体" w:eastAsia="宋体" w:hAnsi="宋体" w:cs="宋体" w:hint="eastAsia"/>
          <w:color w:val="000000"/>
          <w:kern w:val="0"/>
          <w:sz w:val="20"/>
          <w:szCs w:val="20"/>
        </w:rPr>
        <w:t>(分别为1.58μg/ml、5.12μg/ml)；氧嘌呤醇于给药后4小时达到</w:t>
      </w:r>
      <w:proofErr w:type="spellStart"/>
      <w:r w:rsidRPr="00F34BAE">
        <w:rPr>
          <w:rFonts w:ascii="宋体" w:eastAsia="宋体" w:hAnsi="宋体" w:cs="宋体" w:hint="eastAsia"/>
          <w:color w:val="000000"/>
          <w:kern w:val="0"/>
          <w:sz w:val="20"/>
          <w:szCs w:val="20"/>
        </w:rPr>
        <w:t>C</w:t>
      </w:r>
      <w:r w:rsidRPr="00F34BAE">
        <w:rPr>
          <w:rFonts w:ascii="宋体" w:eastAsia="宋体" w:hAnsi="宋体" w:cs="宋体" w:hint="eastAsia"/>
          <w:color w:val="000000"/>
          <w:kern w:val="0"/>
          <w:sz w:val="20"/>
          <w:szCs w:val="20"/>
          <w:vertAlign w:val="subscript"/>
        </w:rPr>
        <w:t>max</w:t>
      </w:r>
      <w:proofErr w:type="spellEnd"/>
      <w:r w:rsidRPr="00F34BAE">
        <w:rPr>
          <w:rFonts w:ascii="宋体" w:eastAsia="宋体" w:hAnsi="宋体" w:cs="宋体" w:hint="eastAsia"/>
          <w:color w:val="000000"/>
          <w:kern w:val="0"/>
          <w:sz w:val="20"/>
          <w:szCs w:val="20"/>
        </w:rPr>
        <w:t>(分别为2.2μg/ml、6.18μg/ml)。口服24小时后血尿酸浓度开始下降，在2-4周时下降最为明显。本</w:t>
      </w:r>
      <w:r w:rsidRPr="00F34BAE">
        <w:rPr>
          <w:rFonts w:ascii="宋体" w:eastAsia="宋体" w:hAnsi="宋体" w:cs="宋体" w:hint="eastAsia"/>
          <w:color w:val="000000"/>
          <w:kern w:val="0"/>
          <w:sz w:val="20"/>
          <w:szCs w:val="20"/>
        </w:rPr>
        <w:lastRenderedPageBreak/>
        <w:t>药约70%在肝内代谢为具有活性的氧嘌呤醇，两者均不与血浆蛋白结合。约10%以原形、70%以代谢物随尿排出，亦可随乳汁排泄。合用排尿酸药可促进氧嘌呤醇的排泄，但肾功能不全时其排出量减少。本药半衰期为1-3小时，氧嘌呤醇为14-28小时。</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【制剂与规格】</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别嘌醇片  100mg。</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别嘌醇缓释片  250mg。</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别嘌醇缓释胶囊  250mg。</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注射用别嘌醇钠  500mg(以别嘌醇计)。</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b/>
          <w:bCs/>
          <w:color w:val="000000"/>
          <w:kern w:val="0"/>
          <w:sz w:val="20"/>
          <w:szCs w:val="20"/>
        </w:rPr>
        <w:t>【贮藏】</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片剂：遮光，于10-30℃密封保存。</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缓释片：遮光，于干燥处密封保存。</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缓释胶囊：遮光，密封保存。</w:t>
      </w:r>
    </w:p>
    <w:p w:rsidR="00F34BAE" w:rsidRPr="00F34BAE" w:rsidRDefault="00F34BAE" w:rsidP="00F34BAE">
      <w:pPr>
        <w:widowControl/>
        <w:spacing w:before="150" w:after="150" w:line="270" w:lineRule="atLeast"/>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粉针剂：于20-25℃保存。</w:t>
      </w:r>
    </w:p>
    <w:p w:rsidR="00F34BAE" w:rsidRPr="00F34BAE" w:rsidRDefault="00F34BAE" w:rsidP="00F34BAE">
      <w:pPr>
        <w:widowControl/>
        <w:jc w:val="center"/>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使用</w:t>
      </w:r>
      <w:proofErr w:type="spellStart"/>
      <w:r w:rsidRPr="00F34BAE">
        <w:rPr>
          <w:rFonts w:ascii="宋体" w:eastAsia="宋体" w:hAnsi="宋体" w:cs="宋体" w:hint="eastAsia"/>
          <w:color w:val="000000"/>
          <w:kern w:val="0"/>
          <w:sz w:val="20"/>
          <w:szCs w:val="20"/>
        </w:rPr>
        <w:t>UpToDate</w:t>
      </w:r>
      <w:proofErr w:type="spellEnd"/>
      <w:r w:rsidRPr="00F34BAE">
        <w:rPr>
          <w:rFonts w:ascii="宋体" w:eastAsia="宋体" w:hAnsi="宋体" w:cs="宋体" w:hint="eastAsia"/>
          <w:color w:val="000000"/>
          <w:kern w:val="0"/>
          <w:sz w:val="20"/>
          <w:szCs w:val="20"/>
        </w:rPr>
        <w:t>临床顾问须遵循</w:t>
      </w:r>
      <w:hyperlink r:id="rId5" w:tgtFrame="_blank" w:history="1">
        <w:r w:rsidRPr="00F34BAE">
          <w:rPr>
            <w:rFonts w:ascii="宋体" w:eastAsia="宋体" w:hAnsi="宋体" w:cs="宋体" w:hint="eastAsia"/>
            <w:color w:val="336633"/>
            <w:kern w:val="0"/>
            <w:sz w:val="20"/>
            <w:szCs w:val="20"/>
            <w:u w:val="single"/>
          </w:rPr>
          <w:t>用户协议</w:t>
        </w:r>
      </w:hyperlink>
      <w:r w:rsidRPr="00F34BAE">
        <w:rPr>
          <w:rFonts w:ascii="宋体" w:eastAsia="宋体" w:hAnsi="宋体" w:cs="宋体" w:hint="eastAsia"/>
          <w:color w:val="000000"/>
          <w:kern w:val="0"/>
          <w:sz w:val="20"/>
          <w:szCs w:val="20"/>
        </w:rPr>
        <w:t>。</w:t>
      </w:r>
    </w:p>
    <w:p w:rsidR="00F34BAE" w:rsidRPr="00F34BAE" w:rsidRDefault="00F34BAE" w:rsidP="00F34BAE">
      <w:pPr>
        <w:widowControl/>
        <w:jc w:val="left"/>
        <w:rPr>
          <w:rFonts w:ascii="宋体" w:eastAsia="宋体" w:hAnsi="宋体" w:cs="宋体" w:hint="eastAsia"/>
          <w:color w:val="000000"/>
          <w:kern w:val="0"/>
          <w:sz w:val="20"/>
          <w:szCs w:val="20"/>
        </w:rPr>
      </w:pPr>
      <w:r w:rsidRPr="00F34BAE">
        <w:rPr>
          <w:rFonts w:ascii="宋体" w:eastAsia="宋体" w:hAnsi="宋体" w:cs="宋体" w:hint="eastAsia"/>
          <w:color w:val="000000"/>
          <w:kern w:val="0"/>
          <w:sz w:val="20"/>
          <w:szCs w:val="20"/>
        </w:rPr>
        <w:t>专题 92061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E5D"/>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DE0E5D"/>
    <w:rsid w:val="00E000AF"/>
    <w:rsid w:val="00E70A56"/>
    <w:rsid w:val="00EC5536"/>
    <w:rsid w:val="00ED27D2"/>
    <w:rsid w:val="00ED2D23"/>
    <w:rsid w:val="00EF6F7E"/>
    <w:rsid w:val="00F249C2"/>
    <w:rsid w:val="00F34BAE"/>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4BAE"/>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F34BAE"/>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F34BAE"/>
  </w:style>
  <w:style w:type="character" w:customStyle="1" w:styleId="h2">
    <w:name w:val="h2"/>
    <w:basedOn w:val="a0"/>
    <w:rsid w:val="00F34BAE"/>
  </w:style>
  <w:style w:type="character" w:customStyle="1" w:styleId="nowrap">
    <w:name w:val="nowrap"/>
    <w:basedOn w:val="a0"/>
    <w:rsid w:val="00F34BAE"/>
  </w:style>
  <w:style w:type="character" w:styleId="a4">
    <w:name w:val="Hyperlink"/>
    <w:basedOn w:val="a0"/>
    <w:uiPriority w:val="99"/>
    <w:semiHidden/>
    <w:unhideWhenUsed/>
    <w:rsid w:val="00F34BA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4BAE"/>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F34BAE"/>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F34BAE"/>
  </w:style>
  <w:style w:type="character" w:customStyle="1" w:styleId="h2">
    <w:name w:val="h2"/>
    <w:basedOn w:val="a0"/>
    <w:rsid w:val="00F34BAE"/>
  </w:style>
  <w:style w:type="character" w:customStyle="1" w:styleId="nowrap">
    <w:name w:val="nowrap"/>
    <w:basedOn w:val="a0"/>
    <w:rsid w:val="00F34BAE"/>
  </w:style>
  <w:style w:type="character" w:styleId="a4">
    <w:name w:val="Hyperlink"/>
    <w:basedOn w:val="a0"/>
    <w:uiPriority w:val="99"/>
    <w:semiHidden/>
    <w:unhideWhenUsed/>
    <w:rsid w:val="00F34B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546651">
      <w:bodyDiv w:val="1"/>
      <w:marLeft w:val="0"/>
      <w:marRight w:val="0"/>
      <w:marTop w:val="0"/>
      <w:marBottom w:val="0"/>
      <w:divBdr>
        <w:top w:val="none" w:sz="0" w:space="0" w:color="auto"/>
        <w:left w:val="none" w:sz="0" w:space="0" w:color="auto"/>
        <w:bottom w:val="none" w:sz="0" w:space="0" w:color="auto"/>
        <w:right w:val="none" w:sz="0" w:space="0" w:color="auto"/>
      </w:divBdr>
      <w:divsChild>
        <w:div w:id="1167357813">
          <w:marLeft w:val="0"/>
          <w:marRight w:val="0"/>
          <w:marTop w:val="480"/>
          <w:marBottom w:val="480"/>
          <w:divBdr>
            <w:top w:val="none" w:sz="0" w:space="0" w:color="auto"/>
            <w:left w:val="none" w:sz="0" w:space="0" w:color="auto"/>
            <w:bottom w:val="none" w:sz="0" w:space="0" w:color="auto"/>
            <w:right w:val="none" w:sz="0" w:space="0" w:color="auto"/>
          </w:divBdr>
        </w:div>
        <w:div w:id="1857036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840</Words>
  <Characters>4788</Characters>
  <Application>Microsoft Office Word</Application>
  <DocSecurity>0</DocSecurity>
  <Lines>39</Lines>
  <Paragraphs>11</Paragraphs>
  <ScaleCrop>false</ScaleCrop>
  <Company>China</Company>
  <LinksUpToDate>false</LinksUpToDate>
  <CharactersWithSpaces>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2015-02-09T02:10:00Z</dcterms:created>
  <dcterms:modified xsi:type="dcterms:W3CDTF">2015-02-09T02:10:00Z</dcterms:modified>
</cp:coreProperties>
</file>