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77A" w:rsidRPr="0025577A" w:rsidRDefault="0025577A" w:rsidP="0025577A">
      <w:pPr>
        <w:widowControl/>
        <w:jc w:val="left"/>
        <w:rPr>
          <w:rFonts w:ascii="宋体" w:eastAsia="宋体" w:hAnsi="宋体" w:cs="宋体"/>
          <w:b/>
          <w:bCs/>
          <w:color w:val="000000"/>
          <w:kern w:val="0"/>
          <w:sz w:val="20"/>
          <w:szCs w:val="20"/>
        </w:rPr>
      </w:pPr>
      <w:r w:rsidRPr="0025577A">
        <w:rPr>
          <w:rFonts w:ascii="宋体" w:eastAsia="宋体" w:hAnsi="宋体" w:cs="宋体" w:hint="eastAsia"/>
          <w:b/>
          <w:bCs/>
          <w:color w:val="000000"/>
          <w:kern w:val="0"/>
          <w:sz w:val="20"/>
          <w:szCs w:val="20"/>
        </w:rPr>
        <w:t>枸橼</w:t>
      </w:r>
      <w:proofErr w:type="gramStart"/>
      <w:r w:rsidRPr="0025577A">
        <w:rPr>
          <w:rFonts w:ascii="宋体" w:eastAsia="宋体" w:hAnsi="宋体" w:cs="宋体" w:hint="eastAsia"/>
          <w:b/>
          <w:bCs/>
          <w:color w:val="000000"/>
          <w:kern w:val="0"/>
          <w:sz w:val="20"/>
          <w:szCs w:val="20"/>
        </w:rPr>
        <w:t>酸他莫昔芬</w:t>
      </w:r>
      <w:proofErr w:type="gramEnd"/>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文章版本号：2</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最后发布时间：2014-4-15 9:46:43</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【特别警示】</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本药可导致患</w:t>
      </w:r>
      <w:proofErr w:type="gramStart"/>
      <w:r w:rsidRPr="0025577A">
        <w:rPr>
          <w:rFonts w:ascii="宋体" w:eastAsia="宋体" w:hAnsi="宋体" w:cs="宋体" w:hint="eastAsia"/>
          <w:color w:val="000000"/>
          <w:kern w:val="0"/>
          <w:sz w:val="20"/>
          <w:szCs w:val="20"/>
        </w:rPr>
        <w:t>原位管癌和</w:t>
      </w:r>
      <w:proofErr w:type="gramEnd"/>
      <w:r w:rsidRPr="0025577A">
        <w:rPr>
          <w:rFonts w:ascii="宋体" w:eastAsia="宋体" w:hAnsi="宋体" w:cs="宋体" w:hint="eastAsia"/>
          <w:color w:val="000000"/>
          <w:kern w:val="0"/>
          <w:sz w:val="20"/>
          <w:szCs w:val="20"/>
        </w:rPr>
        <w:t>高危乳腺癌的妇女出现严重或致命性的子宫恶性肿瘤、脑卒中及肺栓塞，此类患者用药时需权衡利弊。(FDA药品说明书-枸橼</w:t>
      </w:r>
      <w:proofErr w:type="gramStart"/>
      <w:r w:rsidRPr="0025577A">
        <w:rPr>
          <w:rFonts w:ascii="宋体" w:eastAsia="宋体" w:hAnsi="宋体" w:cs="宋体" w:hint="eastAsia"/>
          <w:color w:val="000000"/>
          <w:kern w:val="0"/>
          <w:sz w:val="20"/>
          <w:szCs w:val="20"/>
        </w:rPr>
        <w:t>酸他莫昔芬片</w:t>
      </w:r>
      <w:proofErr w:type="gramEnd"/>
      <w:r w:rsidRPr="0025577A">
        <w:rPr>
          <w:rFonts w:ascii="宋体" w:eastAsia="宋体" w:hAnsi="宋体" w:cs="宋体" w:hint="eastAsia"/>
          <w:color w:val="000000"/>
          <w:kern w:val="0"/>
          <w:sz w:val="20"/>
          <w:szCs w:val="20"/>
        </w:rPr>
        <w:t>)</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【药物名称】</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中文通用名称：枸橼</w:t>
      </w:r>
      <w:proofErr w:type="gramStart"/>
      <w:r w:rsidRPr="0025577A">
        <w:rPr>
          <w:rFonts w:ascii="宋体" w:eastAsia="宋体" w:hAnsi="宋体" w:cs="宋体" w:hint="eastAsia"/>
          <w:color w:val="000000"/>
          <w:kern w:val="0"/>
          <w:sz w:val="20"/>
          <w:szCs w:val="20"/>
        </w:rPr>
        <w:t>酸他莫昔芬</w:t>
      </w:r>
      <w:proofErr w:type="gramEnd"/>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英文通用名称：</w:t>
      </w:r>
      <w:proofErr w:type="spellStart"/>
      <w:r w:rsidRPr="0025577A">
        <w:rPr>
          <w:rFonts w:ascii="宋体" w:eastAsia="宋体" w:hAnsi="宋体" w:cs="宋体" w:hint="eastAsia"/>
          <w:color w:val="000000"/>
          <w:kern w:val="0"/>
          <w:sz w:val="20"/>
          <w:szCs w:val="20"/>
        </w:rPr>
        <w:t>Tamoxifen</w:t>
      </w:r>
      <w:proofErr w:type="spellEnd"/>
      <w:r w:rsidRPr="0025577A">
        <w:rPr>
          <w:rFonts w:ascii="宋体" w:eastAsia="宋体" w:hAnsi="宋体" w:cs="宋体" w:hint="eastAsia"/>
          <w:color w:val="000000"/>
          <w:kern w:val="0"/>
          <w:sz w:val="20"/>
          <w:szCs w:val="20"/>
        </w:rPr>
        <w:t xml:space="preserve"> Citrate</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其他名称：德孚</w:t>
      </w:r>
      <w:proofErr w:type="gramStart"/>
      <w:r w:rsidRPr="0025577A">
        <w:rPr>
          <w:rFonts w:ascii="宋体" w:eastAsia="宋体" w:hAnsi="宋体" w:cs="宋体" w:hint="eastAsia"/>
          <w:color w:val="000000"/>
          <w:kern w:val="0"/>
          <w:sz w:val="20"/>
          <w:szCs w:val="20"/>
        </w:rPr>
        <w:t>伶</w:t>
      </w:r>
      <w:proofErr w:type="gramEnd"/>
      <w:r w:rsidRPr="0025577A">
        <w:rPr>
          <w:rFonts w:ascii="宋体" w:eastAsia="宋体" w:hAnsi="宋体" w:cs="宋体" w:hint="eastAsia"/>
          <w:color w:val="000000"/>
          <w:kern w:val="0"/>
          <w:sz w:val="20"/>
          <w:szCs w:val="20"/>
        </w:rPr>
        <w:t>、枸橼酸三苯氧胺、柠檬酸三苯氧胺、</w:t>
      </w:r>
      <w:proofErr w:type="gramStart"/>
      <w:r w:rsidRPr="0025577A">
        <w:rPr>
          <w:rFonts w:ascii="宋体" w:eastAsia="宋体" w:hAnsi="宋体" w:cs="宋体" w:hint="eastAsia"/>
          <w:color w:val="000000"/>
          <w:kern w:val="0"/>
          <w:sz w:val="20"/>
          <w:szCs w:val="20"/>
        </w:rPr>
        <w:t>诺瓦得士</w:t>
      </w:r>
      <w:proofErr w:type="gramEnd"/>
      <w:r w:rsidRPr="0025577A">
        <w:rPr>
          <w:rFonts w:ascii="宋体" w:eastAsia="宋体" w:hAnsi="宋体" w:cs="宋体" w:hint="eastAsia"/>
          <w:color w:val="000000"/>
          <w:kern w:val="0"/>
          <w:sz w:val="20"/>
          <w:szCs w:val="20"/>
        </w:rPr>
        <w:t>、特</w:t>
      </w:r>
      <w:proofErr w:type="gramStart"/>
      <w:r w:rsidRPr="0025577A">
        <w:rPr>
          <w:rFonts w:ascii="宋体" w:eastAsia="宋体" w:hAnsi="宋体" w:cs="宋体" w:hint="eastAsia"/>
          <w:color w:val="000000"/>
          <w:kern w:val="0"/>
          <w:sz w:val="20"/>
          <w:szCs w:val="20"/>
        </w:rPr>
        <w:t>茉</w:t>
      </w:r>
      <w:proofErr w:type="gramEnd"/>
      <w:r w:rsidRPr="0025577A">
        <w:rPr>
          <w:rFonts w:ascii="宋体" w:eastAsia="宋体" w:hAnsi="宋体" w:cs="宋体" w:hint="eastAsia"/>
          <w:color w:val="000000"/>
          <w:kern w:val="0"/>
          <w:sz w:val="20"/>
          <w:szCs w:val="20"/>
        </w:rPr>
        <w:t>芬、昔芬、</w:t>
      </w:r>
      <w:proofErr w:type="spellStart"/>
      <w:r w:rsidRPr="0025577A">
        <w:rPr>
          <w:rFonts w:ascii="宋体" w:eastAsia="宋体" w:hAnsi="宋体" w:cs="宋体" w:hint="eastAsia"/>
          <w:color w:val="000000"/>
          <w:kern w:val="0"/>
          <w:sz w:val="20"/>
          <w:szCs w:val="20"/>
        </w:rPr>
        <w:t>Noltam</w:t>
      </w:r>
      <w:proofErr w:type="spellEnd"/>
      <w:r w:rsidRPr="0025577A">
        <w:rPr>
          <w:rFonts w:ascii="宋体" w:eastAsia="宋体" w:hAnsi="宋体" w:cs="宋体" w:hint="eastAsia"/>
          <w:color w:val="000000"/>
          <w:kern w:val="0"/>
          <w:sz w:val="20"/>
          <w:szCs w:val="20"/>
        </w:rPr>
        <w:t>、</w:t>
      </w:r>
      <w:proofErr w:type="spellStart"/>
      <w:r w:rsidRPr="0025577A">
        <w:rPr>
          <w:rFonts w:ascii="宋体" w:eastAsia="宋体" w:hAnsi="宋体" w:cs="宋体" w:hint="eastAsia"/>
          <w:color w:val="000000"/>
          <w:kern w:val="0"/>
          <w:sz w:val="20"/>
          <w:szCs w:val="20"/>
        </w:rPr>
        <w:t>Nolvadex</w:t>
      </w:r>
      <w:proofErr w:type="spellEnd"/>
      <w:r w:rsidRPr="0025577A">
        <w:rPr>
          <w:rFonts w:ascii="宋体" w:eastAsia="宋体" w:hAnsi="宋体" w:cs="宋体" w:hint="eastAsia"/>
          <w:color w:val="000000"/>
          <w:kern w:val="0"/>
          <w:sz w:val="20"/>
          <w:szCs w:val="20"/>
        </w:rPr>
        <w:t>、</w:t>
      </w:r>
      <w:proofErr w:type="spellStart"/>
      <w:r w:rsidRPr="0025577A">
        <w:rPr>
          <w:rFonts w:ascii="宋体" w:eastAsia="宋体" w:hAnsi="宋体" w:cs="宋体" w:hint="eastAsia"/>
          <w:color w:val="000000"/>
          <w:kern w:val="0"/>
          <w:sz w:val="20"/>
          <w:szCs w:val="20"/>
        </w:rPr>
        <w:t>Tamaxin</w:t>
      </w:r>
      <w:proofErr w:type="spellEnd"/>
      <w:r w:rsidRPr="0025577A">
        <w:rPr>
          <w:rFonts w:ascii="宋体" w:eastAsia="宋体" w:hAnsi="宋体" w:cs="宋体" w:hint="eastAsia"/>
          <w:color w:val="000000"/>
          <w:kern w:val="0"/>
          <w:sz w:val="20"/>
          <w:szCs w:val="20"/>
        </w:rPr>
        <w:t>、</w:t>
      </w:r>
      <w:proofErr w:type="spellStart"/>
      <w:r w:rsidRPr="0025577A">
        <w:rPr>
          <w:rFonts w:ascii="宋体" w:eastAsia="宋体" w:hAnsi="宋体" w:cs="宋体" w:hint="eastAsia"/>
          <w:color w:val="000000"/>
          <w:kern w:val="0"/>
          <w:sz w:val="20"/>
          <w:szCs w:val="20"/>
        </w:rPr>
        <w:t>Tamofen</w:t>
      </w:r>
      <w:proofErr w:type="spellEnd"/>
      <w:r w:rsidRPr="0025577A">
        <w:rPr>
          <w:rFonts w:ascii="宋体" w:eastAsia="宋体" w:hAnsi="宋体" w:cs="宋体" w:hint="eastAsia"/>
          <w:color w:val="000000"/>
          <w:kern w:val="0"/>
          <w:sz w:val="20"/>
          <w:szCs w:val="20"/>
        </w:rPr>
        <w:t>、</w:t>
      </w:r>
      <w:proofErr w:type="spellStart"/>
      <w:r w:rsidRPr="0025577A">
        <w:rPr>
          <w:rFonts w:ascii="宋体" w:eastAsia="宋体" w:hAnsi="宋体" w:cs="宋体" w:hint="eastAsia"/>
          <w:color w:val="000000"/>
          <w:kern w:val="0"/>
          <w:sz w:val="20"/>
          <w:szCs w:val="20"/>
        </w:rPr>
        <w:t>Xifen</w:t>
      </w:r>
      <w:proofErr w:type="spellEnd"/>
      <w:r w:rsidRPr="0025577A">
        <w:rPr>
          <w:rFonts w:ascii="宋体" w:eastAsia="宋体" w:hAnsi="宋体" w:cs="宋体" w:hint="eastAsia"/>
          <w:color w:val="000000"/>
          <w:kern w:val="0"/>
          <w:sz w:val="20"/>
          <w:szCs w:val="20"/>
        </w:rPr>
        <w:t>。</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【药理分类】</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肿瘤用药&gt;&gt;抗肿瘤药&gt;&gt;调节体内激素平衡的药物</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女性生殖系统用药&gt;&gt;雌激素类及抗雌激素类药</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【临床应用】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CFDA说明书适应症</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1.用于治疗复发转移乳腺癌。</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2.用作乳腺癌手术后的辅助治疗，以预防复发。</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其他临床应用参考</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1.用于治疗卵巢癌、子宫内膜癌及子宫内膜异位症等。</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2.用于乳房疼痛、男子乳腺发育、子宫肉瘤及硬纤维瘤。</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3.用于降低乳腺Paget's病(伴导管内原位癌或不伴相关肿瘤)风险。</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4.用于诱导排卵。</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5.用于继发于多发性骨纤维营养不良综合征的女性性早熟。</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【用法与用量】</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成人</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◆常规剂量</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·乳腺癌</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1.口服给药  一次10mg，一日2次；或一日20mg，一日2次。</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【国外用法用量参考】</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成人</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lastRenderedPageBreak/>
        <w:t>◆常规剂量</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·转移性乳腺癌</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1.口服给药  一日20-40mg。</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·乳腺癌的辅助治疗、乳腺导管内原位癌术后和放疗后应用，降低浸润性乳腺癌风险</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1.口服给药  一日20-40mg，连用5年。</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·预防高风险乳腺癌</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1.口服给药  一次20mg，一日1次，连用5年。</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·绝经后妇女激素受体阳性时的乳腺癌新辅助疗法</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1.口服给药  临床试验中用法为：一次20mg，一日1次，于手术前连用3-4个月。国际专家小组建议使用3-6个月。</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·子宫内膜癌</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1.口服给药  一次20mg，一日2次。</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◆肾功能不全时剂量</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轻至中度肾功能不全者无需调整剂量。</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【禁忌症】</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1.对本药过敏者(国外资料)。</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2.有眼底疾病者。</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3.有深部静脉血栓史、肺栓塞史者(国外资料)。</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4.妊娠期妇女。</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5.哺乳期妇女。</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【慎用】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1.肝功能异常者。</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2.白细胞、血小板减少者(国外资料)。</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【特殊人群】</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儿童</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用于2-10岁</w:t>
      </w:r>
      <w:proofErr w:type="gramStart"/>
      <w:r w:rsidRPr="0025577A">
        <w:rPr>
          <w:rFonts w:ascii="宋体" w:eastAsia="宋体" w:hAnsi="宋体" w:cs="宋体" w:hint="eastAsia"/>
          <w:color w:val="000000"/>
          <w:kern w:val="0"/>
          <w:sz w:val="20"/>
          <w:szCs w:val="20"/>
        </w:rPr>
        <w:t>女童继</w:t>
      </w:r>
      <w:proofErr w:type="gramEnd"/>
      <w:r w:rsidRPr="0025577A">
        <w:rPr>
          <w:rFonts w:ascii="宋体" w:eastAsia="宋体" w:hAnsi="宋体" w:cs="宋体" w:hint="eastAsia"/>
          <w:color w:val="000000"/>
          <w:kern w:val="0"/>
          <w:sz w:val="20"/>
          <w:szCs w:val="20"/>
        </w:rPr>
        <w:t>发于多发性骨纤维营养不良综合征的性早熟的安全性和有效性尚未建立。</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老人</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老年患者用药与较年轻患者用药的耐药性无显著差别。</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妊娠期妇女</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1.本药对胎儿有影响，妊娠期妇女禁用。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lastRenderedPageBreak/>
        <w:t>2.美国食品药品管理局(FDA)对本药的妊娠安全性分级为D级。</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哺乳期妇女</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尚不明确本药是否随乳汁排泄，哺乳期妇女禁用。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【不良反应】</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1.心血管系统  罕见血栓形成。个别患者出现心肌梗死。</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2.代谢/内分泌系统  较多见潮热、体重增加。国外报道，可引起血脂改变，骨转移患者可出现高钙血症。</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3.呼吸系统  罕见肺栓塞。</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4.泌尿生殖系统  少见月经失调、闭经、外阴瘙痒、阴道出血、子宫内膜增生、内膜息肉和内膜癌。少数绝经</w:t>
      </w:r>
      <w:proofErr w:type="gramStart"/>
      <w:r w:rsidRPr="0025577A">
        <w:rPr>
          <w:rFonts w:ascii="宋体" w:eastAsia="宋体" w:hAnsi="宋体" w:cs="宋体" w:hint="eastAsia"/>
          <w:color w:val="000000"/>
          <w:kern w:val="0"/>
          <w:sz w:val="20"/>
          <w:szCs w:val="20"/>
        </w:rPr>
        <w:t>前妇女</w:t>
      </w:r>
      <w:proofErr w:type="gramEnd"/>
      <w:r w:rsidRPr="0025577A">
        <w:rPr>
          <w:rFonts w:ascii="宋体" w:eastAsia="宋体" w:hAnsi="宋体" w:cs="宋体" w:hint="eastAsia"/>
          <w:color w:val="000000"/>
          <w:kern w:val="0"/>
          <w:sz w:val="20"/>
          <w:szCs w:val="20"/>
        </w:rPr>
        <w:t>可出现卵巢囊肿。国外报道，有患者用药后引起性功能减退、肾病综合征。</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5.神经系统  罕见头痛、记忆减退、眩晕、晕厥、小脑功能障碍、错觉、嗜睡。</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6.精神  罕见精神错乱、抑郁。</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7.肝脏  偶见肝功能异常。还有个别患者可发生胆汁淤积及脂肪肝等的报道。</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8.胃肠道  少见食欲缺乏、恶心、呕吐、腹泻。</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9.血液  偶见白细胞减少、血小板减少。还有出现贫血的报道。</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10.皮肤  少见面部潮红、皮疹、脱发、皮肤干燥。国外有发生紫癜性脉管炎的个案报道。</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11.眼  长时间(17个月以上)大剂量(每日240-320mg)使用本药可出现视网膜病变和角膜混浊。还可出现视敏度降低。</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12.其他  罕见无力。治疗初期，可出现骨和肿瘤疼痛一过性加剧，继续治疗时可逐渐减轻。</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【药物相互作用】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药物-药物相互作用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1.氟尿嘧啶、环磷酰胺、甲氨蝶</w:t>
      </w:r>
      <w:proofErr w:type="gramStart"/>
      <w:r w:rsidRPr="0025577A">
        <w:rPr>
          <w:rFonts w:ascii="宋体" w:eastAsia="宋体" w:hAnsi="宋体" w:cs="宋体" w:hint="eastAsia"/>
          <w:color w:val="000000"/>
          <w:kern w:val="0"/>
          <w:sz w:val="20"/>
          <w:szCs w:val="20"/>
        </w:rPr>
        <w:t>呤</w:t>
      </w:r>
      <w:proofErr w:type="gramEnd"/>
      <w:r w:rsidRPr="0025577A">
        <w:rPr>
          <w:rFonts w:ascii="宋体" w:eastAsia="宋体" w:hAnsi="宋体" w:cs="宋体" w:hint="eastAsia"/>
          <w:color w:val="000000"/>
          <w:kern w:val="0"/>
          <w:sz w:val="20"/>
          <w:szCs w:val="20"/>
        </w:rPr>
        <w:t>、长春新碱、</w:t>
      </w:r>
      <w:proofErr w:type="gramStart"/>
      <w:r w:rsidRPr="0025577A">
        <w:rPr>
          <w:rFonts w:ascii="宋体" w:eastAsia="宋体" w:hAnsi="宋体" w:cs="宋体" w:hint="eastAsia"/>
          <w:color w:val="000000"/>
          <w:kern w:val="0"/>
          <w:sz w:val="20"/>
          <w:szCs w:val="20"/>
        </w:rPr>
        <w:t>多柔比</w:t>
      </w:r>
      <w:proofErr w:type="gramEnd"/>
      <w:r w:rsidRPr="0025577A">
        <w:rPr>
          <w:rFonts w:ascii="宋体" w:eastAsia="宋体" w:hAnsi="宋体" w:cs="宋体" w:hint="eastAsia"/>
          <w:color w:val="000000"/>
          <w:kern w:val="0"/>
          <w:sz w:val="20"/>
          <w:szCs w:val="20"/>
        </w:rPr>
        <w:t>星：</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结果：合用可提高疗效。</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2.甲磺酸溴隐亭：</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结果：本药可以提高甲磺酸溴隐亭的多巴胺能作用。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3.阿曲库铵：</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结果：有资料显示，本药可延长阿曲库铵的神经肌肉阻滞作用。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4.抗凝血药(如华法林、香豆素类抗凝药)：</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结果：本药可增强抗凝药作用。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处理：合用时密切监测。</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5.丝裂霉素：</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lastRenderedPageBreak/>
        <w:t>结果：合用可使发生溶血性血尿综合征的风险增加。</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6.</w:t>
      </w:r>
      <w:proofErr w:type="gramStart"/>
      <w:r w:rsidRPr="0025577A">
        <w:rPr>
          <w:rFonts w:ascii="宋体" w:eastAsia="宋体" w:hAnsi="宋体" w:cs="宋体" w:hint="eastAsia"/>
          <w:color w:val="000000"/>
          <w:kern w:val="0"/>
          <w:sz w:val="20"/>
          <w:szCs w:val="20"/>
        </w:rPr>
        <w:t>雷藤内酯</w:t>
      </w:r>
      <w:proofErr w:type="gramEnd"/>
      <w:r w:rsidRPr="0025577A">
        <w:rPr>
          <w:rFonts w:ascii="宋体" w:eastAsia="宋体" w:hAnsi="宋体" w:cs="宋体" w:hint="eastAsia"/>
          <w:color w:val="000000"/>
          <w:kern w:val="0"/>
          <w:sz w:val="20"/>
          <w:szCs w:val="20"/>
        </w:rPr>
        <w:t>：</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结果：合用可导致小鼠肿瘤生长加快。</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处理：合用时应谨慎。</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7.别</w:t>
      </w:r>
      <w:proofErr w:type="gramStart"/>
      <w:r w:rsidRPr="0025577A">
        <w:rPr>
          <w:rFonts w:ascii="宋体" w:eastAsia="宋体" w:hAnsi="宋体" w:cs="宋体" w:hint="eastAsia"/>
          <w:color w:val="000000"/>
          <w:kern w:val="0"/>
          <w:sz w:val="20"/>
          <w:szCs w:val="20"/>
        </w:rPr>
        <w:t>嘌</w:t>
      </w:r>
      <w:proofErr w:type="gramEnd"/>
      <w:r w:rsidRPr="0025577A">
        <w:rPr>
          <w:rFonts w:ascii="宋体" w:eastAsia="宋体" w:hAnsi="宋体" w:cs="宋体" w:hint="eastAsia"/>
          <w:color w:val="000000"/>
          <w:kern w:val="0"/>
          <w:sz w:val="20"/>
          <w:szCs w:val="20"/>
        </w:rPr>
        <w:t>醇：</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结果：合用可加重</w:t>
      </w:r>
      <w:proofErr w:type="gramStart"/>
      <w:r w:rsidRPr="0025577A">
        <w:rPr>
          <w:rFonts w:ascii="宋体" w:eastAsia="宋体" w:hAnsi="宋体" w:cs="宋体" w:hint="eastAsia"/>
          <w:color w:val="000000"/>
          <w:kern w:val="0"/>
          <w:sz w:val="20"/>
          <w:szCs w:val="20"/>
        </w:rPr>
        <w:t>本药肝毒性</w:t>
      </w:r>
      <w:proofErr w:type="gramEnd"/>
      <w:r w:rsidRPr="0025577A">
        <w:rPr>
          <w:rFonts w:ascii="宋体" w:eastAsia="宋体" w:hAnsi="宋体" w:cs="宋体" w:hint="eastAsia"/>
          <w:color w:val="000000"/>
          <w:kern w:val="0"/>
          <w:sz w:val="20"/>
          <w:szCs w:val="20"/>
        </w:rPr>
        <w:t>。</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8.其他细胞毒性药物：</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结果：合用可增加发生血栓栓塞的风险。</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9.他</w:t>
      </w:r>
      <w:proofErr w:type="gramStart"/>
      <w:r w:rsidRPr="0025577A">
        <w:rPr>
          <w:rFonts w:ascii="宋体" w:eastAsia="宋体" w:hAnsi="宋体" w:cs="宋体" w:hint="eastAsia"/>
          <w:color w:val="000000"/>
          <w:kern w:val="0"/>
          <w:sz w:val="20"/>
          <w:szCs w:val="20"/>
        </w:rPr>
        <w:t>克莫司</w:t>
      </w:r>
      <w:proofErr w:type="gramEnd"/>
      <w:r w:rsidRPr="0025577A">
        <w:rPr>
          <w:rFonts w:ascii="宋体" w:eastAsia="宋体" w:hAnsi="宋体" w:cs="宋体" w:hint="eastAsia"/>
          <w:color w:val="000000"/>
          <w:kern w:val="0"/>
          <w:sz w:val="20"/>
          <w:szCs w:val="20"/>
        </w:rPr>
        <w:t>：</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结果：体外试验研究结果显示，本药可能抑制他</w:t>
      </w:r>
      <w:proofErr w:type="gramStart"/>
      <w:r w:rsidRPr="0025577A">
        <w:rPr>
          <w:rFonts w:ascii="宋体" w:eastAsia="宋体" w:hAnsi="宋体" w:cs="宋体" w:hint="eastAsia"/>
          <w:color w:val="000000"/>
          <w:kern w:val="0"/>
          <w:sz w:val="20"/>
          <w:szCs w:val="20"/>
        </w:rPr>
        <w:t>克莫司</w:t>
      </w:r>
      <w:proofErr w:type="gramEnd"/>
      <w:r w:rsidRPr="0025577A">
        <w:rPr>
          <w:rFonts w:ascii="宋体" w:eastAsia="宋体" w:hAnsi="宋体" w:cs="宋体" w:hint="eastAsia"/>
          <w:color w:val="000000"/>
          <w:kern w:val="0"/>
          <w:sz w:val="20"/>
          <w:szCs w:val="20"/>
        </w:rPr>
        <w:t>的代谢。</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10.抗酸药、西</w:t>
      </w:r>
      <w:proofErr w:type="gramStart"/>
      <w:r w:rsidRPr="0025577A">
        <w:rPr>
          <w:rFonts w:ascii="宋体" w:eastAsia="宋体" w:hAnsi="宋体" w:cs="宋体" w:hint="eastAsia"/>
          <w:color w:val="000000"/>
          <w:kern w:val="0"/>
          <w:sz w:val="20"/>
          <w:szCs w:val="20"/>
        </w:rPr>
        <w:t>咪</w:t>
      </w:r>
      <w:proofErr w:type="gramEnd"/>
      <w:r w:rsidRPr="0025577A">
        <w:rPr>
          <w:rFonts w:ascii="宋体" w:eastAsia="宋体" w:hAnsi="宋体" w:cs="宋体" w:hint="eastAsia"/>
          <w:color w:val="000000"/>
          <w:kern w:val="0"/>
          <w:sz w:val="20"/>
          <w:szCs w:val="20"/>
        </w:rPr>
        <w:t>替丁、法莫替丁、雷尼替丁：</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结果：以上药物可改变胃内pH值，使</w:t>
      </w:r>
      <w:proofErr w:type="gramStart"/>
      <w:r w:rsidRPr="0025577A">
        <w:rPr>
          <w:rFonts w:ascii="宋体" w:eastAsia="宋体" w:hAnsi="宋体" w:cs="宋体" w:hint="eastAsia"/>
          <w:color w:val="000000"/>
          <w:kern w:val="0"/>
          <w:sz w:val="20"/>
          <w:szCs w:val="20"/>
        </w:rPr>
        <w:t>本药肠溶</w:t>
      </w:r>
      <w:proofErr w:type="gramEnd"/>
      <w:r w:rsidRPr="0025577A">
        <w:rPr>
          <w:rFonts w:ascii="宋体" w:eastAsia="宋体" w:hAnsi="宋体" w:cs="宋体" w:hint="eastAsia"/>
          <w:color w:val="000000"/>
          <w:kern w:val="0"/>
          <w:sz w:val="20"/>
          <w:szCs w:val="20"/>
        </w:rPr>
        <w:t>片提前分解，对胃产生刺激作用。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处理：合用时与上述药物应间隔1-2小时。</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11.雌激素：</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结果：雌激素可影响本药治疗效果。</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【注意事项】</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用药警示</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1.由于本药可促进排卵，有导致怀孕的可能，故患有乳腺癌的未绝经妇女不宜使用本药。若绝经前必须使用本药，应同时服用抗促性腺激素药物。</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2.治疗期间及停药后2个月，患者应严格避孕，但不得使用雌激素类药物进行避孕。</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用药前后及用药时应当检查或监测</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治疗期间应定期检查血常规，如有骨转移应定期监测血钙浓度；大剂量长期服用者应定期做眼科检查。</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【国外专科用药信息参考】</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牙科用药信息</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尽管许多化疗药物可能会引起明显的骨髓抑制，但本药不常引起骨髓抑制，牙科操作时无需注意其对出血和止血的影响。</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精神状况信息</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1.对精神状态的影响：用药后可能引起头晕、嗜睡或意识模糊。</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2.对精神障碍治疗的影响：本药可能会引起白细胞减少，与氯氮平或卡马西平合用应谨慎。</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护理注意事项</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lastRenderedPageBreak/>
        <w:t>1.监测患者有无血栓栓塞、面部潮红、水肿、阴道出血或排泄物、便秘、皮疹、心境改变等不良反应。</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2.长期用药的患者应定期检查视觉功能，并每年行妇科检查和乳腺X线检查。</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3.实验室检查：</w:t>
      </w:r>
      <w:proofErr w:type="gramStart"/>
      <w:r w:rsidRPr="0025577A">
        <w:rPr>
          <w:rFonts w:ascii="宋体" w:eastAsia="宋体" w:hAnsi="宋体" w:cs="宋体" w:hint="eastAsia"/>
          <w:color w:val="000000"/>
          <w:kern w:val="0"/>
          <w:sz w:val="20"/>
          <w:szCs w:val="20"/>
        </w:rPr>
        <w:t>监测全</w:t>
      </w:r>
      <w:proofErr w:type="gramEnd"/>
      <w:r w:rsidRPr="0025577A">
        <w:rPr>
          <w:rFonts w:ascii="宋体" w:eastAsia="宋体" w:hAnsi="宋体" w:cs="宋体" w:hint="eastAsia"/>
          <w:color w:val="000000"/>
          <w:kern w:val="0"/>
          <w:sz w:val="20"/>
          <w:szCs w:val="20"/>
        </w:rPr>
        <w:t>血细胞计数、血清钙、肝功能；三酰甘油和胆固醇(先前存在高脂血症者)；国际标准化比值(INR)和凝血酶原时间(PT)。</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【药物过量】</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过量的表现</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动物实验显示，药物极度过量时(100-200倍于常规剂量)可产生雌激素样作用。</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过量的处理</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尚无特殊的解毒药，过量时可予对症治疗。</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【药理】</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药效学</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本药为化学合成的非</w:t>
      </w:r>
      <w:proofErr w:type="gramStart"/>
      <w:r w:rsidRPr="0025577A">
        <w:rPr>
          <w:rFonts w:ascii="宋体" w:eastAsia="宋体" w:hAnsi="宋体" w:cs="宋体" w:hint="eastAsia"/>
          <w:color w:val="000000"/>
          <w:kern w:val="0"/>
          <w:sz w:val="20"/>
          <w:szCs w:val="20"/>
        </w:rPr>
        <w:t>甾</w:t>
      </w:r>
      <w:proofErr w:type="gramEnd"/>
      <w:r w:rsidRPr="0025577A">
        <w:rPr>
          <w:rFonts w:ascii="宋体" w:eastAsia="宋体" w:hAnsi="宋体" w:cs="宋体" w:hint="eastAsia"/>
          <w:color w:val="000000"/>
          <w:kern w:val="0"/>
          <w:sz w:val="20"/>
          <w:szCs w:val="20"/>
        </w:rPr>
        <w:t>体抗雌激素类抗癌药。其结构与雌激素相似，存在Z型和E型两个异构体(本药为Z型异构体)，两者物理化学性质各异，生理活性也不同，E型具有弱雌激素活性，Z型则具有抗雌激素作用。如果乳腺癌细胞内有雌激素受体(ER)，当雌激素进入肿瘤细胞内并与其结合，促使肿瘤细胞的DNA和mRNA的合成，从而可刺激肿瘤细胞生长。当本药进入细胞内并与ER竞争结合，形成受体复合物，抑制雌激素的作用发挥，从而可抑制乳腺癌细胞的增殖。</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本药治疗晚期乳腺癌有效，国外将本药列为绝经期妇女晚期乳腺癌姑息疗法的第一线药物，其疗效略优于其他同类激素，而不良反应明显较低。此外，雌激素受体或孕激素受体阳性患者较易出现疗效，接受过化疗者不影响其疗效。</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药动学</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口服本药20mg后，4-7小时达血清峰浓度0.14μg/ml。给药4日或更长时间后，由于肠肝循环，血药浓度可出现第2次高峰。大部分以结合物形式由粪便排出(约占4/5)，少量从尿液排出(约1/5)。半衰期α相为7-14小时，β相大于7日。</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遗传、生殖毒性与致癌性</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◆遗传毒性  一系列体内、</w:t>
      </w:r>
      <w:proofErr w:type="gramStart"/>
      <w:r w:rsidRPr="0025577A">
        <w:rPr>
          <w:rFonts w:ascii="宋体" w:eastAsia="宋体" w:hAnsi="宋体" w:cs="宋体" w:hint="eastAsia"/>
          <w:color w:val="000000"/>
          <w:kern w:val="0"/>
          <w:sz w:val="20"/>
          <w:szCs w:val="20"/>
        </w:rPr>
        <w:t>外致突变</w:t>
      </w:r>
      <w:proofErr w:type="gramEnd"/>
      <w:r w:rsidRPr="0025577A">
        <w:rPr>
          <w:rFonts w:ascii="宋体" w:eastAsia="宋体" w:hAnsi="宋体" w:cs="宋体" w:hint="eastAsia"/>
          <w:color w:val="000000"/>
          <w:kern w:val="0"/>
          <w:sz w:val="20"/>
          <w:szCs w:val="20"/>
        </w:rPr>
        <w:t>试验未发现本药有致突变性，但某些体外试验和啮齿类动物体内遗传毒性试验中本</w:t>
      </w:r>
      <w:proofErr w:type="gramStart"/>
      <w:r w:rsidRPr="0025577A">
        <w:rPr>
          <w:rFonts w:ascii="宋体" w:eastAsia="宋体" w:hAnsi="宋体" w:cs="宋体" w:hint="eastAsia"/>
          <w:color w:val="000000"/>
          <w:kern w:val="0"/>
          <w:sz w:val="20"/>
          <w:szCs w:val="20"/>
        </w:rPr>
        <w:t>药表现</w:t>
      </w:r>
      <w:proofErr w:type="gramEnd"/>
      <w:r w:rsidRPr="0025577A">
        <w:rPr>
          <w:rFonts w:ascii="宋体" w:eastAsia="宋体" w:hAnsi="宋体" w:cs="宋体" w:hint="eastAsia"/>
          <w:color w:val="000000"/>
          <w:kern w:val="0"/>
          <w:sz w:val="20"/>
          <w:szCs w:val="20"/>
        </w:rPr>
        <w:t>出了遗传毒性。</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◆生殖毒性  在大鼠、家兔、猴的生殖毒理学研究中，本药未表现出致畸性。</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◆致癌性  据报道，在长期实验中，接受本药的小鼠出现性腺肿瘤、大鼠出现肝肿瘤，但其临床意义尚未确定。</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【制剂与规格】</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枸橼</w:t>
      </w:r>
      <w:proofErr w:type="gramStart"/>
      <w:r w:rsidRPr="0025577A">
        <w:rPr>
          <w:rFonts w:ascii="宋体" w:eastAsia="宋体" w:hAnsi="宋体" w:cs="宋体" w:hint="eastAsia"/>
          <w:color w:val="000000"/>
          <w:kern w:val="0"/>
          <w:sz w:val="20"/>
          <w:szCs w:val="20"/>
        </w:rPr>
        <w:t>酸他莫昔芬片</w:t>
      </w:r>
      <w:proofErr w:type="gramEnd"/>
      <w:r w:rsidRPr="0025577A">
        <w:rPr>
          <w:rFonts w:ascii="宋体" w:eastAsia="宋体" w:hAnsi="宋体" w:cs="宋体" w:hint="eastAsia"/>
          <w:color w:val="000000"/>
          <w:kern w:val="0"/>
          <w:sz w:val="20"/>
          <w:szCs w:val="20"/>
        </w:rPr>
        <w:t xml:space="preserve">  (1)10mg(他</w:t>
      </w:r>
      <w:proofErr w:type="gramStart"/>
      <w:r w:rsidRPr="0025577A">
        <w:rPr>
          <w:rFonts w:ascii="宋体" w:eastAsia="宋体" w:hAnsi="宋体" w:cs="宋体" w:hint="eastAsia"/>
          <w:color w:val="000000"/>
          <w:kern w:val="0"/>
          <w:sz w:val="20"/>
          <w:szCs w:val="20"/>
        </w:rPr>
        <w:t>莫昔芬</w:t>
      </w:r>
      <w:proofErr w:type="gramEnd"/>
      <w:r w:rsidRPr="0025577A">
        <w:rPr>
          <w:rFonts w:ascii="宋体" w:eastAsia="宋体" w:hAnsi="宋体" w:cs="宋体" w:hint="eastAsia"/>
          <w:color w:val="000000"/>
          <w:kern w:val="0"/>
          <w:sz w:val="20"/>
          <w:szCs w:val="20"/>
        </w:rPr>
        <w:t>)。(2)20mg(他</w:t>
      </w:r>
      <w:proofErr w:type="gramStart"/>
      <w:r w:rsidRPr="0025577A">
        <w:rPr>
          <w:rFonts w:ascii="宋体" w:eastAsia="宋体" w:hAnsi="宋体" w:cs="宋体" w:hint="eastAsia"/>
          <w:color w:val="000000"/>
          <w:kern w:val="0"/>
          <w:sz w:val="20"/>
          <w:szCs w:val="20"/>
        </w:rPr>
        <w:t>莫昔芬</w:t>
      </w:r>
      <w:proofErr w:type="gramEnd"/>
      <w:r w:rsidRPr="0025577A">
        <w:rPr>
          <w:rFonts w:ascii="宋体" w:eastAsia="宋体" w:hAnsi="宋体" w:cs="宋体" w:hint="eastAsia"/>
          <w:color w:val="000000"/>
          <w:kern w:val="0"/>
          <w:sz w:val="20"/>
          <w:szCs w:val="20"/>
        </w:rPr>
        <w:t>)。</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枸橼</w:t>
      </w:r>
      <w:proofErr w:type="gramStart"/>
      <w:r w:rsidRPr="0025577A">
        <w:rPr>
          <w:rFonts w:ascii="宋体" w:eastAsia="宋体" w:hAnsi="宋体" w:cs="宋体" w:hint="eastAsia"/>
          <w:color w:val="000000"/>
          <w:kern w:val="0"/>
          <w:sz w:val="20"/>
          <w:szCs w:val="20"/>
        </w:rPr>
        <w:t>酸他莫昔芬</w:t>
      </w:r>
      <w:proofErr w:type="gramEnd"/>
      <w:r w:rsidRPr="0025577A">
        <w:rPr>
          <w:rFonts w:ascii="宋体" w:eastAsia="宋体" w:hAnsi="宋体" w:cs="宋体" w:hint="eastAsia"/>
          <w:color w:val="000000"/>
          <w:kern w:val="0"/>
          <w:sz w:val="20"/>
          <w:szCs w:val="20"/>
        </w:rPr>
        <w:t>口服溶液  10ml:20mg(他</w:t>
      </w:r>
      <w:proofErr w:type="gramStart"/>
      <w:r w:rsidRPr="0025577A">
        <w:rPr>
          <w:rFonts w:ascii="宋体" w:eastAsia="宋体" w:hAnsi="宋体" w:cs="宋体" w:hint="eastAsia"/>
          <w:color w:val="000000"/>
          <w:kern w:val="0"/>
          <w:sz w:val="20"/>
          <w:szCs w:val="20"/>
        </w:rPr>
        <w:t>莫昔芬</w:t>
      </w:r>
      <w:proofErr w:type="gramEnd"/>
      <w:r w:rsidRPr="0025577A">
        <w:rPr>
          <w:rFonts w:ascii="宋体" w:eastAsia="宋体" w:hAnsi="宋体" w:cs="宋体" w:hint="eastAsia"/>
          <w:color w:val="000000"/>
          <w:kern w:val="0"/>
          <w:sz w:val="20"/>
          <w:szCs w:val="20"/>
        </w:rPr>
        <w:t>)。</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b/>
          <w:bCs/>
          <w:color w:val="000000"/>
          <w:kern w:val="0"/>
          <w:sz w:val="20"/>
          <w:szCs w:val="20"/>
        </w:rPr>
        <w:t>【贮藏】</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lastRenderedPageBreak/>
        <w:t>片剂：遮光，密封保存。</w:t>
      </w:r>
    </w:p>
    <w:p w:rsidR="0025577A" w:rsidRPr="0025577A" w:rsidRDefault="0025577A" w:rsidP="0025577A">
      <w:pPr>
        <w:widowControl/>
        <w:spacing w:before="150" w:after="150" w:line="270" w:lineRule="atLeast"/>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口服溶液：遮光，密封保存。</w:t>
      </w:r>
    </w:p>
    <w:p w:rsidR="0025577A" w:rsidRPr="0025577A" w:rsidRDefault="0025577A" w:rsidP="0025577A">
      <w:pPr>
        <w:widowControl/>
        <w:jc w:val="center"/>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使用</w:t>
      </w:r>
      <w:proofErr w:type="spellStart"/>
      <w:r w:rsidRPr="0025577A">
        <w:rPr>
          <w:rFonts w:ascii="宋体" w:eastAsia="宋体" w:hAnsi="宋体" w:cs="宋体" w:hint="eastAsia"/>
          <w:color w:val="000000"/>
          <w:kern w:val="0"/>
          <w:sz w:val="20"/>
          <w:szCs w:val="20"/>
        </w:rPr>
        <w:t>UpToDate</w:t>
      </w:r>
      <w:proofErr w:type="spellEnd"/>
      <w:r w:rsidRPr="0025577A">
        <w:rPr>
          <w:rFonts w:ascii="宋体" w:eastAsia="宋体" w:hAnsi="宋体" w:cs="宋体" w:hint="eastAsia"/>
          <w:color w:val="000000"/>
          <w:kern w:val="0"/>
          <w:sz w:val="20"/>
          <w:szCs w:val="20"/>
        </w:rPr>
        <w:t>临床顾问须遵循</w:t>
      </w:r>
      <w:hyperlink r:id="rId5" w:tgtFrame="_blank" w:history="1">
        <w:r w:rsidRPr="0025577A">
          <w:rPr>
            <w:rFonts w:ascii="宋体" w:eastAsia="宋体" w:hAnsi="宋体" w:cs="宋体" w:hint="eastAsia"/>
            <w:color w:val="336633"/>
            <w:kern w:val="0"/>
            <w:sz w:val="20"/>
            <w:szCs w:val="20"/>
            <w:u w:val="single"/>
          </w:rPr>
          <w:t>用户协议</w:t>
        </w:r>
      </w:hyperlink>
      <w:r w:rsidRPr="0025577A">
        <w:rPr>
          <w:rFonts w:ascii="宋体" w:eastAsia="宋体" w:hAnsi="宋体" w:cs="宋体" w:hint="eastAsia"/>
          <w:color w:val="000000"/>
          <w:kern w:val="0"/>
          <w:sz w:val="20"/>
          <w:szCs w:val="20"/>
        </w:rPr>
        <w:t>。</w:t>
      </w:r>
    </w:p>
    <w:p w:rsidR="0025577A" w:rsidRPr="0025577A" w:rsidRDefault="0025577A" w:rsidP="0025577A">
      <w:pPr>
        <w:widowControl/>
        <w:jc w:val="left"/>
        <w:rPr>
          <w:rFonts w:ascii="宋体" w:eastAsia="宋体" w:hAnsi="宋体" w:cs="宋体" w:hint="eastAsia"/>
          <w:color w:val="000000"/>
          <w:kern w:val="0"/>
          <w:sz w:val="20"/>
          <w:szCs w:val="20"/>
        </w:rPr>
      </w:pPr>
      <w:r w:rsidRPr="0025577A">
        <w:rPr>
          <w:rFonts w:ascii="宋体" w:eastAsia="宋体" w:hAnsi="宋体" w:cs="宋体" w:hint="eastAsia"/>
          <w:color w:val="000000"/>
          <w:kern w:val="0"/>
          <w:sz w:val="20"/>
          <w:szCs w:val="20"/>
        </w:rPr>
        <w:t>专题 92857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9FC"/>
    <w:rsid w:val="00004821"/>
    <w:rsid w:val="00066237"/>
    <w:rsid w:val="00073143"/>
    <w:rsid w:val="000B38BF"/>
    <w:rsid w:val="000C08B0"/>
    <w:rsid w:val="000C6442"/>
    <w:rsid w:val="001E5F70"/>
    <w:rsid w:val="001F5F78"/>
    <w:rsid w:val="00223E70"/>
    <w:rsid w:val="00225438"/>
    <w:rsid w:val="00225C91"/>
    <w:rsid w:val="0025577A"/>
    <w:rsid w:val="002C6FD3"/>
    <w:rsid w:val="002D752C"/>
    <w:rsid w:val="0031147A"/>
    <w:rsid w:val="0031453D"/>
    <w:rsid w:val="00367A47"/>
    <w:rsid w:val="00375332"/>
    <w:rsid w:val="003A12DC"/>
    <w:rsid w:val="003D0C42"/>
    <w:rsid w:val="003D36E3"/>
    <w:rsid w:val="00425882"/>
    <w:rsid w:val="00445BCB"/>
    <w:rsid w:val="004648F0"/>
    <w:rsid w:val="004B1819"/>
    <w:rsid w:val="004B79FC"/>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577A"/>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25577A"/>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5577A"/>
  </w:style>
  <w:style w:type="character" w:customStyle="1" w:styleId="h2">
    <w:name w:val="h2"/>
    <w:basedOn w:val="a0"/>
    <w:rsid w:val="0025577A"/>
  </w:style>
  <w:style w:type="character" w:customStyle="1" w:styleId="nowrap">
    <w:name w:val="nowrap"/>
    <w:basedOn w:val="a0"/>
    <w:rsid w:val="0025577A"/>
  </w:style>
  <w:style w:type="character" w:styleId="a4">
    <w:name w:val="Hyperlink"/>
    <w:basedOn w:val="a0"/>
    <w:uiPriority w:val="99"/>
    <w:semiHidden/>
    <w:unhideWhenUsed/>
    <w:rsid w:val="002557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577A"/>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25577A"/>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5577A"/>
  </w:style>
  <w:style w:type="character" w:customStyle="1" w:styleId="h2">
    <w:name w:val="h2"/>
    <w:basedOn w:val="a0"/>
    <w:rsid w:val="0025577A"/>
  </w:style>
  <w:style w:type="character" w:customStyle="1" w:styleId="nowrap">
    <w:name w:val="nowrap"/>
    <w:basedOn w:val="a0"/>
    <w:rsid w:val="0025577A"/>
  </w:style>
  <w:style w:type="character" w:styleId="a4">
    <w:name w:val="Hyperlink"/>
    <w:basedOn w:val="a0"/>
    <w:uiPriority w:val="99"/>
    <w:semiHidden/>
    <w:unhideWhenUsed/>
    <w:rsid w:val="00255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030223">
      <w:bodyDiv w:val="1"/>
      <w:marLeft w:val="0"/>
      <w:marRight w:val="0"/>
      <w:marTop w:val="0"/>
      <w:marBottom w:val="0"/>
      <w:divBdr>
        <w:top w:val="none" w:sz="0" w:space="0" w:color="auto"/>
        <w:left w:val="none" w:sz="0" w:space="0" w:color="auto"/>
        <w:bottom w:val="none" w:sz="0" w:space="0" w:color="auto"/>
        <w:right w:val="none" w:sz="0" w:space="0" w:color="auto"/>
      </w:divBdr>
      <w:divsChild>
        <w:div w:id="1853228594">
          <w:marLeft w:val="0"/>
          <w:marRight w:val="0"/>
          <w:marTop w:val="480"/>
          <w:marBottom w:val="480"/>
          <w:divBdr>
            <w:top w:val="none" w:sz="0" w:space="0" w:color="auto"/>
            <w:left w:val="none" w:sz="0" w:space="0" w:color="auto"/>
            <w:bottom w:val="none" w:sz="0" w:space="0" w:color="auto"/>
            <w:right w:val="none" w:sz="0" w:space="0" w:color="auto"/>
          </w:divBdr>
        </w:div>
        <w:div w:id="1172838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512</Words>
  <Characters>2920</Characters>
  <Application>Microsoft Office Word</Application>
  <DocSecurity>0</DocSecurity>
  <Lines>24</Lines>
  <Paragraphs>6</Paragraphs>
  <ScaleCrop>false</ScaleCrop>
  <Company>China</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2015-02-09T02:03:00Z</dcterms:created>
  <dcterms:modified xsi:type="dcterms:W3CDTF">2015-02-09T02:03:00Z</dcterms:modified>
</cp:coreProperties>
</file>