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EEF" w:rsidRPr="00F62EEF" w:rsidRDefault="00F62EEF" w:rsidP="00F62EEF">
      <w:pPr>
        <w:widowControl/>
        <w:jc w:val="left"/>
        <w:rPr>
          <w:rFonts w:ascii="宋体" w:eastAsia="宋体" w:hAnsi="宋体" w:cs="宋体"/>
          <w:b/>
          <w:bCs/>
          <w:color w:val="000000"/>
          <w:kern w:val="0"/>
          <w:sz w:val="20"/>
          <w:szCs w:val="20"/>
        </w:rPr>
      </w:pPr>
      <w:r w:rsidRPr="00F62EEF">
        <w:rPr>
          <w:rFonts w:ascii="宋体" w:eastAsia="宋体" w:hAnsi="宋体" w:cs="宋体" w:hint="eastAsia"/>
          <w:b/>
          <w:bCs/>
          <w:color w:val="000000"/>
          <w:kern w:val="0"/>
          <w:sz w:val="20"/>
          <w:szCs w:val="20"/>
        </w:rPr>
        <w:t>碘</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文章版本号：1</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最后发布时间：2013-6-5 21:03:44</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【药物名称】</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中文通用名称：碘</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英文通用名称：Iodine</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其他名称：安尔碘、</w:t>
      </w:r>
      <w:proofErr w:type="spellStart"/>
      <w:r w:rsidRPr="00F62EEF">
        <w:rPr>
          <w:rFonts w:ascii="宋体" w:eastAsia="宋体" w:hAnsi="宋体" w:cs="宋体" w:hint="eastAsia"/>
          <w:color w:val="000000"/>
          <w:kern w:val="0"/>
          <w:sz w:val="20"/>
          <w:szCs w:val="20"/>
        </w:rPr>
        <w:t>Iodinum</w:t>
      </w:r>
      <w:proofErr w:type="spellEnd"/>
      <w:r w:rsidRPr="00F62EEF">
        <w:rPr>
          <w:rFonts w:ascii="宋体" w:eastAsia="宋体" w:hAnsi="宋体" w:cs="宋体" w:hint="eastAsia"/>
          <w:color w:val="000000"/>
          <w:kern w:val="0"/>
          <w:sz w:val="20"/>
          <w:szCs w:val="20"/>
        </w:rPr>
        <w:t>。</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【药理分类】</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抗感染药&gt;&gt;消毒防腐药&gt;&gt;含碘类</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皮肤及皮下用药&gt;&gt;皮肤抗感染药&gt;&gt;其它皮肤抗感染药</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【临床应用】</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CFDA说明书适应症</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用于皮肤感染和消毒。</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【用法与用量】</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成人</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◆常规剂量</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·皮肤感染和消毒</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1.外用  用棉签蘸取少量本药酊剂，由中心向外涂搽局部，消毒后再用70%酒精脱碘。</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【国外用法用量参考】</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成人</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◆常规剂量</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·消毒、杀菌</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1.外用  (1)水溶液：2%本药局部用于小伤口。(2)酊剂：2%本药局部用于完整未破损皮肤。(3)甘油：2%本药局部用于黏膜部位。</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·甲状腺危象</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1.口服给药  5-</w:t>
      </w:r>
      <w:proofErr w:type="gramStart"/>
      <w:r w:rsidRPr="00F62EEF">
        <w:rPr>
          <w:rFonts w:ascii="宋体" w:eastAsia="宋体" w:hAnsi="宋体" w:cs="宋体" w:hint="eastAsia"/>
          <w:color w:val="000000"/>
          <w:kern w:val="0"/>
          <w:sz w:val="20"/>
          <w:szCs w:val="20"/>
        </w:rPr>
        <w:t>10滴浓碘溶液</w:t>
      </w:r>
      <w:proofErr w:type="gramEnd"/>
      <w:r w:rsidRPr="00F62EEF">
        <w:rPr>
          <w:rFonts w:ascii="宋体" w:eastAsia="宋体" w:hAnsi="宋体" w:cs="宋体" w:hint="eastAsia"/>
          <w:color w:val="000000"/>
          <w:kern w:val="0"/>
          <w:sz w:val="20"/>
          <w:szCs w:val="20"/>
        </w:rPr>
        <w:t>(8mg/滴)或1-2滴碘化钾饱和溶液(50mg/滴)，溶于水或果汁中服用，一日3次。</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儿童</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◆常规剂量</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·消毒、杀菌</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1.外用  同成人用法用量。</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lastRenderedPageBreak/>
        <w:t>【给药说明】</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给药方式说明</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外用  本药仅供外用，不可口服，也不可用于大面积皮肤或绷带包扎的伤口。</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【禁忌症】</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1.对本药过敏者。</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2.烧伤患者(国外资料)。</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【慎用】</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1.肾功能损害者(国外资料)。</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2.哺乳期妇女(国外资料)。</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【特殊人群】</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儿童</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尚不明确。</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老人</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尚不明确。</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妊娠期妇女</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本药可穿过胎盘，且妊娠期需求量增加。妊娠碘不足可导致新生儿神经损害(一种极端的表现方式为呆小症，以严重的智力低下、身材矮小、聋哑症和强直为特点)；妊娠期大剂量使用本药可导致胎儿甲状腺肿或甲状腺功能亢进，已有在分娩前外用或阴道使用本药后新生儿出现暂时性甲状腺功能减退的报道。</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哺乳期妇女</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本药可随乳汁排泄，故哺乳期妇女慎用。过多的碘暴露可引起甲状腺功能亢进，已有服用碘化钾的哺乳期妇女哺乳的婴儿发生皮疹的报道。</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【不良反应】</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1.偶见过敏反应和皮炎。</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2.本药对伤口、破损皮肤或黏膜有强烈刺激性，可引起烧灼感、疼痛。涂于皮肤或黏膜，所染黄色不易消退；长时间使用可引起“碘烧伤”，导致脱皮。</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3.误服0.1g本药(或相应量的溶液)，可产生不适；2-3g可引起严重中毒(表现为恶心、呕吐、虚脱、痉挛甚至死亡)。</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【药物相互作用】</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尚不明确。</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【注意事项】</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用药警示</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lastRenderedPageBreak/>
        <w:t>1.本药不宜用于破损皮肤、眼部、口腔黏膜的消毒。</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2.乙醇可使蛋白质凝固形成保护层，影响杀菌作用，故本药酊剂不宜用于消毒被大量血、脓、粪便污染的表面。</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3.本药对金属有一定腐蚀性，消毒后应用乙醇脱碘，以免长期接触，损坏物品。</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4.本药不可与碱、生物碱、水合氯醛、</w:t>
      </w:r>
      <w:proofErr w:type="gramStart"/>
      <w:r w:rsidRPr="00F62EEF">
        <w:rPr>
          <w:rFonts w:ascii="宋体" w:eastAsia="宋体" w:hAnsi="宋体" w:cs="宋体" w:hint="eastAsia"/>
          <w:color w:val="000000"/>
          <w:kern w:val="0"/>
          <w:sz w:val="20"/>
          <w:szCs w:val="20"/>
        </w:rPr>
        <w:t>酚</w:t>
      </w:r>
      <w:proofErr w:type="gramEnd"/>
      <w:r w:rsidRPr="00F62EEF">
        <w:rPr>
          <w:rFonts w:ascii="宋体" w:eastAsia="宋体" w:hAnsi="宋体" w:cs="宋体" w:hint="eastAsia"/>
          <w:color w:val="000000"/>
          <w:kern w:val="0"/>
          <w:sz w:val="20"/>
          <w:szCs w:val="20"/>
        </w:rPr>
        <w:t>、硫化硫酸钠、淀粉、鞣酸同用或接触。</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5.如误服中毒，应立即用淀粉糊或米汤灌胃，并予以相应处理。</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不良反应的处理方法</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本药涂布部位如有灼烧感、瘙痒、红肿等，应停药，并将局部药物洗净。</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用药前后及用药时应当检查或监测</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本药如需反复用于大面积皮肤时，应监测妊娠期妇女、新生儿、初生婴儿的甲状腺功能。</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其他注意事项</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本药在室温下可逐渐升华，酊剂中的乙醇又易挥发和吸收空气中的水分，</w:t>
      </w:r>
      <w:proofErr w:type="gramStart"/>
      <w:r w:rsidRPr="00F62EEF">
        <w:rPr>
          <w:rFonts w:ascii="宋体" w:eastAsia="宋体" w:hAnsi="宋体" w:cs="宋体" w:hint="eastAsia"/>
          <w:color w:val="000000"/>
          <w:kern w:val="0"/>
          <w:sz w:val="20"/>
          <w:szCs w:val="20"/>
        </w:rPr>
        <w:t>故配好的</w:t>
      </w:r>
      <w:proofErr w:type="gramEnd"/>
      <w:r w:rsidRPr="00F62EEF">
        <w:rPr>
          <w:rFonts w:ascii="宋体" w:eastAsia="宋体" w:hAnsi="宋体" w:cs="宋体" w:hint="eastAsia"/>
          <w:color w:val="000000"/>
          <w:kern w:val="0"/>
          <w:sz w:val="20"/>
          <w:szCs w:val="20"/>
        </w:rPr>
        <w:t>酊剂应放于有盖容器中，用后即盖严，以防浓度下降。</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【药理】</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药效学</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本药为消毒防腐剂。本药可作用于氨基酸上的氨基、巯基、</w:t>
      </w:r>
      <w:proofErr w:type="gramStart"/>
      <w:r w:rsidRPr="00F62EEF">
        <w:rPr>
          <w:rFonts w:ascii="宋体" w:eastAsia="宋体" w:hAnsi="宋体" w:cs="宋体" w:hint="eastAsia"/>
          <w:color w:val="000000"/>
          <w:kern w:val="0"/>
          <w:sz w:val="20"/>
          <w:szCs w:val="20"/>
        </w:rPr>
        <w:t>酚</w:t>
      </w:r>
      <w:proofErr w:type="gramEnd"/>
      <w:r w:rsidRPr="00F62EEF">
        <w:rPr>
          <w:rFonts w:ascii="宋体" w:eastAsia="宋体" w:hAnsi="宋体" w:cs="宋体" w:hint="eastAsia"/>
          <w:color w:val="000000"/>
          <w:kern w:val="0"/>
          <w:sz w:val="20"/>
          <w:szCs w:val="20"/>
        </w:rPr>
        <w:t>基，直接卤化菌体蛋白质，干扰氨基酸合成、降低脂质膜流动性等，从而使微生物死亡。</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本药的杀菌作用较乙醇略强，可杀灭葡萄球菌、链球菌、铜绿假单胞菌和多种肠道杆菌等细菌繁殖体，亦可杀灭结核杆菌、呼吸道与肠道病毒(包括甲型肝炎病毒)，以及皮肤癣菌、曲霉、和酵母类病原真菌等。但对其可否杀灭细菌芽孢仍有争议，故现多不用于灭菌。</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【制剂与规格】</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碘酊  (1)2%(20ml:0.4g)。(2)2%(100ml:2g)。(3)2%(250ml:5g)。(4)2%(500ml:10g)。</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b/>
          <w:bCs/>
          <w:color w:val="000000"/>
          <w:kern w:val="0"/>
          <w:sz w:val="20"/>
          <w:szCs w:val="20"/>
        </w:rPr>
        <w:t>【贮藏】</w:t>
      </w:r>
    </w:p>
    <w:p w:rsidR="00F62EEF" w:rsidRPr="00F62EEF" w:rsidRDefault="00F62EEF" w:rsidP="00F62EEF">
      <w:pPr>
        <w:widowControl/>
        <w:spacing w:before="150" w:after="150" w:line="270" w:lineRule="atLeast"/>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酊剂：遮光、密封，阴凉处保存。</w:t>
      </w:r>
    </w:p>
    <w:p w:rsidR="00F62EEF" w:rsidRPr="00F62EEF" w:rsidRDefault="00F62EEF" w:rsidP="00F62EEF">
      <w:pPr>
        <w:widowControl/>
        <w:jc w:val="center"/>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使用</w:t>
      </w:r>
      <w:proofErr w:type="spellStart"/>
      <w:r w:rsidRPr="00F62EEF">
        <w:rPr>
          <w:rFonts w:ascii="宋体" w:eastAsia="宋体" w:hAnsi="宋体" w:cs="宋体" w:hint="eastAsia"/>
          <w:color w:val="000000"/>
          <w:kern w:val="0"/>
          <w:sz w:val="20"/>
          <w:szCs w:val="20"/>
        </w:rPr>
        <w:t>UpToDate</w:t>
      </w:r>
      <w:proofErr w:type="spellEnd"/>
      <w:r w:rsidRPr="00F62EEF">
        <w:rPr>
          <w:rFonts w:ascii="宋体" w:eastAsia="宋体" w:hAnsi="宋体" w:cs="宋体" w:hint="eastAsia"/>
          <w:color w:val="000000"/>
          <w:kern w:val="0"/>
          <w:sz w:val="20"/>
          <w:szCs w:val="20"/>
        </w:rPr>
        <w:t>临床顾问须遵循</w:t>
      </w:r>
      <w:hyperlink r:id="rId5" w:tgtFrame="_blank" w:history="1">
        <w:r w:rsidRPr="00F62EEF">
          <w:rPr>
            <w:rFonts w:ascii="宋体" w:eastAsia="宋体" w:hAnsi="宋体" w:cs="宋体" w:hint="eastAsia"/>
            <w:color w:val="336633"/>
            <w:kern w:val="0"/>
            <w:sz w:val="20"/>
            <w:szCs w:val="20"/>
            <w:u w:val="single"/>
          </w:rPr>
          <w:t>用户协议</w:t>
        </w:r>
      </w:hyperlink>
      <w:r w:rsidRPr="00F62EEF">
        <w:rPr>
          <w:rFonts w:ascii="宋体" w:eastAsia="宋体" w:hAnsi="宋体" w:cs="宋体" w:hint="eastAsia"/>
          <w:color w:val="000000"/>
          <w:kern w:val="0"/>
          <w:sz w:val="20"/>
          <w:szCs w:val="20"/>
        </w:rPr>
        <w:t>。</w:t>
      </w:r>
    </w:p>
    <w:p w:rsidR="00F62EEF" w:rsidRPr="00F62EEF" w:rsidRDefault="00F62EEF" w:rsidP="00F62EEF">
      <w:pPr>
        <w:widowControl/>
        <w:jc w:val="left"/>
        <w:rPr>
          <w:rFonts w:ascii="宋体" w:eastAsia="宋体" w:hAnsi="宋体" w:cs="宋体" w:hint="eastAsia"/>
          <w:color w:val="000000"/>
          <w:kern w:val="0"/>
          <w:sz w:val="20"/>
          <w:szCs w:val="20"/>
        </w:rPr>
      </w:pPr>
      <w:r w:rsidRPr="00F62EEF">
        <w:rPr>
          <w:rFonts w:ascii="宋体" w:eastAsia="宋体" w:hAnsi="宋体" w:cs="宋体" w:hint="eastAsia"/>
          <w:color w:val="000000"/>
          <w:kern w:val="0"/>
          <w:sz w:val="20"/>
          <w:szCs w:val="20"/>
        </w:rPr>
        <w:t>专题 92638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9A8"/>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529A8"/>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62EEF"/>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2EEF"/>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F62EEF"/>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F62EEF"/>
  </w:style>
  <w:style w:type="character" w:customStyle="1" w:styleId="h2">
    <w:name w:val="h2"/>
    <w:basedOn w:val="a0"/>
    <w:rsid w:val="00F62EEF"/>
  </w:style>
  <w:style w:type="character" w:customStyle="1" w:styleId="nowrap">
    <w:name w:val="nowrap"/>
    <w:basedOn w:val="a0"/>
    <w:rsid w:val="00F62EEF"/>
  </w:style>
  <w:style w:type="character" w:styleId="a4">
    <w:name w:val="Hyperlink"/>
    <w:basedOn w:val="a0"/>
    <w:uiPriority w:val="99"/>
    <w:semiHidden/>
    <w:unhideWhenUsed/>
    <w:rsid w:val="00F62E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2EEF"/>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F62EEF"/>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F62EEF"/>
  </w:style>
  <w:style w:type="character" w:customStyle="1" w:styleId="h2">
    <w:name w:val="h2"/>
    <w:basedOn w:val="a0"/>
    <w:rsid w:val="00F62EEF"/>
  </w:style>
  <w:style w:type="character" w:customStyle="1" w:styleId="nowrap">
    <w:name w:val="nowrap"/>
    <w:basedOn w:val="a0"/>
    <w:rsid w:val="00F62EEF"/>
  </w:style>
  <w:style w:type="character" w:styleId="a4">
    <w:name w:val="Hyperlink"/>
    <w:basedOn w:val="a0"/>
    <w:uiPriority w:val="99"/>
    <w:semiHidden/>
    <w:unhideWhenUsed/>
    <w:rsid w:val="00F62E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34158">
      <w:bodyDiv w:val="1"/>
      <w:marLeft w:val="0"/>
      <w:marRight w:val="0"/>
      <w:marTop w:val="0"/>
      <w:marBottom w:val="0"/>
      <w:divBdr>
        <w:top w:val="none" w:sz="0" w:space="0" w:color="auto"/>
        <w:left w:val="none" w:sz="0" w:space="0" w:color="auto"/>
        <w:bottom w:val="none" w:sz="0" w:space="0" w:color="auto"/>
        <w:right w:val="none" w:sz="0" w:space="0" w:color="auto"/>
      </w:divBdr>
      <w:divsChild>
        <w:div w:id="2129618783">
          <w:marLeft w:val="0"/>
          <w:marRight w:val="0"/>
          <w:marTop w:val="480"/>
          <w:marBottom w:val="480"/>
          <w:divBdr>
            <w:top w:val="none" w:sz="0" w:space="0" w:color="auto"/>
            <w:left w:val="none" w:sz="0" w:space="0" w:color="auto"/>
            <w:bottom w:val="none" w:sz="0" w:space="0" w:color="auto"/>
            <w:right w:val="none" w:sz="0" w:space="0" w:color="auto"/>
          </w:divBdr>
        </w:div>
        <w:div w:id="116320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254</Words>
  <Characters>1448</Characters>
  <Application>Microsoft Office Word</Application>
  <DocSecurity>0</DocSecurity>
  <Lines>12</Lines>
  <Paragraphs>3</Paragraphs>
  <ScaleCrop>false</ScaleCrop>
  <Company>China</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2015-02-09T01:50:00Z</dcterms:created>
  <dcterms:modified xsi:type="dcterms:W3CDTF">2015-02-09T01:51:00Z</dcterms:modified>
</cp:coreProperties>
</file>