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22D" w:rsidRPr="0076022D" w:rsidRDefault="0076022D" w:rsidP="0076022D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精氨酸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76022D">
        <w:rPr>
          <w:rFonts w:ascii="Arial" w:eastAsia="宋体" w:hAnsi="Arial" w:cs="Arial"/>
          <w:kern w:val="0"/>
          <w:sz w:val="20"/>
          <w:szCs w:val="20"/>
        </w:rPr>
        <w:t>1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76022D">
        <w:rPr>
          <w:rFonts w:ascii="Arial" w:eastAsia="宋体" w:hAnsi="Arial" w:cs="Arial"/>
          <w:kern w:val="0"/>
          <w:sz w:val="20"/>
          <w:szCs w:val="20"/>
        </w:rPr>
        <w:t>2013-6-5 20:51:05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中文通用名称：精氨酸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76022D">
        <w:rPr>
          <w:rFonts w:ascii="Arial" w:eastAsia="宋体" w:hAnsi="Arial" w:cs="Arial"/>
          <w:kern w:val="0"/>
          <w:sz w:val="20"/>
          <w:szCs w:val="20"/>
        </w:rPr>
        <w:t>Arginine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其他名称：</w:t>
      </w:r>
      <w:r w:rsidRPr="0076022D">
        <w:rPr>
          <w:rFonts w:ascii="Arial" w:eastAsia="宋体" w:hAnsi="Arial" w:cs="Arial"/>
          <w:kern w:val="0"/>
          <w:sz w:val="20"/>
          <w:szCs w:val="20"/>
        </w:rPr>
        <w:t>L-</w:t>
      </w:r>
      <w:r w:rsidRPr="0076022D">
        <w:rPr>
          <w:rFonts w:ascii="Arial" w:eastAsia="宋体" w:hAnsi="Arial" w:cs="Arial"/>
          <w:kern w:val="0"/>
          <w:sz w:val="20"/>
          <w:szCs w:val="20"/>
        </w:rPr>
        <w:t>蛋白氨基酸、</w:t>
      </w:r>
      <w:r w:rsidRPr="0076022D">
        <w:rPr>
          <w:rFonts w:ascii="Arial" w:eastAsia="宋体" w:hAnsi="Arial" w:cs="Arial"/>
          <w:kern w:val="0"/>
          <w:sz w:val="20"/>
          <w:szCs w:val="20"/>
        </w:rPr>
        <w:t>L-</w:t>
      </w:r>
      <w:r w:rsidRPr="0076022D">
        <w:rPr>
          <w:rFonts w:ascii="Arial" w:eastAsia="宋体" w:hAnsi="Arial" w:cs="Arial"/>
          <w:kern w:val="0"/>
          <w:sz w:val="20"/>
          <w:szCs w:val="20"/>
        </w:rPr>
        <w:t>精氨酸、阿及宁、蛋白氨基酸、</w:t>
      </w:r>
      <w:proofErr w:type="gramStart"/>
      <w:r w:rsidRPr="0076022D">
        <w:rPr>
          <w:rFonts w:ascii="Arial" w:eastAsia="宋体" w:hAnsi="Arial" w:cs="Arial"/>
          <w:kern w:val="0"/>
          <w:sz w:val="20"/>
          <w:szCs w:val="20"/>
        </w:rPr>
        <w:t>胍</w:t>
      </w:r>
      <w:proofErr w:type="gramEnd"/>
      <w:r w:rsidRPr="0076022D">
        <w:rPr>
          <w:rFonts w:ascii="Arial" w:eastAsia="宋体" w:hAnsi="Arial" w:cs="Arial"/>
          <w:kern w:val="0"/>
          <w:sz w:val="20"/>
          <w:szCs w:val="20"/>
        </w:rPr>
        <w:t>氨基戊酸、左旋精氨酸、</w:t>
      </w:r>
      <w:proofErr w:type="spellStart"/>
      <w:r w:rsidRPr="0076022D">
        <w:rPr>
          <w:rFonts w:ascii="Arial" w:eastAsia="宋体" w:hAnsi="Arial" w:cs="Arial"/>
          <w:kern w:val="0"/>
          <w:sz w:val="20"/>
          <w:szCs w:val="20"/>
        </w:rPr>
        <w:t>Argininum</w:t>
      </w:r>
      <w:proofErr w:type="spellEnd"/>
      <w:r w:rsidRPr="0076022D">
        <w:rPr>
          <w:rFonts w:ascii="Arial" w:eastAsia="宋体" w:hAnsi="Arial" w:cs="Arial"/>
          <w:kern w:val="0"/>
          <w:sz w:val="20"/>
          <w:szCs w:val="20"/>
        </w:rPr>
        <w:t>、</w:t>
      </w:r>
      <w:r w:rsidRPr="0076022D">
        <w:rPr>
          <w:rFonts w:ascii="Arial" w:eastAsia="宋体" w:hAnsi="Arial" w:cs="Arial"/>
          <w:kern w:val="0"/>
          <w:sz w:val="20"/>
          <w:szCs w:val="20"/>
        </w:rPr>
        <w:t>L-Arginine</w:t>
      </w:r>
      <w:r w:rsidRPr="0076022D">
        <w:rPr>
          <w:rFonts w:ascii="Arial" w:eastAsia="宋体" w:hAnsi="Arial" w:cs="Arial"/>
          <w:kern w:val="0"/>
          <w:sz w:val="20"/>
          <w:szCs w:val="20"/>
        </w:rPr>
        <w:t>、</w:t>
      </w:r>
      <w:r w:rsidRPr="0076022D">
        <w:rPr>
          <w:rFonts w:ascii="Arial" w:eastAsia="宋体" w:hAnsi="Arial" w:cs="Arial"/>
          <w:kern w:val="0"/>
          <w:sz w:val="20"/>
          <w:szCs w:val="20"/>
        </w:rPr>
        <w:t>L-</w:t>
      </w:r>
      <w:proofErr w:type="spellStart"/>
      <w:r w:rsidRPr="0076022D">
        <w:rPr>
          <w:rFonts w:ascii="Arial" w:eastAsia="宋体" w:hAnsi="Arial" w:cs="Arial"/>
          <w:kern w:val="0"/>
          <w:sz w:val="20"/>
          <w:szCs w:val="20"/>
        </w:rPr>
        <w:t>Argininum</w:t>
      </w:r>
      <w:proofErr w:type="spellEnd"/>
      <w:r w:rsidRPr="0076022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消化系统用药</w:t>
      </w:r>
      <w:r w:rsidRPr="0076022D">
        <w:rPr>
          <w:rFonts w:ascii="Arial" w:eastAsia="宋体" w:hAnsi="Arial" w:cs="Arial"/>
          <w:kern w:val="0"/>
          <w:sz w:val="20"/>
          <w:szCs w:val="20"/>
        </w:rPr>
        <w:t>&gt;&gt;</w:t>
      </w:r>
      <w:r w:rsidRPr="0076022D">
        <w:rPr>
          <w:rFonts w:ascii="Arial" w:eastAsia="宋体" w:hAnsi="Arial" w:cs="Arial"/>
          <w:kern w:val="0"/>
          <w:sz w:val="20"/>
          <w:szCs w:val="20"/>
        </w:rPr>
        <w:t>肝病辅助用药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电解质、酸碱平衡及营养药</w:t>
      </w:r>
      <w:r w:rsidRPr="0076022D">
        <w:rPr>
          <w:rFonts w:ascii="Arial" w:eastAsia="宋体" w:hAnsi="Arial" w:cs="Arial"/>
          <w:kern w:val="0"/>
          <w:sz w:val="20"/>
          <w:szCs w:val="20"/>
        </w:rPr>
        <w:t>&gt;&gt;</w:t>
      </w:r>
      <w:r w:rsidRPr="0076022D">
        <w:rPr>
          <w:rFonts w:ascii="Arial" w:eastAsia="宋体" w:hAnsi="Arial" w:cs="Arial"/>
          <w:kern w:val="0"/>
          <w:sz w:val="20"/>
          <w:szCs w:val="20"/>
        </w:rPr>
        <w:t>酸碱平衡调节药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电解质、酸碱平衡及营养药</w:t>
      </w:r>
      <w:r w:rsidRPr="0076022D">
        <w:rPr>
          <w:rFonts w:ascii="Arial" w:eastAsia="宋体" w:hAnsi="Arial" w:cs="Arial"/>
          <w:kern w:val="0"/>
          <w:sz w:val="20"/>
          <w:szCs w:val="20"/>
        </w:rPr>
        <w:t>&gt;&gt;</w:t>
      </w:r>
      <w:r w:rsidRPr="0076022D">
        <w:rPr>
          <w:rFonts w:ascii="Arial" w:eastAsia="宋体" w:hAnsi="Arial" w:cs="Arial"/>
          <w:kern w:val="0"/>
          <w:sz w:val="20"/>
          <w:szCs w:val="20"/>
        </w:rPr>
        <w:t>营养药</w:t>
      </w:r>
      <w:r w:rsidRPr="0076022D">
        <w:rPr>
          <w:rFonts w:ascii="Arial" w:eastAsia="宋体" w:hAnsi="Arial" w:cs="Arial"/>
          <w:kern w:val="0"/>
          <w:sz w:val="20"/>
          <w:szCs w:val="20"/>
        </w:rPr>
        <w:t>&gt;&gt;</w:t>
      </w:r>
      <w:r w:rsidRPr="0076022D">
        <w:rPr>
          <w:rFonts w:ascii="Arial" w:eastAsia="宋体" w:hAnsi="Arial" w:cs="Arial"/>
          <w:kern w:val="0"/>
          <w:sz w:val="20"/>
          <w:szCs w:val="20"/>
        </w:rPr>
        <w:t>氨基酸类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其它药物</w:t>
      </w:r>
      <w:r w:rsidRPr="0076022D">
        <w:rPr>
          <w:rFonts w:ascii="Arial" w:eastAsia="宋体" w:hAnsi="Arial" w:cs="Arial"/>
          <w:kern w:val="0"/>
          <w:sz w:val="20"/>
          <w:szCs w:val="20"/>
        </w:rPr>
        <w:t>&gt;&gt;</w:t>
      </w:r>
      <w:r w:rsidRPr="0076022D">
        <w:rPr>
          <w:rFonts w:ascii="Arial" w:eastAsia="宋体" w:hAnsi="Arial" w:cs="Arial"/>
          <w:kern w:val="0"/>
          <w:sz w:val="20"/>
          <w:szCs w:val="20"/>
        </w:rPr>
        <w:t>诊断用药</w:t>
      </w:r>
      <w:r w:rsidRPr="0076022D">
        <w:rPr>
          <w:rFonts w:ascii="Arial" w:eastAsia="宋体" w:hAnsi="Arial" w:cs="Arial"/>
          <w:kern w:val="0"/>
          <w:sz w:val="20"/>
          <w:szCs w:val="20"/>
        </w:rPr>
        <w:t>&gt;&gt;</w:t>
      </w:r>
      <w:r w:rsidRPr="0076022D">
        <w:rPr>
          <w:rFonts w:ascii="Arial" w:eastAsia="宋体" w:hAnsi="Arial" w:cs="Arial"/>
          <w:kern w:val="0"/>
          <w:sz w:val="20"/>
          <w:szCs w:val="20"/>
        </w:rPr>
        <w:t>器官功能检查用药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男性生殖系统用药</w:t>
      </w:r>
      <w:r w:rsidRPr="0076022D">
        <w:rPr>
          <w:rFonts w:ascii="Arial" w:eastAsia="宋体" w:hAnsi="Arial" w:cs="Arial"/>
          <w:kern w:val="0"/>
          <w:sz w:val="20"/>
          <w:szCs w:val="20"/>
        </w:rPr>
        <w:t>&gt;&gt;</w:t>
      </w:r>
      <w:r w:rsidRPr="0076022D">
        <w:rPr>
          <w:rFonts w:ascii="Arial" w:eastAsia="宋体" w:hAnsi="Arial" w:cs="Arial"/>
          <w:kern w:val="0"/>
          <w:sz w:val="20"/>
          <w:szCs w:val="20"/>
        </w:rPr>
        <w:t>其它男性生殖系统药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其它药物</w:t>
      </w:r>
      <w:r w:rsidRPr="0076022D">
        <w:rPr>
          <w:rFonts w:ascii="Arial" w:eastAsia="宋体" w:hAnsi="Arial" w:cs="Arial"/>
          <w:kern w:val="0"/>
          <w:sz w:val="20"/>
          <w:szCs w:val="20"/>
        </w:rPr>
        <w:t>&gt;&gt;</w:t>
      </w:r>
      <w:r w:rsidRPr="0076022D">
        <w:rPr>
          <w:rFonts w:ascii="Arial" w:eastAsia="宋体" w:hAnsi="Arial" w:cs="Arial"/>
          <w:kern w:val="0"/>
          <w:sz w:val="20"/>
          <w:szCs w:val="20"/>
        </w:rPr>
        <w:t>诊断用药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用于肝性脑病。</w:t>
      </w:r>
      <w:proofErr w:type="gramStart"/>
      <w:r w:rsidRPr="0076022D">
        <w:rPr>
          <w:rFonts w:ascii="Arial" w:eastAsia="宋体" w:hAnsi="Arial" w:cs="Arial"/>
          <w:kern w:val="0"/>
          <w:sz w:val="20"/>
          <w:szCs w:val="20"/>
        </w:rPr>
        <w:t>适用于忌钠患者</w:t>
      </w:r>
      <w:proofErr w:type="gramEnd"/>
      <w:r w:rsidRPr="0076022D">
        <w:rPr>
          <w:rFonts w:ascii="Arial" w:eastAsia="宋体" w:hAnsi="Arial" w:cs="Arial"/>
          <w:kern w:val="0"/>
          <w:sz w:val="20"/>
          <w:szCs w:val="20"/>
        </w:rPr>
        <w:t>，也适用于其他原因引起的血氨过高所致的精神症状。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1.</w:t>
      </w:r>
      <w:r w:rsidRPr="0076022D">
        <w:rPr>
          <w:rFonts w:ascii="Arial" w:eastAsia="宋体" w:hAnsi="Arial" w:cs="Arial"/>
          <w:kern w:val="0"/>
          <w:sz w:val="20"/>
          <w:szCs w:val="20"/>
        </w:rPr>
        <w:t>用于生长激素刺激试验。</w:t>
      </w:r>
      <w:r w:rsidRPr="0076022D">
        <w:rPr>
          <w:rFonts w:ascii="Arial" w:eastAsia="宋体" w:hAnsi="Arial" w:cs="Arial"/>
          <w:kern w:val="0"/>
          <w:sz w:val="20"/>
          <w:szCs w:val="20"/>
        </w:rPr>
        <w:t>(FDA</w:t>
      </w:r>
      <w:r w:rsidRPr="0076022D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76022D">
        <w:rPr>
          <w:rFonts w:ascii="Arial" w:eastAsia="宋体" w:hAnsi="Arial" w:cs="Arial"/>
          <w:kern w:val="0"/>
          <w:sz w:val="20"/>
          <w:szCs w:val="20"/>
        </w:rPr>
        <w:t>)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2.</w:t>
      </w:r>
      <w:r w:rsidRPr="0076022D">
        <w:rPr>
          <w:rFonts w:ascii="Arial" w:eastAsia="宋体" w:hAnsi="Arial" w:cs="Arial"/>
          <w:kern w:val="0"/>
          <w:sz w:val="20"/>
          <w:szCs w:val="20"/>
        </w:rPr>
        <w:t>用于代谢性碱中毒。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3.</w:t>
      </w:r>
      <w:r w:rsidRPr="0076022D">
        <w:rPr>
          <w:rFonts w:ascii="Arial" w:eastAsia="宋体" w:hAnsi="Arial" w:cs="Arial"/>
          <w:kern w:val="0"/>
          <w:sz w:val="20"/>
          <w:szCs w:val="20"/>
        </w:rPr>
        <w:t>口服用于精液分泌不足和精子缺乏引起的男性不育症。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4.</w:t>
      </w:r>
      <w:r w:rsidRPr="0076022D">
        <w:rPr>
          <w:rFonts w:ascii="Arial" w:eastAsia="宋体" w:hAnsi="Arial" w:cs="Arial"/>
          <w:kern w:val="0"/>
          <w:sz w:val="20"/>
          <w:szCs w:val="20"/>
        </w:rPr>
        <w:t>用于婴幼儿补充精氨酸。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成人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76022D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·</w:t>
      </w:r>
      <w:r w:rsidRPr="0076022D">
        <w:rPr>
          <w:rFonts w:ascii="Arial" w:eastAsia="宋体" w:hAnsi="Arial" w:cs="Arial"/>
          <w:kern w:val="0"/>
          <w:sz w:val="20"/>
          <w:szCs w:val="20"/>
        </w:rPr>
        <w:t>肝性脑病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1.</w:t>
      </w:r>
      <w:r w:rsidRPr="0076022D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6022D">
        <w:rPr>
          <w:rFonts w:ascii="Arial" w:eastAsia="宋体" w:hAnsi="Arial" w:cs="Arial"/>
          <w:kern w:val="0"/>
          <w:sz w:val="20"/>
          <w:szCs w:val="20"/>
        </w:rPr>
        <w:t>一次</w:t>
      </w:r>
      <w:r w:rsidRPr="0076022D">
        <w:rPr>
          <w:rFonts w:ascii="Arial" w:eastAsia="宋体" w:hAnsi="Arial" w:cs="Arial"/>
          <w:kern w:val="0"/>
          <w:sz w:val="20"/>
          <w:szCs w:val="20"/>
        </w:rPr>
        <w:t>0.75-1.5g</w:t>
      </w:r>
      <w:r w:rsidRPr="0076022D">
        <w:rPr>
          <w:rFonts w:ascii="Arial" w:eastAsia="宋体" w:hAnsi="Arial" w:cs="Arial"/>
          <w:kern w:val="0"/>
          <w:sz w:val="20"/>
          <w:szCs w:val="20"/>
        </w:rPr>
        <w:t>，一日</w:t>
      </w:r>
      <w:r w:rsidRPr="0076022D">
        <w:rPr>
          <w:rFonts w:ascii="Arial" w:eastAsia="宋体" w:hAnsi="Arial" w:cs="Arial"/>
          <w:kern w:val="0"/>
          <w:sz w:val="20"/>
          <w:szCs w:val="20"/>
        </w:rPr>
        <w:t>3</w:t>
      </w:r>
      <w:r w:rsidRPr="0076022D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2.</w:t>
      </w:r>
      <w:r w:rsidRPr="0076022D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6022D">
        <w:rPr>
          <w:rFonts w:ascii="Arial" w:eastAsia="宋体" w:hAnsi="Arial" w:cs="Arial"/>
          <w:kern w:val="0"/>
          <w:sz w:val="20"/>
          <w:szCs w:val="20"/>
        </w:rPr>
        <w:t>一次</w:t>
      </w:r>
      <w:r w:rsidRPr="0076022D">
        <w:rPr>
          <w:rFonts w:ascii="Arial" w:eastAsia="宋体" w:hAnsi="Arial" w:cs="Arial"/>
          <w:kern w:val="0"/>
          <w:sz w:val="20"/>
          <w:szCs w:val="20"/>
        </w:rPr>
        <w:t>15-20g</w:t>
      </w:r>
      <w:r w:rsidRPr="0076022D">
        <w:rPr>
          <w:rFonts w:ascii="Arial" w:eastAsia="宋体" w:hAnsi="Arial" w:cs="Arial"/>
          <w:kern w:val="0"/>
          <w:sz w:val="20"/>
          <w:szCs w:val="20"/>
        </w:rPr>
        <w:t>，于</w:t>
      </w:r>
      <w:r w:rsidRPr="0076022D">
        <w:rPr>
          <w:rFonts w:ascii="Arial" w:eastAsia="宋体" w:hAnsi="Arial" w:cs="Arial"/>
          <w:kern w:val="0"/>
          <w:sz w:val="20"/>
          <w:szCs w:val="20"/>
        </w:rPr>
        <w:t>4</w:t>
      </w:r>
      <w:r w:rsidRPr="0076022D">
        <w:rPr>
          <w:rFonts w:ascii="Arial" w:eastAsia="宋体" w:hAnsi="Arial" w:cs="Arial"/>
          <w:kern w:val="0"/>
          <w:sz w:val="20"/>
          <w:szCs w:val="20"/>
        </w:rPr>
        <w:t>小时内滴注完。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76022D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·</w:t>
      </w:r>
      <w:r w:rsidRPr="0076022D">
        <w:rPr>
          <w:rFonts w:ascii="Arial" w:eastAsia="宋体" w:hAnsi="Arial" w:cs="Arial"/>
          <w:kern w:val="0"/>
          <w:sz w:val="20"/>
          <w:szCs w:val="20"/>
        </w:rPr>
        <w:t>生长激素刺激试验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1.</w:t>
      </w:r>
      <w:r w:rsidRPr="0076022D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6022D">
        <w:rPr>
          <w:rFonts w:ascii="Arial" w:eastAsia="宋体" w:hAnsi="Arial" w:cs="Arial"/>
          <w:kern w:val="0"/>
          <w:sz w:val="20"/>
          <w:szCs w:val="20"/>
        </w:rPr>
        <w:t>本药用量为</w:t>
      </w:r>
      <w:r w:rsidRPr="0076022D">
        <w:rPr>
          <w:rFonts w:ascii="Arial" w:eastAsia="宋体" w:hAnsi="Arial" w:cs="Arial"/>
          <w:kern w:val="0"/>
          <w:sz w:val="20"/>
          <w:szCs w:val="20"/>
        </w:rPr>
        <w:t>30g(</w:t>
      </w:r>
      <w:r w:rsidRPr="0076022D">
        <w:rPr>
          <w:rFonts w:ascii="Arial" w:eastAsia="宋体" w:hAnsi="Arial" w:cs="Arial"/>
          <w:kern w:val="0"/>
          <w:sz w:val="20"/>
          <w:szCs w:val="20"/>
        </w:rPr>
        <w:t>即</w:t>
      </w:r>
      <w:r w:rsidRPr="0076022D">
        <w:rPr>
          <w:rFonts w:ascii="Arial" w:eastAsia="宋体" w:hAnsi="Arial" w:cs="Arial"/>
          <w:kern w:val="0"/>
          <w:sz w:val="20"/>
          <w:szCs w:val="20"/>
        </w:rPr>
        <w:t>10%</w:t>
      </w:r>
      <w:r w:rsidRPr="0076022D">
        <w:rPr>
          <w:rFonts w:ascii="Arial" w:eastAsia="宋体" w:hAnsi="Arial" w:cs="Arial"/>
          <w:kern w:val="0"/>
          <w:sz w:val="20"/>
          <w:szCs w:val="20"/>
        </w:rPr>
        <w:t>的精氨酸溶液</w:t>
      </w:r>
      <w:r w:rsidRPr="0076022D">
        <w:rPr>
          <w:rFonts w:ascii="Arial" w:eastAsia="宋体" w:hAnsi="Arial" w:cs="Arial"/>
          <w:kern w:val="0"/>
          <w:sz w:val="20"/>
          <w:szCs w:val="20"/>
        </w:rPr>
        <w:t>300ml)</w:t>
      </w:r>
      <w:r w:rsidRPr="0076022D">
        <w:rPr>
          <w:rFonts w:ascii="Arial" w:eastAsia="宋体" w:hAnsi="Arial" w:cs="Arial"/>
          <w:kern w:val="0"/>
          <w:sz w:val="20"/>
          <w:szCs w:val="20"/>
        </w:rPr>
        <w:t>，输注</w:t>
      </w:r>
      <w:r w:rsidRPr="0076022D">
        <w:rPr>
          <w:rFonts w:ascii="Arial" w:eastAsia="宋体" w:hAnsi="Arial" w:cs="Arial"/>
          <w:kern w:val="0"/>
          <w:sz w:val="20"/>
          <w:szCs w:val="20"/>
        </w:rPr>
        <w:t>30</w:t>
      </w:r>
      <w:r w:rsidRPr="0076022D">
        <w:rPr>
          <w:rFonts w:ascii="Arial" w:eastAsia="宋体" w:hAnsi="Arial" w:cs="Arial"/>
          <w:kern w:val="0"/>
          <w:sz w:val="20"/>
          <w:szCs w:val="20"/>
        </w:rPr>
        <w:t>分钟，并以稳定的速度</w:t>
      </w:r>
      <w:r w:rsidRPr="0076022D">
        <w:rPr>
          <w:rFonts w:ascii="Arial" w:eastAsia="宋体" w:hAnsi="Arial" w:cs="Arial"/>
          <w:kern w:val="0"/>
          <w:sz w:val="20"/>
          <w:szCs w:val="20"/>
        </w:rPr>
        <w:t>(</w:t>
      </w:r>
      <w:r w:rsidRPr="0076022D">
        <w:rPr>
          <w:rFonts w:ascii="Arial" w:eastAsia="宋体" w:hAnsi="Arial" w:cs="Arial"/>
          <w:kern w:val="0"/>
          <w:sz w:val="20"/>
          <w:szCs w:val="20"/>
        </w:rPr>
        <w:t>最好采用输液泵</w:t>
      </w:r>
      <w:r w:rsidRPr="0076022D">
        <w:rPr>
          <w:rFonts w:ascii="Arial" w:eastAsia="宋体" w:hAnsi="Arial" w:cs="Arial"/>
          <w:kern w:val="0"/>
          <w:sz w:val="20"/>
          <w:szCs w:val="20"/>
        </w:rPr>
        <w:t>)</w:t>
      </w:r>
      <w:r w:rsidRPr="0076022D">
        <w:rPr>
          <w:rFonts w:ascii="Arial" w:eastAsia="宋体" w:hAnsi="Arial" w:cs="Arial"/>
          <w:kern w:val="0"/>
          <w:sz w:val="20"/>
          <w:szCs w:val="20"/>
        </w:rPr>
        <w:t>通过留置针头或置入肘前静脉的软塑料或硅胶管输入。给药剂量不当或输</w:t>
      </w:r>
      <w:proofErr w:type="gramStart"/>
      <w:r w:rsidRPr="0076022D">
        <w:rPr>
          <w:rFonts w:ascii="Arial" w:eastAsia="宋体" w:hAnsi="Arial" w:cs="Arial"/>
          <w:kern w:val="0"/>
          <w:sz w:val="20"/>
          <w:szCs w:val="20"/>
        </w:rPr>
        <w:t>注时间</w:t>
      </w:r>
      <w:proofErr w:type="gramEnd"/>
      <w:r w:rsidRPr="0076022D">
        <w:rPr>
          <w:rFonts w:ascii="Arial" w:eastAsia="宋体" w:hAnsi="Arial" w:cs="Arial"/>
          <w:kern w:val="0"/>
          <w:sz w:val="20"/>
          <w:szCs w:val="20"/>
        </w:rPr>
        <w:t>过长均可导致对脑垂体的刺激不足，而得到错误的结果。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·</w:t>
      </w:r>
      <w:r w:rsidRPr="0076022D">
        <w:rPr>
          <w:rFonts w:ascii="Arial" w:eastAsia="宋体" w:hAnsi="Arial" w:cs="Arial"/>
          <w:kern w:val="0"/>
          <w:sz w:val="20"/>
          <w:szCs w:val="20"/>
        </w:rPr>
        <w:t>营养补充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1.</w:t>
      </w:r>
      <w:r w:rsidRPr="0076022D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6022D">
        <w:rPr>
          <w:rFonts w:ascii="Arial" w:eastAsia="宋体" w:hAnsi="Arial" w:cs="Arial"/>
          <w:kern w:val="0"/>
          <w:sz w:val="20"/>
          <w:szCs w:val="20"/>
        </w:rPr>
        <w:t>精氨酸占饮食中热卡摄入量的</w:t>
      </w:r>
      <w:r w:rsidRPr="0076022D">
        <w:rPr>
          <w:rFonts w:ascii="Arial" w:eastAsia="宋体" w:hAnsi="Arial" w:cs="Arial"/>
          <w:kern w:val="0"/>
          <w:sz w:val="20"/>
          <w:szCs w:val="20"/>
        </w:rPr>
        <w:t>7%</w:t>
      </w:r>
      <w:r w:rsidRPr="0076022D">
        <w:rPr>
          <w:rFonts w:ascii="Arial" w:eastAsia="宋体" w:hAnsi="Arial" w:cs="Arial"/>
          <w:kern w:val="0"/>
          <w:sz w:val="20"/>
          <w:szCs w:val="20"/>
        </w:rPr>
        <w:t>，可使手术后淋巴细胞对促细胞分裂剂的反应更佳。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76022D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·</w:t>
      </w:r>
      <w:r w:rsidRPr="0076022D">
        <w:rPr>
          <w:rFonts w:ascii="Arial" w:eastAsia="宋体" w:hAnsi="Arial" w:cs="Arial"/>
          <w:kern w:val="0"/>
          <w:sz w:val="20"/>
          <w:szCs w:val="20"/>
        </w:rPr>
        <w:t>生长激素刺激试验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1.</w:t>
      </w:r>
      <w:r w:rsidRPr="0076022D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6022D">
        <w:rPr>
          <w:rFonts w:ascii="Arial" w:eastAsia="宋体" w:hAnsi="Arial" w:cs="Arial"/>
          <w:kern w:val="0"/>
          <w:sz w:val="20"/>
          <w:szCs w:val="20"/>
        </w:rPr>
        <w:t>推荐用量为</w:t>
      </w:r>
      <w:r w:rsidRPr="0076022D">
        <w:rPr>
          <w:rFonts w:ascii="Arial" w:eastAsia="宋体" w:hAnsi="Arial" w:cs="Arial"/>
          <w:kern w:val="0"/>
          <w:sz w:val="20"/>
          <w:szCs w:val="20"/>
        </w:rPr>
        <w:t>500mg/kg(</w:t>
      </w:r>
      <w:r w:rsidRPr="0076022D">
        <w:rPr>
          <w:rFonts w:ascii="Arial" w:eastAsia="宋体" w:hAnsi="Arial" w:cs="Arial"/>
          <w:kern w:val="0"/>
          <w:sz w:val="20"/>
          <w:szCs w:val="20"/>
        </w:rPr>
        <w:t>即</w:t>
      </w:r>
      <w:r w:rsidRPr="0076022D">
        <w:rPr>
          <w:rFonts w:ascii="Arial" w:eastAsia="宋体" w:hAnsi="Arial" w:cs="Arial"/>
          <w:kern w:val="0"/>
          <w:sz w:val="20"/>
          <w:szCs w:val="20"/>
        </w:rPr>
        <w:t>10%</w:t>
      </w:r>
      <w:r w:rsidRPr="0076022D">
        <w:rPr>
          <w:rFonts w:ascii="Arial" w:eastAsia="宋体" w:hAnsi="Arial" w:cs="Arial"/>
          <w:kern w:val="0"/>
          <w:sz w:val="20"/>
          <w:szCs w:val="20"/>
        </w:rPr>
        <w:t>的精氨酸溶液</w:t>
      </w:r>
      <w:r w:rsidRPr="0076022D">
        <w:rPr>
          <w:rFonts w:ascii="Arial" w:eastAsia="宋体" w:hAnsi="Arial" w:cs="Arial"/>
          <w:kern w:val="0"/>
          <w:sz w:val="20"/>
          <w:szCs w:val="20"/>
        </w:rPr>
        <w:t>5ml/kg)</w:t>
      </w:r>
      <w:r w:rsidRPr="0076022D">
        <w:rPr>
          <w:rFonts w:ascii="Arial" w:eastAsia="宋体" w:hAnsi="Arial" w:cs="Arial"/>
          <w:kern w:val="0"/>
          <w:sz w:val="20"/>
          <w:szCs w:val="20"/>
        </w:rPr>
        <w:t>，通过留置针头或置于肘前静脉内的软管输入。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注射液的配制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本药注射液或粉针剂应以</w:t>
      </w:r>
      <w:r w:rsidRPr="0076022D">
        <w:rPr>
          <w:rFonts w:ascii="Arial" w:eastAsia="宋体" w:hAnsi="Arial" w:cs="Arial"/>
          <w:kern w:val="0"/>
          <w:sz w:val="20"/>
          <w:szCs w:val="20"/>
        </w:rPr>
        <w:t>5%</w:t>
      </w:r>
      <w:r w:rsidRPr="0076022D">
        <w:rPr>
          <w:rFonts w:ascii="Arial" w:eastAsia="宋体" w:hAnsi="Arial" w:cs="Arial"/>
          <w:kern w:val="0"/>
          <w:sz w:val="20"/>
          <w:szCs w:val="20"/>
        </w:rPr>
        <w:t>葡萄糖注射液</w:t>
      </w:r>
      <w:r w:rsidRPr="0076022D">
        <w:rPr>
          <w:rFonts w:ascii="Arial" w:eastAsia="宋体" w:hAnsi="Arial" w:cs="Arial"/>
          <w:kern w:val="0"/>
          <w:sz w:val="20"/>
          <w:szCs w:val="20"/>
        </w:rPr>
        <w:t>1000ml</w:t>
      </w:r>
      <w:r w:rsidRPr="0076022D">
        <w:rPr>
          <w:rFonts w:ascii="Arial" w:eastAsia="宋体" w:hAnsi="Arial" w:cs="Arial"/>
          <w:kern w:val="0"/>
          <w:sz w:val="20"/>
          <w:szCs w:val="20"/>
        </w:rPr>
        <w:t>稀释后使用。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76022D">
        <w:rPr>
          <w:rFonts w:ascii="Arial" w:eastAsia="宋体" w:hAnsi="Arial" w:cs="Arial"/>
          <w:kern w:val="0"/>
          <w:sz w:val="20"/>
          <w:szCs w:val="20"/>
        </w:rPr>
        <w:t>对本药过敏者。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2.</w:t>
      </w:r>
      <w:r w:rsidRPr="0076022D">
        <w:rPr>
          <w:rFonts w:ascii="Arial" w:eastAsia="宋体" w:hAnsi="Arial" w:cs="Arial"/>
          <w:kern w:val="0"/>
          <w:sz w:val="20"/>
          <w:szCs w:val="20"/>
        </w:rPr>
        <w:t>肾功能不全者。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3.</w:t>
      </w:r>
      <w:r w:rsidRPr="0076022D">
        <w:rPr>
          <w:rFonts w:ascii="Arial" w:eastAsia="宋体" w:hAnsi="Arial" w:cs="Arial"/>
          <w:kern w:val="0"/>
          <w:sz w:val="20"/>
          <w:szCs w:val="20"/>
        </w:rPr>
        <w:t>无尿患者。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4.</w:t>
      </w:r>
      <w:r w:rsidRPr="0076022D">
        <w:rPr>
          <w:rFonts w:ascii="Arial" w:eastAsia="宋体" w:hAnsi="Arial" w:cs="Arial"/>
          <w:kern w:val="0"/>
          <w:sz w:val="20"/>
          <w:szCs w:val="20"/>
        </w:rPr>
        <w:t>高氯性酸中毒者。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1.</w:t>
      </w:r>
      <w:r w:rsidRPr="0076022D">
        <w:rPr>
          <w:rFonts w:ascii="Arial" w:eastAsia="宋体" w:hAnsi="Arial" w:cs="Arial"/>
          <w:kern w:val="0"/>
          <w:sz w:val="20"/>
          <w:szCs w:val="20"/>
        </w:rPr>
        <w:t>糖尿病患者。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2.</w:t>
      </w:r>
      <w:r w:rsidRPr="0076022D">
        <w:rPr>
          <w:rFonts w:ascii="Arial" w:eastAsia="宋体" w:hAnsi="Arial" w:cs="Arial"/>
          <w:kern w:val="0"/>
          <w:sz w:val="20"/>
          <w:szCs w:val="20"/>
        </w:rPr>
        <w:t>电解质紊乱患者。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3.</w:t>
      </w:r>
      <w:r w:rsidRPr="0076022D">
        <w:rPr>
          <w:rFonts w:ascii="Arial" w:eastAsia="宋体" w:hAnsi="Arial" w:cs="Arial"/>
          <w:kern w:val="0"/>
          <w:sz w:val="20"/>
          <w:szCs w:val="20"/>
        </w:rPr>
        <w:t>肝功能不全者。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4.</w:t>
      </w:r>
      <w:r w:rsidRPr="0076022D">
        <w:rPr>
          <w:rFonts w:ascii="Arial" w:eastAsia="宋体" w:hAnsi="Arial" w:cs="Arial"/>
          <w:kern w:val="0"/>
          <w:sz w:val="20"/>
          <w:szCs w:val="20"/>
        </w:rPr>
        <w:t>儿童。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(</w:t>
      </w:r>
      <w:r w:rsidRPr="0076022D">
        <w:rPr>
          <w:rFonts w:ascii="Arial" w:eastAsia="宋体" w:hAnsi="Arial" w:cs="Arial"/>
          <w:kern w:val="0"/>
          <w:sz w:val="20"/>
          <w:szCs w:val="20"/>
        </w:rPr>
        <w:t>以上均选自国外资料</w:t>
      </w:r>
      <w:r w:rsidRPr="0076022D">
        <w:rPr>
          <w:rFonts w:ascii="Arial" w:eastAsia="宋体" w:hAnsi="Arial" w:cs="Arial"/>
          <w:kern w:val="0"/>
          <w:sz w:val="20"/>
          <w:szCs w:val="20"/>
        </w:rPr>
        <w:t>)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有数例儿童出现致死性精氨酸过量的报道，药物过量症状出现的时间可能较晚，儿童应慎用。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尚不明确。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1.</w:t>
      </w:r>
      <w:r w:rsidRPr="0076022D">
        <w:rPr>
          <w:rFonts w:ascii="Arial" w:eastAsia="宋体" w:hAnsi="Arial" w:cs="Arial"/>
          <w:kern w:val="0"/>
          <w:sz w:val="20"/>
          <w:szCs w:val="20"/>
        </w:rPr>
        <w:t>动物试验中未见本药的致畸作用，不推荐妊娠期妇女使用。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2.</w:t>
      </w:r>
      <w:r w:rsidRPr="0076022D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76022D">
        <w:rPr>
          <w:rFonts w:ascii="Arial" w:eastAsia="宋体" w:hAnsi="Arial" w:cs="Arial"/>
          <w:kern w:val="0"/>
          <w:sz w:val="20"/>
          <w:szCs w:val="20"/>
        </w:rPr>
        <w:t>(FDA)</w:t>
      </w:r>
      <w:r w:rsidRPr="0076022D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76022D">
        <w:rPr>
          <w:rFonts w:ascii="Arial" w:eastAsia="宋体" w:hAnsi="Arial" w:cs="Arial"/>
          <w:kern w:val="0"/>
          <w:sz w:val="20"/>
          <w:szCs w:val="20"/>
        </w:rPr>
        <w:t>B</w:t>
      </w:r>
      <w:r w:rsidRPr="0076022D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本药可随乳汁排泄，不推荐哺乳期妇女使用。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1.</w:t>
      </w:r>
      <w:r w:rsidRPr="0076022D">
        <w:rPr>
          <w:rFonts w:ascii="Arial" w:eastAsia="宋体" w:hAnsi="Arial" w:cs="Arial"/>
          <w:kern w:val="0"/>
          <w:sz w:val="20"/>
          <w:szCs w:val="20"/>
        </w:rPr>
        <w:t>高钾血症患者：此类患者不宜使用本药。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2.</w:t>
      </w:r>
      <w:r w:rsidRPr="0076022D">
        <w:rPr>
          <w:rFonts w:ascii="Arial" w:eastAsia="宋体" w:hAnsi="Arial" w:cs="Arial"/>
          <w:kern w:val="0"/>
          <w:sz w:val="20"/>
          <w:szCs w:val="20"/>
        </w:rPr>
        <w:t>暴发型肝功能衰竭者：此类患者体内缺乏精氨酸酶，不宜使用本药。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3.</w:t>
      </w:r>
      <w:r w:rsidRPr="0076022D">
        <w:rPr>
          <w:rFonts w:ascii="Arial" w:eastAsia="宋体" w:hAnsi="Arial" w:cs="Arial"/>
          <w:kern w:val="0"/>
          <w:sz w:val="20"/>
          <w:szCs w:val="20"/>
        </w:rPr>
        <w:t>心肌梗死患者：此类患者应避免使用本药。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r w:rsidRPr="0076022D">
        <w:rPr>
          <w:rFonts w:ascii="Arial" w:eastAsia="宋体" w:hAnsi="Arial" w:cs="Arial"/>
          <w:kern w:val="0"/>
          <w:sz w:val="20"/>
          <w:szCs w:val="20"/>
        </w:rPr>
        <w:t>糖尿病患者、肝功能不全者：以上患者用药后可能导致危及生命的高钾血症，故慎用。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1.</w:t>
      </w:r>
      <w:r w:rsidRPr="0076022D">
        <w:rPr>
          <w:rFonts w:ascii="Arial" w:eastAsia="宋体" w:hAnsi="Arial" w:cs="Arial"/>
          <w:kern w:val="0"/>
          <w:sz w:val="20"/>
          <w:szCs w:val="20"/>
        </w:rPr>
        <w:t>代谢</w:t>
      </w:r>
      <w:r w:rsidRPr="0076022D">
        <w:rPr>
          <w:rFonts w:ascii="Arial" w:eastAsia="宋体" w:hAnsi="Arial" w:cs="Arial"/>
          <w:kern w:val="0"/>
          <w:sz w:val="20"/>
          <w:szCs w:val="20"/>
        </w:rPr>
        <w:t>/</w:t>
      </w:r>
      <w:r w:rsidRPr="0076022D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76022D">
        <w:rPr>
          <w:rFonts w:ascii="Arial" w:eastAsia="宋体" w:hAnsi="Arial" w:cs="Arial"/>
          <w:kern w:val="0"/>
          <w:sz w:val="20"/>
          <w:szCs w:val="20"/>
        </w:rPr>
        <w:t>可引起肌酸升高。</w:t>
      </w:r>
      <w:r w:rsidRPr="0076022D">
        <w:rPr>
          <w:rFonts w:ascii="Arial" w:eastAsia="宋体" w:hAnsi="Arial" w:cs="Arial"/>
          <w:kern w:val="0"/>
          <w:sz w:val="20"/>
          <w:szCs w:val="20"/>
        </w:rPr>
        <w:t>(2)</w:t>
      </w:r>
      <w:r w:rsidRPr="0076022D">
        <w:rPr>
          <w:rFonts w:ascii="Arial" w:eastAsia="宋体" w:hAnsi="Arial" w:cs="Arial"/>
          <w:kern w:val="0"/>
          <w:sz w:val="20"/>
          <w:szCs w:val="20"/>
        </w:rPr>
        <w:t>本药盐酸盐</w:t>
      </w:r>
      <w:r w:rsidRPr="0076022D">
        <w:rPr>
          <w:rFonts w:ascii="Arial" w:eastAsia="宋体" w:hAnsi="Arial" w:cs="Arial"/>
          <w:kern w:val="0"/>
          <w:sz w:val="20"/>
          <w:szCs w:val="20"/>
        </w:rPr>
        <w:t>(10%</w:t>
      </w:r>
      <w:r w:rsidRPr="0076022D">
        <w:rPr>
          <w:rFonts w:ascii="Arial" w:eastAsia="宋体" w:hAnsi="Arial" w:cs="Arial"/>
          <w:kern w:val="0"/>
          <w:sz w:val="20"/>
          <w:szCs w:val="20"/>
        </w:rPr>
        <w:t>溶液</w:t>
      </w:r>
      <w:r w:rsidRPr="0076022D">
        <w:rPr>
          <w:rFonts w:ascii="Arial" w:eastAsia="宋体" w:hAnsi="Arial" w:cs="Arial"/>
          <w:kern w:val="0"/>
          <w:sz w:val="20"/>
          <w:szCs w:val="20"/>
        </w:rPr>
        <w:t>)</w:t>
      </w:r>
      <w:proofErr w:type="gramStart"/>
      <w:r w:rsidRPr="0076022D">
        <w:rPr>
          <w:rFonts w:ascii="Arial" w:eastAsia="宋体" w:hAnsi="Arial" w:cs="Arial"/>
          <w:kern w:val="0"/>
          <w:sz w:val="20"/>
          <w:szCs w:val="20"/>
        </w:rPr>
        <w:t>内氯离子</w:t>
      </w:r>
      <w:proofErr w:type="gramEnd"/>
      <w:r w:rsidRPr="0076022D">
        <w:rPr>
          <w:rFonts w:ascii="Arial" w:eastAsia="宋体" w:hAnsi="Arial" w:cs="Arial"/>
          <w:kern w:val="0"/>
          <w:sz w:val="20"/>
          <w:szCs w:val="20"/>
        </w:rPr>
        <w:t>含量为</w:t>
      </w:r>
      <w:r w:rsidRPr="0076022D">
        <w:rPr>
          <w:rFonts w:ascii="Arial" w:eastAsia="宋体" w:hAnsi="Arial" w:cs="Arial"/>
          <w:kern w:val="0"/>
          <w:sz w:val="20"/>
          <w:szCs w:val="20"/>
        </w:rPr>
        <w:t>47.5mmol/100ml</w:t>
      </w:r>
      <w:r w:rsidRPr="0076022D">
        <w:rPr>
          <w:rFonts w:ascii="Arial" w:eastAsia="宋体" w:hAnsi="Arial" w:cs="Arial"/>
          <w:kern w:val="0"/>
          <w:sz w:val="20"/>
          <w:szCs w:val="20"/>
        </w:rPr>
        <w:t>，可引起高氯性酸血症，肾功能减退者或大剂量使用时更易发生酸中毒。</w:t>
      </w:r>
      <w:r w:rsidRPr="0076022D">
        <w:rPr>
          <w:rFonts w:ascii="Arial" w:eastAsia="宋体" w:hAnsi="Arial" w:cs="Arial"/>
          <w:kern w:val="0"/>
          <w:sz w:val="20"/>
          <w:szCs w:val="20"/>
        </w:rPr>
        <w:t>(3)</w:t>
      </w:r>
      <w:r w:rsidRPr="0076022D">
        <w:rPr>
          <w:rFonts w:ascii="Arial" w:eastAsia="宋体" w:hAnsi="Arial" w:cs="Arial"/>
          <w:kern w:val="0"/>
          <w:sz w:val="20"/>
          <w:szCs w:val="20"/>
        </w:rPr>
        <w:t>据报道肝肾功能不良或糖尿病患者使用本药可引起高钾血症。</w:t>
      </w:r>
      <w:r w:rsidRPr="0076022D">
        <w:rPr>
          <w:rFonts w:ascii="Arial" w:eastAsia="宋体" w:hAnsi="Arial" w:cs="Arial"/>
          <w:kern w:val="0"/>
          <w:sz w:val="20"/>
          <w:szCs w:val="20"/>
        </w:rPr>
        <w:t>(4)</w:t>
      </w:r>
      <w:r w:rsidRPr="0076022D">
        <w:rPr>
          <w:rFonts w:ascii="Arial" w:eastAsia="宋体" w:hAnsi="Arial" w:cs="Arial"/>
          <w:kern w:val="0"/>
          <w:sz w:val="20"/>
          <w:szCs w:val="20"/>
        </w:rPr>
        <w:t>有报道囊性纤维化患者口服本药后可出现明显的体重下降。</w:t>
      </w:r>
      <w:r w:rsidRPr="0076022D">
        <w:rPr>
          <w:rFonts w:ascii="Arial" w:eastAsia="宋体" w:hAnsi="Arial" w:cs="Arial"/>
          <w:kern w:val="0"/>
          <w:sz w:val="20"/>
          <w:szCs w:val="20"/>
        </w:rPr>
        <w:t>(5)</w:t>
      </w:r>
      <w:r w:rsidRPr="0076022D">
        <w:rPr>
          <w:rFonts w:ascii="Arial" w:eastAsia="宋体" w:hAnsi="Arial" w:cs="Arial"/>
          <w:kern w:val="0"/>
          <w:sz w:val="20"/>
          <w:szCs w:val="20"/>
        </w:rPr>
        <w:t>有本药可致肝移植术后急性高钾血症的报道。</w:t>
      </w:r>
      <w:r w:rsidRPr="0076022D">
        <w:rPr>
          <w:rFonts w:ascii="Arial" w:eastAsia="宋体" w:hAnsi="Arial" w:cs="Arial"/>
          <w:kern w:val="0"/>
          <w:sz w:val="20"/>
          <w:szCs w:val="20"/>
        </w:rPr>
        <w:t>(6)</w:t>
      </w:r>
      <w:r w:rsidRPr="0076022D">
        <w:rPr>
          <w:rFonts w:ascii="Arial" w:eastAsia="宋体" w:hAnsi="Arial" w:cs="Arial"/>
          <w:kern w:val="0"/>
          <w:sz w:val="20"/>
          <w:szCs w:val="20"/>
        </w:rPr>
        <w:t>可引起生长激素、胰岛素、胰高血糖素和催乳素的释放。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2.</w:t>
      </w:r>
      <w:r w:rsidRPr="0076022D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6022D">
        <w:rPr>
          <w:rFonts w:ascii="Arial" w:eastAsia="宋体" w:hAnsi="Arial" w:cs="Arial"/>
          <w:kern w:val="0"/>
          <w:sz w:val="20"/>
          <w:szCs w:val="20"/>
        </w:rPr>
        <w:t>患有囊性纤维化的儿童吸入本药后可导致严重咳嗽，并出现临床状况恶化。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3.</w:t>
      </w:r>
      <w:r w:rsidRPr="0076022D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6022D">
        <w:rPr>
          <w:rFonts w:ascii="Arial" w:eastAsia="宋体" w:hAnsi="Arial" w:cs="Arial"/>
          <w:kern w:val="0"/>
          <w:sz w:val="20"/>
          <w:szCs w:val="20"/>
        </w:rPr>
        <w:t>可引起血尿素氮及血肌酸酐水平升高。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4.</w:t>
      </w:r>
      <w:r w:rsidRPr="0076022D">
        <w:rPr>
          <w:rFonts w:ascii="Arial" w:eastAsia="宋体" w:hAnsi="Arial" w:cs="Arial"/>
          <w:kern w:val="0"/>
          <w:sz w:val="20"/>
          <w:szCs w:val="20"/>
        </w:rPr>
        <w:t>胃肠道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6022D">
        <w:rPr>
          <w:rFonts w:ascii="Arial" w:eastAsia="宋体" w:hAnsi="Arial" w:cs="Arial"/>
          <w:kern w:val="0"/>
          <w:sz w:val="20"/>
          <w:szCs w:val="20"/>
        </w:rPr>
        <w:t>有囊性纤维化患者口服本药后可发生腹部痉挛痛和胃胀气的报道。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5.</w:t>
      </w:r>
      <w:r w:rsidRPr="0076022D">
        <w:rPr>
          <w:rFonts w:ascii="Arial" w:eastAsia="宋体" w:hAnsi="Arial" w:cs="Arial"/>
          <w:kern w:val="0"/>
          <w:sz w:val="20"/>
          <w:szCs w:val="20"/>
        </w:rPr>
        <w:t>皮肤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6022D">
        <w:rPr>
          <w:rFonts w:ascii="Arial" w:eastAsia="宋体" w:hAnsi="Arial" w:cs="Arial"/>
          <w:kern w:val="0"/>
          <w:sz w:val="20"/>
          <w:szCs w:val="20"/>
        </w:rPr>
        <w:t>可引起皮肤组胺的释放。有个案报道静脉输注后可出现皮肤组织损伤，表现为伴有疼痛的皮肤水肿及发红等，建议将本药稀释为</w:t>
      </w:r>
      <w:r w:rsidRPr="0076022D">
        <w:rPr>
          <w:rFonts w:ascii="Arial" w:eastAsia="宋体" w:hAnsi="Arial" w:cs="Arial"/>
          <w:kern w:val="0"/>
          <w:sz w:val="20"/>
          <w:szCs w:val="20"/>
        </w:rPr>
        <w:t>10%</w:t>
      </w:r>
      <w:r w:rsidRPr="0076022D">
        <w:rPr>
          <w:rFonts w:ascii="Arial" w:eastAsia="宋体" w:hAnsi="Arial" w:cs="Arial"/>
          <w:kern w:val="0"/>
          <w:sz w:val="20"/>
          <w:szCs w:val="20"/>
        </w:rPr>
        <w:t>的溶液使用。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6.</w:t>
      </w:r>
      <w:r w:rsidRPr="0076022D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6022D">
        <w:rPr>
          <w:rFonts w:ascii="Arial" w:eastAsia="宋体" w:hAnsi="Arial" w:cs="Arial"/>
          <w:kern w:val="0"/>
          <w:sz w:val="20"/>
          <w:szCs w:val="20"/>
        </w:rPr>
        <w:t>少数患者可出现过敏反应。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7.</w:t>
      </w:r>
      <w:r w:rsidRPr="0076022D">
        <w:rPr>
          <w:rFonts w:ascii="Arial" w:eastAsia="宋体" w:hAnsi="Arial" w:cs="Arial"/>
          <w:kern w:val="0"/>
          <w:sz w:val="20"/>
          <w:szCs w:val="20"/>
        </w:rPr>
        <w:t>其他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76022D">
        <w:rPr>
          <w:rFonts w:ascii="Arial" w:eastAsia="宋体" w:hAnsi="Arial" w:cs="Arial"/>
          <w:kern w:val="0"/>
          <w:sz w:val="20"/>
          <w:szCs w:val="20"/>
        </w:rPr>
        <w:t>静脉滴注可引起肢体麻木、头痛、恶心、呕吐、局部静脉炎。</w:t>
      </w:r>
      <w:r w:rsidRPr="0076022D">
        <w:rPr>
          <w:rFonts w:ascii="Arial" w:eastAsia="宋体" w:hAnsi="Arial" w:cs="Arial"/>
          <w:kern w:val="0"/>
          <w:sz w:val="20"/>
          <w:szCs w:val="20"/>
        </w:rPr>
        <w:t>(2)</w:t>
      </w:r>
      <w:r w:rsidRPr="0076022D">
        <w:rPr>
          <w:rFonts w:ascii="Arial" w:eastAsia="宋体" w:hAnsi="Arial" w:cs="Arial"/>
          <w:kern w:val="0"/>
          <w:sz w:val="20"/>
          <w:szCs w:val="20"/>
        </w:rPr>
        <w:t>静脉给予大剂量本药可使外周血管扩张而引起低血压。</w:t>
      </w:r>
      <w:r w:rsidRPr="0076022D">
        <w:rPr>
          <w:rFonts w:ascii="Arial" w:eastAsia="宋体" w:hAnsi="Arial" w:cs="Arial"/>
          <w:kern w:val="0"/>
          <w:sz w:val="20"/>
          <w:szCs w:val="20"/>
        </w:rPr>
        <w:t>(3)</w:t>
      </w:r>
      <w:r w:rsidRPr="0076022D">
        <w:rPr>
          <w:rFonts w:ascii="Arial" w:eastAsia="宋体" w:hAnsi="Arial" w:cs="Arial"/>
          <w:kern w:val="0"/>
          <w:sz w:val="20"/>
          <w:szCs w:val="20"/>
        </w:rPr>
        <w:t>静脉滴注过快可引起流涎、面部潮红及呕吐等。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1.</w:t>
      </w:r>
      <w:r w:rsidRPr="0076022D">
        <w:rPr>
          <w:rFonts w:ascii="Arial" w:eastAsia="宋体" w:hAnsi="Arial" w:cs="Arial"/>
          <w:kern w:val="0"/>
          <w:sz w:val="20"/>
          <w:szCs w:val="20"/>
        </w:rPr>
        <w:t>谷氨酸钠、谷氨酸钾：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结果：合用可增加疗效。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2.</w:t>
      </w:r>
      <w:proofErr w:type="gramStart"/>
      <w:r w:rsidRPr="0076022D">
        <w:rPr>
          <w:rFonts w:ascii="Arial" w:eastAsia="宋体" w:hAnsi="Arial" w:cs="Arial"/>
          <w:kern w:val="0"/>
          <w:sz w:val="20"/>
          <w:szCs w:val="20"/>
        </w:rPr>
        <w:t>螺</w:t>
      </w:r>
      <w:proofErr w:type="gramEnd"/>
      <w:r w:rsidRPr="0076022D">
        <w:rPr>
          <w:rFonts w:ascii="Arial" w:eastAsia="宋体" w:hAnsi="Arial" w:cs="Arial"/>
          <w:kern w:val="0"/>
          <w:sz w:val="20"/>
          <w:szCs w:val="20"/>
        </w:rPr>
        <w:t>内酯或其他保钾利尿药</w:t>
      </w:r>
      <w:r w:rsidRPr="0076022D">
        <w:rPr>
          <w:rFonts w:ascii="Arial" w:eastAsia="宋体" w:hAnsi="Arial" w:cs="Arial"/>
          <w:kern w:val="0"/>
          <w:sz w:val="20"/>
          <w:szCs w:val="20"/>
        </w:rPr>
        <w:t>(</w:t>
      </w:r>
      <w:r w:rsidRPr="0076022D">
        <w:rPr>
          <w:rFonts w:ascii="Arial" w:eastAsia="宋体" w:hAnsi="Arial" w:cs="Arial"/>
          <w:kern w:val="0"/>
          <w:sz w:val="20"/>
          <w:szCs w:val="20"/>
        </w:rPr>
        <w:t>如氨苯蝶</w:t>
      </w:r>
      <w:proofErr w:type="gramStart"/>
      <w:r w:rsidRPr="0076022D">
        <w:rPr>
          <w:rFonts w:ascii="Arial" w:eastAsia="宋体" w:hAnsi="Arial" w:cs="Arial"/>
          <w:kern w:val="0"/>
          <w:sz w:val="20"/>
          <w:szCs w:val="20"/>
        </w:rPr>
        <w:t>啶</w:t>
      </w:r>
      <w:proofErr w:type="gramEnd"/>
      <w:r w:rsidRPr="0076022D">
        <w:rPr>
          <w:rFonts w:ascii="Arial" w:eastAsia="宋体" w:hAnsi="Arial" w:cs="Arial"/>
          <w:kern w:val="0"/>
          <w:sz w:val="20"/>
          <w:szCs w:val="20"/>
        </w:rPr>
        <w:t>)</w:t>
      </w:r>
      <w:r w:rsidRPr="0076022D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结果：合用可引起高钾血症。有报道个别合并严重肝脏疾病的代谢性碱中毒患者，在应用</w:t>
      </w:r>
      <w:proofErr w:type="gramStart"/>
      <w:r w:rsidRPr="0076022D">
        <w:rPr>
          <w:rFonts w:ascii="Arial" w:eastAsia="宋体" w:hAnsi="Arial" w:cs="Arial"/>
          <w:kern w:val="0"/>
          <w:sz w:val="20"/>
          <w:szCs w:val="20"/>
        </w:rPr>
        <w:t>螺</w:t>
      </w:r>
      <w:proofErr w:type="gramEnd"/>
      <w:r w:rsidRPr="0076022D">
        <w:rPr>
          <w:rFonts w:ascii="Arial" w:eastAsia="宋体" w:hAnsi="Arial" w:cs="Arial"/>
          <w:kern w:val="0"/>
          <w:sz w:val="20"/>
          <w:szCs w:val="20"/>
        </w:rPr>
        <w:t>内酯后应用本</w:t>
      </w:r>
      <w:proofErr w:type="gramStart"/>
      <w:r w:rsidRPr="0076022D">
        <w:rPr>
          <w:rFonts w:ascii="Arial" w:eastAsia="宋体" w:hAnsi="Arial" w:cs="Arial"/>
          <w:kern w:val="0"/>
          <w:sz w:val="20"/>
          <w:szCs w:val="20"/>
        </w:rPr>
        <w:t>药出现</w:t>
      </w:r>
      <w:proofErr w:type="gramEnd"/>
      <w:r w:rsidRPr="0076022D">
        <w:rPr>
          <w:rFonts w:ascii="Arial" w:eastAsia="宋体" w:hAnsi="Arial" w:cs="Arial"/>
          <w:kern w:val="0"/>
          <w:sz w:val="20"/>
          <w:szCs w:val="20"/>
        </w:rPr>
        <w:t>了严重并可能致命的高钾血症。这一相互作用也可能见于其他保钾利尿药。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机制：本药可使细胞内</w:t>
      </w:r>
      <w:proofErr w:type="gramStart"/>
      <w:r w:rsidRPr="0076022D">
        <w:rPr>
          <w:rFonts w:ascii="Arial" w:eastAsia="宋体" w:hAnsi="Arial" w:cs="Arial"/>
          <w:kern w:val="0"/>
          <w:sz w:val="20"/>
          <w:szCs w:val="20"/>
        </w:rPr>
        <w:t>钾转移</w:t>
      </w:r>
      <w:proofErr w:type="gramEnd"/>
      <w:r w:rsidRPr="0076022D">
        <w:rPr>
          <w:rFonts w:ascii="Arial" w:eastAsia="宋体" w:hAnsi="Arial" w:cs="Arial"/>
          <w:kern w:val="0"/>
          <w:sz w:val="20"/>
          <w:szCs w:val="20"/>
        </w:rPr>
        <w:t>至细胞外，而螺内酯可减少肾脏的钾排泄。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3.</w:t>
      </w:r>
      <w:r w:rsidRPr="0076022D">
        <w:rPr>
          <w:rFonts w:ascii="Arial" w:eastAsia="宋体" w:hAnsi="Arial" w:cs="Arial"/>
          <w:kern w:val="0"/>
          <w:sz w:val="20"/>
          <w:szCs w:val="20"/>
        </w:rPr>
        <w:t>雌激素：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结果：使用雌激素补充治疗或口服含雌激素避孕药的患者，应用本药进行垂体功能测定时，可出现生长激素水平假性升高，从而干扰对垂体功能的判断。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lastRenderedPageBreak/>
        <w:t>机制：雌激素可诱导生长激素升高。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1.</w:t>
      </w:r>
      <w:r w:rsidRPr="0076022D">
        <w:rPr>
          <w:rFonts w:ascii="Arial" w:eastAsia="宋体" w:hAnsi="Arial" w:cs="Arial"/>
          <w:kern w:val="0"/>
          <w:sz w:val="20"/>
          <w:szCs w:val="20"/>
        </w:rPr>
        <w:t>本药禁止与强心苷类药物合用。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2.</w:t>
      </w:r>
      <w:r w:rsidRPr="0076022D">
        <w:rPr>
          <w:rFonts w:ascii="Arial" w:eastAsia="宋体" w:hAnsi="Arial" w:cs="Arial"/>
          <w:kern w:val="0"/>
          <w:sz w:val="20"/>
          <w:szCs w:val="20"/>
        </w:rPr>
        <w:t>用于抢救肝性脑病伴缺钙的患者，可与谷氨酸合用。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3.</w:t>
      </w:r>
      <w:r w:rsidRPr="0076022D">
        <w:rPr>
          <w:rFonts w:ascii="Arial" w:eastAsia="宋体" w:hAnsi="Arial" w:cs="Arial"/>
          <w:kern w:val="0"/>
          <w:sz w:val="20"/>
          <w:szCs w:val="20"/>
        </w:rPr>
        <w:t>生长激素刺激试验的方法：实验应安排在清晨，实验前一日晚上应整晚禁食并有正常的睡眠。在整个实验期间应保持禁食和卧床休息状态。在开始输注精氨酸前至少</w:t>
      </w:r>
      <w:r w:rsidRPr="0076022D">
        <w:rPr>
          <w:rFonts w:ascii="Arial" w:eastAsia="宋体" w:hAnsi="Arial" w:cs="Arial"/>
          <w:kern w:val="0"/>
          <w:sz w:val="20"/>
          <w:szCs w:val="20"/>
        </w:rPr>
        <w:t>30</w:t>
      </w:r>
      <w:r w:rsidRPr="0076022D">
        <w:rPr>
          <w:rFonts w:ascii="Arial" w:eastAsia="宋体" w:hAnsi="Arial" w:cs="Arial"/>
          <w:kern w:val="0"/>
          <w:sz w:val="20"/>
          <w:szCs w:val="20"/>
        </w:rPr>
        <w:t>分钟，应让患者尽量消除忧虑和紧张，特别是儿童。血液标本应在手臂内侧通过静脉穿刺获得，并分别于静脉输注精氨酸前</w:t>
      </w:r>
      <w:r w:rsidRPr="0076022D">
        <w:rPr>
          <w:rFonts w:ascii="Arial" w:eastAsia="宋体" w:hAnsi="Arial" w:cs="Arial"/>
          <w:kern w:val="0"/>
          <w:sz w:val="20"/>
          <w:szCs w:val="20"/>
        </w:rPr>
        <w:t>30</w:t>
      </w:r>
      <w:r w:rsidRPr="0076022D">
        <w:rPr>
          <w:rFonts w:ascii="Arial" w:eastAsia="宋体" w:hAnsi="Arial" w:cs="Arial"/>
          <w:kern w:val="0"/>
          <w:sz w:val="20"/>
          <w:szCs w:val="20"/>
        </w:rPr>
        <w:t>分钟、开始输注精氨酸时以及输注精氨酸后每隔</w:t>
      </w:r>
      <w:r w:rsidRPr="0076022D">
        <w:rPr>
          <w:rFonts w:ascii="Arial" w:eastAsia="宋体" w:hAnsi="Arial" w:cs="Arial"/>
          <w:kern w:val="0"/>
          <w:sz w:val="20"/>
          <w:szCs w:val="20"/>
        </w:rPr>
        <w:t>30</w:t>
      </w:r>
      <w:r w:rsidRPr="0076022D">
        <w:rPr>
          <w:rFonts w:ascii="Arial" w:eastAsia="宋体" w:hAnsi="Arial" w:cs="Arial"/>
          <w:kern w:val="0"/>
          <w:sz w:val="20"/>
          <w:szCs w:val="20"/>
        </w:rPr>
        <w:t>分钟，共</w:t>
      </w:r>
      <w:r w:rsidRPr="0076022D">
        <w:rPr>
          <w:rFonts w:ascii="Arial" w:eastAsia="宋体" w:hAnsi="Arial" w:cs="Arial"/>
          <w:kern w:val="0"/>
          <w:sz w:val="20"/>
          <w:szCs w:val="20"/>
        </w:rPr>
        <w:t>150</w:t>
      </w:r>
      <w:r w:rsidRPr="0076022D">
        <w:rPr>
          <w:rFonts w:ascii="Arial" w:eastAsia="宋体" w:hAnsi="Arial" w:cs="Arial"/>
          <w:kern w:val="0"/>
          <w:sz w:val="20"/>
          <w:szCs w:val="20"/>
        </w:rPr>
        <w:t>分钟内采集。采集的血液标本应经离心分离后储存于</w:t>
      </w:r>
      <w:r w:rsidRPr="0076022D">
        <w:rPr>
          <w:rFonts w:ascii="Arial" w:eastAsia="宋体" w:hAnsi="Arial" w:cs="Arial"/>
          <w:kern w:val="0"/>
          <w:sz w:val="20"/>
          <w:szCs w:val="20"/>
        </w:rPr>
        <w:t>-20</w:t>
      </w:r>
      <w:r w:rsidRPr="0076022D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76022D">
        <w:rPr>
          <w:rFonts w:ascii="Arial" w:eastAsia="宋体" w:hAnsi="Arial" w:cs="Arial"/>
          <w:kern w:val="0"/>
          <w:sz w:val="20"/>
          <w:szCs w:val="20"/>
        </w:rPr>
        <w:t>的环境中。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若发生过敏反应，可给予抗组胺药和肾上腺素。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用药期间应进行血气分析，并监测酸碱平衡和电解质</w:t>
      </w:r>
      <w:r w:rsidRPr="0076022D">
        <w:rPr>
          <w:rFonts w:ascii="Arial" w:eastAsia="宋体" w:hAnsi="Arial" w:cs="Arial"/>
          <w:kern w:val="0"/>
          <w:sz w:val="20"/>
          <w:szCs w:val="20"/>
        </w:rPr>
        <w:t>(</w:t>
      </w:r>
      <w:r w:rsidRPr="0076022D">
        <w:rPr>
          <w:rFonts w:ascii="Arial" w:eastAsia="宋体" w:hAnsi="Arial" w:cs="Arial"/>
          <w:kern w:val="0"/>
          <w:sz w:val="20"/>
          <w:szCs w:val="20"/>
        </w:rPr>
        <w:t>肾功能减退或合用保钾利尿药时应监测血清钾</w:t>
      </w:r>
      <w:r w:rsidRPr="0076022D">
        <w:rPr>
          <w:rFonts w:ascii="Arial" w:eastAsia="宋体" w:hAnsi="Arial" w:cs="Arial"/>
          <w:kern w:val="0"/>
          <w:sz w:val="20"/>
          <w:szCs w:val="20"/>
        </w:rPr>
        <w:t>)</w:t>
      </w:r>
      <w:r w:rsidRPr="0076022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若本药溶液未置于真空容器中或者已变混浊，则不应使用。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实验室检查：应监测酸碱平衡</w:t>
      </w:r>
      <w:r w:rsidRPr="0076022D">
        <w:rPr>
          <w:rFonts w:ascii="Arial" w:eastAsia="宋体" w:hAnsi="Arial" w:cs="Arial"/>
          <w:kern w:val="0"/>
          <w:sz w:val="20"/>
          <w:szCs w:val="20"/>
        </w:rPr>
        <w:t>(</w:t>
      </w:r>
      <w:r w:rsidRPr="0076022D">
        <w:rPr>
          <w:rFonts w:ascii="Arial" w:eastAsia="宋体" w:hAnsi="Arial" w:cs="Arial"/>
          <w:kern w:val="0"/>
          <w:sz w:val="20"/>
          <w:szCs w:val="20"/>
        </w:rPr>
        <w:t>动脉或毛细血管的血气分析</w:t>
      </w:r>
      <w:r w:rsidRPr="0076022D">
        <w:rPr>
          <w:rFonts w:ascii="Arial" w:eastAsia="宋体" w:hAnsi="Arial" w:cs="Arial"/>
          <w:kern w:val="0"/>
          <w:sz w:val="20"/>
          <w:szCs w:val="20"/>
        </w:rPr>
        <w:t>)</w:t>
      </w:r>
      <w:r w:rsidRPr="0076022D">
        <w:rPr>
          <w:rFonts w:ascii="Arial" w:eastAsia="宋体" w:hAnsi="Arial" w:cs="Arial"/>
          <w:kern w:val="0"/>
          <w:sz w:val="20"/>
          <w:szCs w:val="20"/>
        </w:rPr>
        <w:t>、血清电解质</w:t>
      </w:r>
      <w:r w:rsidRPr="0076022D">
        <w:rPr>
          <w:rFonts w:ascii="Arial" w:eastAsia="宋体" w:hAnsi="Arial" w:cs="Arial"/>
          <w:kern w:val="0"/>
          <w:sz w:val="20"/>
          <w:szCs w:val="20"/>
        </w:rPr>
        <w:t>(</w:t>
      </w:r>
      <w:r w:rsidRPr="0076022D">
        <w:rPr>
          <w:rFonts w:ascii="Arial" w:eastAsia="宋体" w:hAnsi="Arial" w:cs="Arial"/>
          <w:kern w:val="0"/>
          <w:sz w:val="20"/>
          <w:szCs w:val="20"/>
        </w:rPr>
        <w:t>钠、钾、氯、碳酸氢盐、磷</w:t>
      </w:r>
      <w:r w:rsidRPr="0076022D">
        <w:rPr>
          <w:rFonts w:ascii="Arial" w:eastAsia="宋体" w:hAnsi="Arial" w:cs="Arial"/>
          <w:kern w:val="0"/>
          <w:sz w:val="20"/>
          <w:szCs w:val="20"/>
        </w:rPr>
        <w:t>)</w:t>
      </w:r>
      <w:r w:rsidRPr="0076022D">
        <w:rPr>
          <w:rFonts w:ascii="Arial" w:eastAsia="宋体" w:hAnsi="Arial" w:cs="Arial"/>
          <w:kern w:val="0"/>
          <w:sz w:val="20"/>
          <w:szCs w:val="20"/>
        </w:rPr>
        <w:t>、尿素氮、血糖。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心血管注意事项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L-</w:t>
      </w:r>
      <w:r w:rsidRPr="0076022D">
        <w:rPr>
          <w:rFonts w:ascii="Arial" w:eastAsia="宋体" w:hAnsi="Arial" w:cs="Arial"/>
          <w:kern w:val="0"/>
          <w:sz w:val="20"/>
          <w:szCs w:val="20"/>
        </w:rPr>
        <w:t>精氨酸作为一氧化氮合成的底物，具有扩张血管的作用。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lastRenderedPageBreak/>
        <w:t>静脉大剂量给予本药可引起低血压。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一旦发生药物过量，应立即停药，并给予支持和对症治疗。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本药为氨基酸类药物，也是婴幼儿生长必需的氨基酸，常用其盐酸盐。本药可参与体内鸟氨酸循环，促进尿素生成而降低血氨，对外科烧伤、肝功能不全所致的高氨血症及肝性脑病患者有效。同时，精氨酸是精子蛋白的主要成分，口服本药能增加精子的数量和活动力，因而用于男性不育症。此外，静脉注射精氨酸能刺激脑垂体释放生长激素，临床可用于辅助测定脑垂体功能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本药口服经肠道吸收较好，绝对生物利用度约为</w:t>
      </w:r>
      <w:r w:rsidRPr="0076022D">
        <w:rPr>
          <w:rFonts w:ascii="Arial" w:eastAsia="宋体" w:hAnsi="Arial" w:cs="Arial"/>
          <w:kern w:val="0"/>
          <w:sz w:val="20"/>
          <w:szCs w:val="20"/>
        </w:rPr>
        <w:t>70%</w:t>
      </w:r>
      <w:r w:rsidRPr="0076022D">
        <w:rPr>
          <w:rFonts w:ascii="Arial" w:eastAsia="宋体" w:hAnsi="Arial" w:cs="Arial"/>
          <w:kern w:val="0"/>
          <w:sz w:val="20"/>
          <w:szCs w:val="20"/>
        </w:rPr>
        <w:t>。静脉给药后</w:t>
      </w:r>
      <w:r w:rsidRPr="0076022D">
        <w:rPr>
          <w:rFonts w:ascii="Arial" w:eastAsia="宋体" w:hAnsi="Arial" w:cs="Arial"/>
          <w:kern w:val="0"/>
          <w:sz w:val="20"/>
          <w:szCs w:val="20"/>
        </w:rPr>
        <w:t>22-30</w:t>
      </w:r>
      <w:r w:rsidRPr="0076022D">
        <w:rPr>
          <w:rFonts w:ascii="Arial" w:eastAsia="宋体" w:hAnsi="Arial" w:cs="Arial"/>
          <w:kern w:val="0"/>
          <w:sz w:val="20"/>
          <w:szCs w:val="20"/>
        </w:rPr>
        <w:t>分钟、口服给药后</w:t>
      </w:r>
      <w:r w:rsidRPr="0076022D">
        <w:rPr>
          <w:rFonts w:ascii="Arial" w:eastAsia="宋体" w:hAnsi="Arial" w:cs="Arial"/>
          <w:kern w:val="0"/>
          <w:sz w:val="20"/>
          <w:szCs w:val="20"/>
        </w:rPr>
        <w:t>90</w:t>
      </w:r>
      <w:r w:rsidRPr="0076022D">
        <w:rPr>
          <w:rFonts w:ascii="Arial" w:eastAsia="宋体" w:hAnsi="Arial" w:cs="Arial"/>
          <w:kern w:val="0"/>
          <w:sz w:val="20"/>
          <w:szCs w:val="20"/>
        </w:rPr>
        <w:t>分钟</w:t>
      </w:r>
      <w:proofErr w:type="gramStart"/>
      <w:r w:rsidRPr="0076022D">
        <w:rPr>
          <w:rFonts w:ascii="Arial" w:eastAsia="宋体" w:hAnsi="Arial" w:cs="Arial"/>
          <w:kern w:val="0"/>
          <w:sz w:val="20"/>
          <w:szCs w:val="20"/>
        </w:rPr>
        <w:t>达血药</w:t>
      </w:r>
      <w:proofErr w:type="gramEnd"/>
      <w:r w:rsidRPr="0076022D">
        <w:rPr>
          <w:rFonts w:ascii="Arial" w:eastAsia="宋体" w:hAnsi="Arial" w:cs="Arial"/>
          <w:kern w:val="0"/>
          <w:sz w:val="20"/>
          <w:szCs w:val="20"/>
        </w:rPr>
        <w:t>峰浓度，单次静脉给药作用可持续约</w:t>
      </w:r>
      <w:r w:rsidRPr="0076022D">
        <w:rPr>
          <w:rFonts w:ascii="Arial" w:eastAsia="宋体" w:hAnsi="Arial" w:cs="Arial"/>
          <w:kern w:val="0"/>
          <w:sz w:val="20"/>
          <w:szCs w:val="20"/>
        </w:rPr>
        <w:t>1</w:t>
      </w:r>
      <w:r w:rsidRPr="0076022D">
        <w:rPr>
          <w:rFonts w:ascii="Arial" w:eastAsia="宋体" w:hAnsi="Arial" w:cs="Arial"/>
          <w:kern w:val="0"/>
          <w:sz w:val="20"/>
          <w:szCs w:val="20"/>
        </w:rPr>
        <w:t>小时。本药在肝脏代谢，经肾小球滤过后几乎被肾小管完全重吸收，其消除半衰期为</w:t>
      </w:r>
      <w:r w:rsidRPr="0076022D">
        <w:rPr>
          <w:rFonts w:ascii="Arial" w:eastAsia="宋体" w:hAnsi="Arial" w:cs="Arial"/>
          <w:kern w:val="0"/>
          <w:sz w:val="20"/>
          <w:szCs w:val="20"/>
        </w:rPr>
        <w:t>1.2-2</w:t>
      </w:r>
      <w:r w:rsidRPr="0076022D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盐酸精氨酸片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 250mg</w:t>
      </w:r>
      <w:r w:rsidRPr="0076022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盐酸精氨酸注射液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 20ml:5g</w:t>
      </w:r>
      <w:r w:rsidRPr="0076022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盐酸精氨酸葡萄糖注射液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 (1)250ml(</w:t>
      </w:r>
      <w:r w:rsidRPr="0076022D">
        <w:rPr>
          <w:rFonts w:ascii="Arial" w:eastAsia="宋体" w:hAnsi="Arial" w:cs="Arial"/>
          <w:kern w:val="0"/>
          <w:sz w:val="20"/>
          <w:szCs w:val="20"/>
        </w:rPr>
        <w:t>盐酸精氨酸</w:t>
      </w:r>
      <w:r w:rsidRPr="0076022D">
        <w:rPr>
          <w:rFonts w:ascii="Arial" w:eastAsia="宋体" w:hAnsi="Arial" w:cs="Arial"/>
          <w:kern w:val="0"/>
          <w:sz w:val="20"/>
          <w:szCs w:val="20"/>
        </w:rPr>
        <w:t>10g</w:t>
      </w:r>
      <w:r w:rsidRPr="0076022D">
        <w:rPr>
          <w:rFonts w:ascii="Arial" w:eastAsia="宋体" w:hAnsi="Arial" w:cs="Arial"/>
          <w:kern w:val="0"/>
          <w:sz w:val="20"/>
          <w:szCs w:val="20"/>
        </w:rPr>
        <w:t>、葡萄糖</w:t>
      </w:r>
      <w:r w:rsidRPr="0076022D">
        <w:rPr>
          <w:rFonts w:ascii="Arial" w:eastAsia="宋体" w:hAnsi="Arial" w:cs="Arial"/>
          <w:kern w:val="0"/>
          <w:sz w:val="20"/>
          <w:szCs w:val="20"/>
        </w:rPr>
        <w:t>12.5g)</w:t>
      </w:r>
      <w:r w:rsidRPr="0076022D">
        <w:rPr>
          <w:rFonts w:ascii="Arial" w:eastAsia="宋体" w:hAnsi="Arial" w:cs="Arial"/>
          <w:kern w:val="0"/>
          <w:sz w:val="20"/>
          <w:szCs w:val="20"/>
        </w:rPr>
        <w:t>。</w:t>
      </w:r>
      <w:r w:rsidRPr="0076022D">
        <w:rPr>
          <w:rFonts w:ascii="Arial" w:eastAsia="宋体" w:hAnsi="Arial" w:cs="Arial"/>
          <w:kern w:val="0"/>
          <w:sz w:val="20"/>
          <w:szCs w:val="20"/>
        </w:rPr>
        <w:t>(2)500ml(</w:t>
      </w:r>
      <w:r w:rsidRPr="0076022D">
        <w:rPr>
          <w:rFonts w:ascii="Arial" w:eastAsia="宋体" w:hAnsi="Arial" w:cs="Arial"/>
          <w:kern w:val="0"/>
          <w:sz w:val="20"/>
          <w:szCs w:val="20"/>
        </w:rPr>
        <w:t>盐酸精氨酸</w:t>
      </w:r>
      <w:r w:rsidRPr="0076022D">
        <w:rPr>
          <w:rFonts w:ascii="Arial" w:eastAsia="宋体" w:hAnsi="Arial" w:cs="Arial"/>
          <w:kern w:val="0"/>
          <w:sz w:val="20"/>
          <w:szCs w:val="20"/>
        </w:rPr>
        <w:t>10g</w:t>
      </w:r>
      <w:r w:rsidRPr="0076022D">
        <w:rPr>
          <w:rFonts w:ascii="Arial" w:eastAsia="宋体" w:hAnsi="Arial" w:cs="Arial"/>
          <w:kern w:val="0"/>
          <w:sz w:val="20"/>
          <w:szCs w:val="20"/>
        </w:rPr>
        <w:t>、葡萄糖</w:t>
      </w:r>
      <w:r w:rsidRPr="0076022D">
        <w:rPr>
          <w:rFonts w:ascii="Arial" w:eastAsia="宋体" w:hAnsi="Arial" w:cs="Arial"/>
          <w:kern w:val="0"/>
          <w:sz w:val="20"/>
          <w:szCs w:val="20"/>
        </w:rPr>
        <w:t>25g)</w:t>
      </w:r>
      <w:r w:rsidRPr="0076022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注射用盐酸精氨酸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 (1)5g</w:t>
      </w:r>
      <w:r w:rsidRPr="0076022D">
        <w:rPr>
          <w:rFonts w:ascii="Arial" w:eastAsia="宋体" w:hAnsi="Arial" w:cs="Arial"/>
          <w:kern w:val="0"/>
          <w:sz w:val="20"/>
          <w:szCs w:val="20"/>
        </w:rPr>
        <w:t>。</w:t>
      </w:r>
      <w:r w:rsidRPr="0076022D">
        <w:rPr>
          <w:rFonts w:ascii="Arial" w:eastAsia="宋体" w:hAnsi="Arial" w:cs="Arial"/>
          <w:kern w:val="0"/>
          <w:sz w:val="20"/>
          <w:szCs w:val="20"/>
        </w:rPr>
        <w:t>(2)10g</w:t>
      </w:r>
      <w:r w:rsidRPr="0076022D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片剂：干燥处密封保存。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注射液：密封保存。</w:t>
      </w:r>
    </w:p>
    <w:p w:rsidR="0076022D" w:rsidRPr="0076022D" w:rsidRDefault="0076022D" w:rsidP="0076022D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粉针剂：密封保存。</w:t>
      </w:r>
    </w:p>
    <w:p w:rsidR="0076022D" w:rsidRPr="0076022D" w:rsidRDefault="0076022D" w:rsidP="0076022D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76022D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76022D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76022D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76022D">
        <w:rPr>
          <w:rFonts w:ascii="Arial" w:eastAsia="宋体" w:hAnsi="Arial" w:cs="Arial"/>
          <w:kern w:val="0"/>
          <w:sz w:val="20"/>
          <w:szCs w:val="20"/>
        </w:rPr>
        <w:t>。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76022D" w:rsidRPr="0076022D" w:rsidRDefault="0076022D" w:rsidP="0076022D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6022D">
        <w:rPr>
          <w:rFonts w:ascii="Arial" w:eastAsia="宋体" w:hAnsi="Arial" w:cs="Arial"/>
          <w:kern w:val="0"/>
          <w:sz w:val="20"/>
          <w:szCs w:val="20"/>
        </w:rPr>
        <w:t>专题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92532 </w:t>
      </w:r>
      <w:r w:rsidRPr="0076022D">
        <w:rPr>
          <w:rFonts w:ascii="Arial" w:eastAsia="宋体" w:hAnsi="Arial" w:cs="Arial"/>
          <w:kern w:val="0"/>
          <w:sz w:val="20"/>
          <w:szCs w:val="20"/>
        </w:rPr>
        <w:t>版本</w:t>
      </w:r>
      <w:r w:rsidRPr="0076022D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>
      <w:bookmarkStart w:id="0" w:name="_GoBack"/>
      <w:bookmarkEnd w:id="0"/>
    </w:p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80"/>
    <w:rsid w:val="0048715B"/>
    <w:rsid w:val="0076022D"/>
    <w:rsid w:val="00792049"/>
    <w:rsid w:val="00E8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ECC18-AC9B-46F8-AC16-44D7749D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76022D"/>
    <w:rPr>
      <w:b/>
      <w:bCs/>
    </w:rPr>
  </w:style>
  <w:style w:type="character" w:customStyle="1" w:styleId="h22">
    <w:name w:val="h22"/>
    <w:basedOn w:val="a0"/>
    <w:rsid w:val="0076022D"/>
    <w:rPr>
      <w:b/>
      <w:bCs/>
    </w:rPr>
  </w:style>
  <w:style w:type="character" w:customStyle="1" w:styleId="nowrap1">
    <w:name w:val="nowrap1"/>
    <w:basedOn w:val="a0"/>
    <w:rsid w:val="00760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4632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684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9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2015-02-09T03:12:00Z</dcterms:created>
  <dcterms:modified xsi:type="dcterms:W3CDTF">2015-02-09T03:12:00Z</dcterms:modified>
</cp:coreProperties>
</file>