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943" w:rsidRPr="007F1943" w:rsidRDefault="007F1943" w:rsidP="007F1943">
      <w:pPr>
        <w:widowControl/>
        <w:jc w:val="left"/>
        <w:rPr>
          <w:rFonts w:ascii="Arial" w:eastAsia="宋体" w:hAnsi="Arial" w:cs="Arial"/>
          <w:b/>
          <w:bCs/>
          <w:kern w:val="0"/>
          <w:sz w:val="20"/>
          <w:szCs w:val="20"/>
        </w:rPr>
      </w:pPr>
      <w:bookmarkStart w:id="0" w:name="_GoBack"/>
      <w:r w:rsidRPr="007F1943">
        <w:rPr>
          <w:rFonts w:ascii="Arial" w:eastAsia="宋体" w:hAnsi="Arial" w:cs="Arial"/>
          <w:b/>
          <w:bCs/>
          <w:kern w:val="0"/>
          <w:sz w:val="20"/>
          <w:szCs w:val="20"/>
        </w:rPr>
        <w:t>左甲状腺素钠</w:t>
      </w:r>
    </w:p>
    <w:bookmarkEnd w:id="0"/>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文章版本号：</w:t>
      </w:r>
      <w:r w:rsidRPr="007F1943">
        <w:rPr>
          <w:rFonts w:ascii="Arial" w:eastAsia="宋体" w:hAnsi="Arial" w:cs="Arial"/>
          <w:kern w:val="0"/>
          <w:sz w:val="20"/>
          <w:szCs w:val="20"/>
        </w:rPr>
        <w:t>3</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最后发布时间：</w:t>
      </w:r>
      <w:r w:rsidRPr="007F1943">
        <w:rPr>
          <w:rFonts w:ascii="Arial" w:eastAsia="宋体" w:hAnsi="Arial" w:cs="Arial"/>
          <w:kern w:val="0"/>
          <w:sz w:val="20"/>
          <w:szCs w:val="20"/>
        </w:rPr>
        <w:t>2014-4-15 9:46:50</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【特别警示】</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本药不能用于治疗肥胖或用于减轻体重。对于甲状腺功能正常的患者，常用剂量并不能有效减轻体重；更高的剂量可能会引起严重甚至危及生命的临床表现，特别是同时使用抑制食欲的药物</w:t>
      </w:r>
      <w:r w:rsidRPr="007F1943">
        <w:rPr>
          <w:rFonts w:ascii="Arial" w:eastAsia="宋体" w:hAnsi="Arial" w:cs="Arial"/>
          <w:kern w:val="0"/>
          <w:sz w:val="20"/>
          <w:szCs w:val="20"/>
        </w:rPr>
        <w:t>(</w:t>
      </w:r>
      <w:r w:rsidRPr="007F1943">
        <w:rPr>
          <w:rFonts w:ascii="Arial" w:eastAsia="宋体" w:hAnsi="Arial" w:cs="Arial"/>
          <w:kern w:val="0"/>
          <w:sz w:val="20"/>
          <w:szCs w:val="20"/>
        </w:rPr>
        <w:t>如拟交感胺类药物</w:t>
      </w:r>
      <w:r w:rsidRPr="007F1943">
        <w:rPr>
          <w:rFonts w:ascii="Arial" w:eastAsia="宋体" w:hAnsi="Arial" w:cs="Arial"/>
          <w:kern w:val="0"/>
          <w:sz w:val="20"/>
          <w:szCs w:val="20"/>
        </w:rPr>
        <w:t>)</w:t>
      </w:r>
      <w:r w:rsidRPr="007F1943">
        <w:rPr>
          <w:rFonts w:ascii="Arial" w:eastAsia="宋体" w:hAnsi="Arial" w:cs="Arial"/>
          <w:kern w:val="0"/>
          <w:sz w:val="20"/>
          <w:szCs w:val="20"/>
        </w:rPr>
        <w:t>的患者。</w:t>
      </w:r>
      <w:r w:rsidRPr="007F1943">
        <w:rPr>
          <w:rFonts w:ascii="Arial" w:eastAsia="宋体" w:hAnsi="Arial" w:cs="Arial"/>
          <w:kern w:val="0"/>
          <w:sz w:val="20"/>
          <w:szCs w:val="20"/>
        </w:rPr>
        <w:t>(FDA</w:t>
      </w:r>
      <w:r w:rsidRPr="007F1943">
        <w:rPr>
          <w:rFonts w:ascii="Arial" w:eastAsia="宋体" w:hAnsi="Arial" w:cs="Arial"/>
          <w:kern w:val="0"/>
          <w:sz w:val="20"/>
          <w:szCs w:val="20"/>
        </w:rPr>
        <w:t>药品说明书</w:t>
      </w:r>
      <w:r w:rsidRPr="007F1943">
        <w:rPr>
          <w:rFonts w:ascii="Arial" w:eastAsia="宋体" w:hAnsi="Arial" w:cs="Arial"/>
          <w:kern w:val="0"/>
          <w:sz w:val="20"/>
          <w:szCs w:val="20"/>
        </w:rPr>
        <w:t>-</w:t>
      </w:r>
      <w:r w:rsidRPr="007F1943">
        <w:rPr>
          <w:rFonts w:ascii="Arial" w:eastAsia="宋体" w:hAnsi="Arial" w:cs="Arial"/>
          <w:kern w:val="0"/>
          <w:sz w:val="20"/>
          <w:szCs w:val="20"/>
        </w:rPr>
        <w:t>左</w:t>
      </w:r>
      <w:proofErr w:type="gramStart"/>
      <w:r w:rsidRPr="007F1943">
        <w:rPr>
          <w:rFonts w:ascii="Arial" w:eastAsia="宋体" w:hAnsi="Arial" w:cs="Arial"/>
          <w:kern w:val="0"/>
          <w:sz w:val="20"/>
          <w:szCs w:val="20"/>
        </w:rPr>
        <w:t>甲状腺素钠片</w:t>
      </w:r>
      <w:proofErr w:type="gramEnd"/>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【药物名称】</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中文通用名称：左甲状腺素钠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英文通用名称：</w:t>
      </w:r>
      <w:r w:rsidRPr="007F1943">
        <w:rPr>
          <w:rFonts w:ascii="Arial" w:eastAsia="宋体" w:hAnsi="Arial" w:cs="Arial"/>
          <w:kern w:val="0"/>
          <w:sz w:val="20"/>
          <w:szCs w:val="20"/>
        </w:rPr>
        <w:t>Levothyroxine Sodium</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其他名称：</w:t>
      </w:r>
      <w:proofErr w:type="gramStart"/>
      <w:r w:rsidRPr="007F1943">
        <w:rPr>
          <w:rFonts w:ascii="Arial" w:eastAsia="宋体" w:hAnsi="Arial" w:cs="Arial"/>
          <w:kern w:val="0"/>
          <w:sz w:val="20"/>
          <w:szCs w:val="20"/>
        </w:rPr>
        <w:t>爱初新、伏甲</w:t>
      </w:r>
      <w:proofErr w:type="gramEnd"/>
      <w:r w:rsidRPr="007F1943">
        <w:rPr>
          <w:rFonts w:ascii="Arial" w:eastAsia="宋体" w:hAnsi="Arial" w:cs="Arial"/>
          <w:kern w:val="0"/>
          <w:sz w:val="20"/>
          <w:szCs w:val="20"/>
        </w:rPr>
        <w:t>索、加衡、</w:t>
      </w:r>
      <w:proofErr w:type="gramStart"/>
      <w:r w:rsidRPr="007F1943">
        <w:rPr>
          <w:rFonts w:ascii="Arial" w:eastAsia="宋体" w:hAnsi="Arial" w:cs="Arial"/>
          <w:kern w:val="0"/>
          <w:sz w:val="20"/>
          <w:szCs w:val="20"/>
        </w:rPr>
        <w:t>雷替斯</w:t>
      </w:r>
      <w:proofErr w:type="gramEnd"/>
      <w:r w:rsidRPr="007F1943">
        <w:rPr>
          <w:rFonts w:ascii="Arial" w:eastAsia="宋体" w:hAnsi="Arial" w:cs="Arial"/>
          <w:kern w:val="0"/>
          <w:sz w:val="20"/>
          <w:szCs w:val="20"/>
        </w:rPr>
        <w:t>、特</w:t>
      </w:r>
      <w:proofErr w:type="gramStart"/>
      <w:r w:rsidRPr="007F1943">
        <w:rPr>
          <w:rFonts w:ascii="Arial" w:eastAsia="宋体" w:hAnsi="Arial" w:cs="Arial"/>
          <w:kern w:val="0"/>
          <w:sz w:val="20"/>
          <w:szCs w:val="20"/>
        </w:rPr>
        <w:t>洛</w:t>
      </w:r>
      <w:proofErr w:type="gramEnd"/>
      <w:r w:rsidRPr="007F1943">
        <w:rPr>
          <w:rFonts w:ascii="Arial" w:eastAsia="宋体" w:hAnsi="Arial" w:cs="Arial"/>
          <w:kern w:val="0"/>
          <w:sz w:val="20"/>
          <w:szCs w:val="20"/>
        </w:rPr>
        <w:t>新、</w:t>
      </w:r>
      <w:proofErr w:type="gramStart"/>
      <w:r w:rsidRPr="007F1943">
        <w:rPr>
          <w:rFonts w:ascii="Arial" w:eastAsia="宋体" w:hAnsi="Arial" w:cs="Arial"/>
          <w:kern w:val="0"/>
          <w:sz w:val="20"/>
          <w:szCs w:val="20"/>
        </w:rPr>
        <w:t>优甲乐</w:t>
      </w:r>
      <w:proofErr w:type="gramEnd"/>
      <w:r w:rsidRPr="007F1943">
        <w:rPr>
          <w:rFonts w:ascii="Arial" w:eastAsia="宋体" w:hAnsi="Arial" w:cs="Arial"/>
          <w:kern w:val="0"/>
          <w:sz w:val="20"/>
          <w:szCs w:val="20"/>
        </w:rPr>
        <w:t>、尤仙、泽宁、左旋甲状腺素钠、</w:t>
      </w:r>
      <w:proofErr w:type="spellStart"/>
      <w:r w:rsidRPr="007F1943">
        <w:rPr>
          <w:rFonts w:ascii="Arial" w:eastAsia="宋体" w:hAnsi="Arial" w:cs="Arial"/>
          <w:kern w:val="0"/>
          <w:sz w:val="20"/>
          <w:szCs w:val="20"/>
        </w:rPr>
        <w:t>Eltroxin</w:t>
      </w:r>
      <w:proofErr w:type="spellEnd"/>
      <w:r w:rsidRPr="007F1943">
        <w:rPr>
          <w:rFonts w:ascii="Arial" w:eastAsia="宋体" w:hAnsi="Arial" w:cs="Arial"/>
          <w:kern w:val="0"/>
          <w:sz w:val="20"/>
          <w:szCs w:val="20"/>
        </w:rPr>
        <w:t>、</w:t>
      </w:r>
      <w:proofErr w:type="spellStart"/>
      <w:r w:rsidRPr="007F1943">
        <w:rPr>
          <w:rFonts w:ascii="Arial" w:eastAsia="宋体" w:hAnsi="Arial" w:cs="Arial"/>
          <w:kern w:val="0"/>
          <w:sz w:val="20"/>
          <w:szCs w:val="20"/>
        </w:rPr>
        <w:t>Euthyrox</w:t>
      </w:r>
      <w:proofErr w:type="spellEnd"/>
      <w:r w:rsidRPr="007F1943">
        <w:rPr>
          <w:rFonts w:ascii="Arial" w:eastAsia="宋体" w:hAnsi="Arial" w:cs="Arial"/>
          <w:kern w:val="0"/>
          <w:sz w:val="20"/>
          <w:szCs w:val="20"/>
        </w:rPr>
        <w:t>、</w:t>
      </w:r>
      <w:proofErr w:type="spellStart"/>
      <w:r w:rsidRPr="007F1943">
        <w:rPr>
          <w:rFonts w:ascii="Arial" w:eastAsia="宋体" w:hAnsi="Arial" w:cs="Arial"/>
          <w:kern w:val="0"/>
          <w:sz w:val="20"/>
          <w:szCs w:val="20"/>
        </w:rPr>
        <w:t>Letrox</w:t>
      </w:r>
      <w:proofErr w:type="spellEnd"/>
      <w:r w:rsidRPr="007F1943">
        <w:rPr>
          <w:rFonts w:ascii="Arial" w:eastAsia="宋体" w:hAnsi="Arial" w:cs="Arial"/>
          <w:kern w:val="0"/>
          <w:sz w:val="20"/>
          <w:szCs w:val="20"/>
        </w:rPr>
        <w:t>、</w:t>
      </w:r>
      <w:proofErr w:type="spellStart"/>
      <w:r w:rsidRPr="007F1943">
        <w:rPr>
          <w:rFonts w:ascii="Arial" w:eastAsia="宋体" w:hAnsi="Arial" w:cs="Arial"/>
          <w:kern w:val="0"/>
          <w:sz w:val="20"/>
          <w:szCs w:val="20"/>
        </w:rPr>
        <w:t>Levothyroxinnatrium</w:t>
      </w:r>
      <w:proofErr w:type="spellEnd"/>
      <w:r w:rsidRPr="007F1943">
        <w:rPr>
          <w:rFonts w:ascii="Arial" w:eastAsia="宋体" w:hAnsi="Arial" w:cs="Arial"/>
          <w:kern w:val="0"/>
          <w:sz w:val="20"/>
          <w:szCs w:val="20"/>
        </w:rPr>
        <w:t>、</w:t>
      </w:r>
      <w:proofErr w:type="spellStart"/>
      <w:r w:rsidRPr="007F1943">
        <w:rPr>
          <w:rFonts w:ascii="Arial" w:eastAsia="宋体" w:hAnsi="Arial" w:cs="Arial"/>
          <w:kern w:val="0"/>
          <w:sz w:val="20"/>
          <w:szCs w:val="20"/>
        </w:rPr>
        <w:t>Levothyroxinum</w:t>
      </w:r>
      <w:proofErr w:type="spellEnd"/>
      <w:r w:rsidRPr="007F1943">
        <w:rPr>
          <w:rFonts w:ascii="Arial" w:eastAsia="宋体" w:hAnsi="Arial" w:cs="Arial"/>
          <w:kern w:val="0"/>
          <w:sz w:val="20"/>
          <w:szCs w:val="20"/>
        </w:rPr>
        <w:t xml:space="preserve"> </w:t>
      </w:r>
      <w:proofErr w:type="spellStart"/>
      <w:r w:rsidRPr="007F1943">
        <w:rPr>
          <w:rFonts w:ascii="Arial" w:eastAsia="宋体" w:hAnsi="Arial" w:cs="Arial"/>
          <w:kern w:val="0"/>
          <w:sz w:val="20"/>
          <w:szCs w:val="20"/>
        </w:rPr>
        <w:t>Natricum</w:t>
      </w:r>
      <w:proofErr w:type="spellEnd"/>
      <w:r w:rsidRPr="007F1943">
        <w:rPr>
          <w:rFonts w:ascii="Arial" w:eastAsia="宋体" w:hAnsi="Arial" w:cs="Arial"/>
          <w:kern w:val="0"/>
          <w:sz w:val="20"/>
          <w:szCs w:val="20"/>
        </w:rPr>
        <w:t>、</w:t>
      </w:r>
      <w:r w:rsidRPr="007F1943">
        <w:rPr>
          <w:rFonts w:ascii="Arial" w:eastAsia="宋体" w:hAnsi="Arial" w:cs="Arial"/>
          <w:kern w:val="0"/>
          <w:sz w:val="20"/>
          <w:szCs w:val="20"/>
        </w:rPr>
        <w:t>L-Thyroid Sodium</w:t>
      </w:r>
      <w:r w:rsidRPr="007F1943">
        <w:rPr>
          <w:rFonts w:ascii="Arial" w:eastAsia="宋体" w:hAnsi="Arial" w:cs="Arial"/>
          <w:kern w:val="0"/>
          <w:sz w:val="20"/>
          <w:szCs w:val="20"/>
        </w:rPr>
        <w:t>、</w:t>
      </w:r>
      <w:r w:rsidRPr="007F1943">
        <w:rPr>
          <w:rFonts w:ascii="Arial" w:eastAsia="宋体" w:hAnsi="Arial" w:cs="Arial"/>
          <w:kern w:val="0"/>
          <w:sz w:val="20"/>
          <w:szCs w:val="20"/>
        </w:rPr>
        <w:t>L-</w:t>
      </w:r>
      <w:proofErr w:type="spellStart"/>
      <w:r w:rsidRPr="007F1943">
        <w:rPr>
          <w:rFonts w:ascii="Arial" w:eastAsia="宋体" w:hAnsi="Arial" w:cs="Arial"/>
          <w:kern w:val="0"/>
          <w:sz w:val="20"/>
          <w:szCs w:val="20"/>
        </w:rPr>
        <w:t>Thyroxine</w:t>
      </w:r>
      <w:proofErr w:type="spellEnd"/>
      <w:r w:rsidRPr="007F1943">
        <w:rPr>
          <w:rFonts w:ascii="Arial" w:eastAsia="宋体" w:hAnsi="Arial" w:cs="Arial"/>
          <w:kern w:val="0"/>
          <w:sz w:val="20"/>
          <w:szCs w:val="20"/>
        </w:rPr>
        <w:t xml:space="preserve"> Sodium</w:t>
      </w:r>
      <w:r w:rsidRPr="007F1943">
        <w:rPr>
          <w:rFonts w:ascii="Arial" w:eastAsia="宋体" w:hAnsi="Arial" w:cs="Arial"/>
          <w:kern w:val="0"/>
          <w:sz w:val="20"/>
          <w:szCs w:val="20"/>
        </w:rPr>
        <w:t>、</w:t>
      </w:r>
      <w:proofErr w:type="spellStart"/>
      <w:r w:rsidRPr="007F1943">
        <w:rPr>
          <w:rFonts w:ascii="Arial" w:eastAsia="宋体" w:hAnsi="Arial" w:cs="Arial"/>
          <w:kern w:val="0"/>
          <w:sz w:val="20"/>
          <w:szCs w:val="20"/>
        </w:rPr>
        <w:t>Synthroid</w:t>
      </w:r>
      <w:proofErr w:type="spellEnd"/>
      <w:r w:rsidRPr="007F1943">
        <w:rPr>
          <w:rFonts w:ascii="Arial" w:eastAsia="宋体" w:hAnsi="Arial" w:cs="Arial"/>
          <w:kern w:val="0"/>
          <w:sz w:val="20"/>
          <w:szCs w:val="20"/>
        </w:rPr>
        <w:t>、</w:t>
      </w:r>
      <w:proofErr w:type="spellStart"/>
      <w:r w:rsidRPr="007F1943">
        <w:rPr>
          <w:rFonts w:ascii="Arial" w:eastAsia="宋体" w:hAnsi="Arial" w:cs="Arial"/>
          <w:kern w:val="0"/>
          <w:sz w:val="20"/>
          <w:szCs w:val="20"/>
        </w:rPr>
        <w:t>Tiroxina</w:t>
      </w:r>
      <w:proofErr w:type="spellEnd"/>
      <w:r w:rsidRPr="007F1943">
        <w:rPr>
          <w:rFonts w:ascii="Arial" w:eastAsia="宋体" w:hAnsi="Arial" w:cs="Arial"/>
          <w:kern w:val="0"/>
          <w:sz w:val="20"/>
          <w:szCs w:val="20"/>
        </w:rPr>
        <w:t xml:space="preserve"> </w:t>
      </w:r>
      <w:proofErr w:type="spellStart"/>
      <w:r w:rsidRPr="007F1943">
        <w:rPr>
          <w:rFonts w:ascii="Arial" w:eastAsia="宋体" w:hAnsi="Arial" w:cs="Arial"/>
          <w:kern w:val="0"/>
          <w:sz w:val="20"/>
          <w:szCs w:val="20"/>
        </w:rPr>
        <w:t>Sodica</w:t>
      </w:r>
      <w:proofErr w:type="spellEnd"/>
      <w:r w:rsidRPr="007F1943">
        <w:rPr>
          <w:rFonts w:ascii="Arial" w:eastAsia="宋体" w:hAnsi="Arial" w:cs="Arial"/>
          <w:kern w:val="0"/>
          <w:sz w:val="20"/>
          <w:szCs w:val="20"/>
        </w:rPr>
        <w:t>、</w:t>
      </w:r>
      <w:proofErr w:type="spellStart"/>
      <w:r w:rsidRPr="007F1943">
        <w:rPr>
          <w:rFonts w:ascii="Arial" w:eastAsia="宋体" w:hAnsi="Arial" w:cs="Arial"/>
          <w:kern w:val="0"/>
          <w:sz w:val="20"/>
          <w:szCs w:val="20"/>
        </w:rPr>
        <w:t>Unithroid</w:t>
      </w:r>
      <w:proofErr w:type="spellEnd"/>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【药理分类】</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代谢及内分泌系统用药</w:t>
      </w:r>
      <w:r w:rsidRPr="007F1943">
        <w:rPr>
          <w:rFonts w:ascii="Arial" w:eastAsia="宋体" w:hAnsi="Arial" w:cs="Arial"/>
          <w:kern w:val="0"/>
          <w:sz w:val="20"/>
          <w:szCs w:val="20"/>
        </w:rPr>
        <w:t>&gt;&gt;</w:t>
      </w:r>
      <w:r w:rsidRPr="007F1943">
        <w:rPr>
          <w:rFonts w:ascii="Arial" w:eastAsia="宋体" w:hAnsi="Arial" w:cs="Arial"/>
          <w:kern w:val="0"/>
          <w:sz w:val="20"/>
          <w:szCs w:val="20"/>
        </w:rPr>
        <w:t>甲状腺用药</w:t>
      </w:r>
      <w:r w:rsidRPr="007F1943">
        <w:rPr>
          <w:rFonts w:ascii="Arial" w:eastAsia="宋体" w:hAnsi="Arial" w:cs="Arial"/>
          <w:kern w:val="0"/>
          <w:sz w:val="20"/>
          <w:szCs w:val="20"/>
        </w:rPr>
        <w:t>&gt;&gt;</w:t>
      </w:r>
      <w:r w:rsidRPr="007F1943">
        <w:rPr>
          <w:rFonts w:ascii="Arial" w:eastAsia="宋体" w:hAnsi="Arial" w:cs="Arial"/>
          <w:kern w:val="0"/>
          <w:sz w:val="20"/>
          <w:szCs w:val="20"/>
        </w:rPr>
        <w:t>甲状腺激素类</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其它药物</w:t>
      </w:r>
      <w:r w:rsidRPr="007F1943">
        <w:rPr>
          <w:rFonts w:ascii="Arial" w:eastAsia="宋体" w:hAnsi="Arial" w:cs="Arial"/>
          <w:kern w:val="0"/>
          <w:sz w:val="20"/>
          <w:szCs w:val="20"/>
        </w:rPr>
        <w:t>&gt;&gt;</w:t>
      </w:r>
      <w:r w:rsidRPr="007F1943">
        <w:rPr>
          <w:rFonts w:ascii="Arial" w:eastAsia="宋体" w:hAnsi="Arial" w:cs="Arial"/>
          <w:kern w:val="0"/>
          <w:sz w:val="20"/>
          <w:szCs w:val="20"/>
        </w:rPr>
        <w:t>诊断用药</w:t>
      </w:r>
      <w:r w:rsidRPr="007F1943">
        <w:rPr>
          <w:rFonts w:ascii="Arial" w:eastAsia="宋体" w:hAnsi="Arial" w:cs="Arial"/>
          <w:kern w:val="0"/>
          <w:sz w:val="20"/>
          <w:szCs w:val="20"/>
        </w:rPr>
        <w:t>&gt;&gt;</w:t>
      </w:r>
      <w:r w:rsidRPr="007F1943">
        <w:rPr>
          <w:rFonts w:ascii="Arial" w:eastAsia="宋体" w:hAnsi="Arial" w:cs="Arial"/>
          <w:kern w:val="0"/>
          <w:sz w:val="20"/>
          <w:szCs w:val="20"/>
        </w:rPr>
        <w:t>器官功能检查用药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【临床应用】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CFDA</w:t>
      </w:r>
      <w:r w:rsidRPr="007F1943">
        <w:rPr>
          <w:rFonts w:ascii="Arial" w:eastAsia="宋体" w:hAnsi="Arial" w:cs="Arial"/>
          <w:b/>
          <w:bCs/>
          <w:kern w:val="0"/>
          <w:sz w:val="20"/>
          <w:szCs w:val="20"/>
        </w:rPr>
        <w:t>说明书适应症</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用于治疗非毒性的甲状腺肿</w:t>
      </w:r>
      <w:r w:rsidRPr="007F1943">
        <w:rPr>
          <w:rFonts w:ascii="Arial" w:eastAsia="宋体" w:hAnsi="Arial" w:cs="Arial"/>
          <w:kern w:val="0"/>
          <w:sz w:val="20"/>
          <w:szCs w:val="20"/>
        </w:rPr>
        <w:t>(</w:t>
      </w:r>
      <w:r w:rsidRPr="007F1943">
        <w:rPr>
          <w:rFonts w:ascii="Arial" w:eastAsia="宋体" w:hAnsi="Arial" w:cs="Arial"/>
          <w:kern w:val="0"/>
          <w:sz w:val="20"/>
          <w:szCs w:val="20"/>
        </w:rPr>
        <w:t>甲状腺功能正常</w:t>
      </w:r>
      <w:r w:rsidRPr="007F1943">
        <w:rPr>
          <w:rFonts w:ascii="Arial" w:eastAsia="宋体" w:hAnsi="Arial" w:cs="Arial"/>
          <w:kern w:val="0"/>
          <w:sz w:val="20"/>
          <w:szCs w:val="20"/>
        </w:rPr>
        <w:t>)</w:t>
      </w:r>
      <w:r w:rsidRPr="007F1943">
        <w:rPr>
          <w:rFonts w:ascii="Arial" w:eastAsia="宋体" w:hAnsi="Arial" w:cs="Arial"/>
          <w:kern w:val="0"/>
          <w:sz w:val="20"/>
          <w:szCs w:val="20"/>
        </w:rPr>
        <w:t>、甲状腺肿切除术后预防甲状腺肿复发。</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用于甲状腺功能减退的替代治疗。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用于甲状腺功能亢进症的辅助治疗。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4.</w:t>
      </w:r>
      <w:r w:rsidRPr="007F1943">
        <w:rPr>
          <w:rFonts w:ascii="Arial" w:eastAsia="宋体" w:hAnsi="Arial" w:cs="Arial"/>
          <w:kern w:val="0"/>
          <w:sz w:val="20"/>
          <w:szCs w:val="20"/>
        </w:rPr>
        <w:t>用于甲状腺癌术后的抑制治疗。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5.</w:t>
      </w:r>
      <w:r w:rsidRPr="007F1943">
        <w:rPr>
          <w:rFonts w:ascii="Arial" w:eastAsia="宋体" w:hAnsi="Arial" w:cs="Arial"/>
          <w:kern w:val="0"/>
          <w:sz w:val="20"/>
          <w:szCs w:val="20"/>
        </w:rPr>
        <w:t>用于甲状腺抑制试验的诊断。</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其他临床应用参考</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用于血流动力学不稳定的潜在器官捐献者，以稳定其血流动力学。</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lastRenderedPageBreak/>
        <w:t>【用法与用量】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成人</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常规剂量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甲状腺肿</w:t>
      </w:r>
      <w:r w:rsidRPr="007F1943">
        <w:rPr>
          <w:rFonts w:ascii="Arial" w:eastAsia="宋体" w:hAnsi="Arial" w:cs="Arial"/>
          <w:kern w:val="0"/>
          <w:sz w:val="20"/>
          <w:szCs w:val="20"/>
        </w:rPr>
        <w:t>(</w:t>
      </w:r>
      <w:r w:rsidRPr="007F1943">
        <w:rPr>
          <w:rFonts w:ascii="Arial" w:eastAsia="宋体" w:hAnsi="Arial" w:cs="Arial"/>
          <w:kern w:val="0"/>
          <w:sz w:val="20"/>
          <w:szCs w:val="20"/>
        </w:rPr>
        <w:t>甲状腺功能正常</w:t>
      </w:r>
      <w:r w:rsidRPr="007F1943">
        <w:rPr>
          <w:rFonts w:ascii="Arial" w:eastAsia="宋体" w:hAnsi="Arial" w:cs="Arial"/>
          <w:kern w:val="0"/>
          <w:sz w:val="20"/>
          <w:szCs w:val="20"/>
        </w:rPr>
        <w:t>)</w:t>
      </w:r>
      <w:r w:rsidRPr="007F1943">
        <w:rPr>
          <w:rFonts w:ascii="Arial" w:eastAsia="宋体" w:hAnsi="Arial" w:cs="Arial"/>
          <w:kern w:val="0"/>
          <w:sz w:val="20"/>
          <w:szCs w:val="20"/>
        </w:rPr>
        <w:t>、甲状腺肿切除术后预防甲状腺肿复发</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一次</w:t>
      </w:r>
      <w:r w:rsidRPr="007F1943">
        <w:rPr>
          <w:rFonts w:ascii="Arial" w:eastAsia="宋体" w:hAnsi="Arial" w:cs="Arial"/>
          <w:kern w:val="0"/>
          <w:sz w:val="20"/>
          <w:szCs w:val="20"/>
        </w:rPr>
        <w:t>75-200μg</w:t>
      </w:r>
      <w:r w:rsidRPr="007F1943">
        <w:rPr>
          <w:rFonts w:ascii="Arial" w:eastAsia="宋体" w:hAnsi="Arial" w:cs="Arial"/>
          <w:kern w:val="0"/>
          <w:sz w:val="20"/>
          <w:szCs w:val="20"/>
        </w:rPr>
        <w:t>，一日</w:t>
      </w:r>
      <w:r w:rsidRPr="007F1943">
        <w:rPr>
          <w:rFonts w:ascii="Arial" w:eastAsia="宋体" w:hAnsi="Arial" w:cs="Arial"/>
          <w:kern w:val="0"/>
          <w:sz w:val="20"/>
          <w:szCs w:val="20"/>
        </w:rPr>
        <w:t>1</w:t>
      </w:r>
      <w:r w:rsidRPr="007F1943">
        <w:rPr>
          <w:rFonts w:ascii="Arial" w:eastAsia="宋体" w:hAnsi="Arial" w:cs="Arial"/>
          <w:kern w:val="0"/>
          <w:sz w:val="20"/>
          <w:szCs w:val="20"/>
        </w:rPr>
        <w:t>次。</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甲状腺功能减退</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起始剂量为一次</w:t>
      </w:r>
      <w:r w:rsidRPr="007F1943">
        <w:rPr>
          <w:rFonts w:ascii="Arial" w:eastAsia="宋体" w:hAnsi="Arial" w:cs="Arial"/>
          <w:kern w:val="0"/>
          <w:sz w:val="20"/>
          <w:szCs w:val="20"/>
        </w:rPr>
        <w:t>25-50μg</w:t>
      </w:r>
      <w:r w:rsidRPr="007F1943">
        <w:rPr>
          <w:rFonts w:ascii="Arial" w:eastAsia="宋体" w:hAnsi="Arial" w:cs="Arial"/>
          <w:kern w:val="0"/>
          <w:sz w:val="20"/>
          <w:szCs w:val="20"/>
        </w:rPr>
        <w:t>，一日</w:t>
      </w:r>
      <w:r w:rsidRPr="007F1943">
        <w:rPr>
          <w:rFonts w:ascii="Arial" w:eastAsia="宋体" w:hAnsi="Arial" w:cs="Arial"/>
          <w:kern w:val="0"/>
          <w:sz w:val="20"/>
          <w:szCs w:val="20"/>
        </w:rPr>
        <w:t>1</w:t>
      </w:r>
      <w:r w:rsidRPr="007F1943">
        <w:rPr>
          <w:rFonts w:ascii="Arial" w:eastAsia="宋体" w:hAnsi="Arial" w:cs="Arial"/>
          <w:kern w:val="0"/>
          <w:sz w:val="20"/>
          <w:szCs w:val="20"/>
        </w:rPr>
        <w:t>次。可每</w:t>
      </w:r>
      <w:r w:rsidRPr="007F1943">
        <w:rPr>
          <w:rFonts w:ascii="Arial" w:eastAsia="宋体" w:hAnsi="Arial" w:cs="Arial"/>
          <w:kern w:val="0"/>
          <w:sz w:val="20"/>
          <w:szCs w:val="20"/>
        </w:rPr>
        <w:t>2-4</w:t>
      </w:r>
      <w:r w:rsidRPr="007F1943">
        <w:rPr>
          <w:rFonts w:ascii="Arial" w:eastAsia="宋体" w:hAnsi="Arial" w:cs="Arial"/>
          <w:kern w:val="0"/>
          <w:sz w:val="20"/>
          <w:szCs w:val="20"/>
        </w:rPr>
        <w:t>周增加</w:t>
      </w:r>
      <w:r w:rsidRPr="007F1943">
        <w:rPr>
          <w:rFonts w:ascii="Arial" w:eastAsia="宋体" w:hAnsi="Arial" w:cs="Arial"/>
          <w:kern w:val="0"/>
          <w:sz w:val="20"/>
          <w:szCs w:val="20"/>
        </w:rPr>
        <w:t>25-50μg</w:t>
      </w:r>
      <w:r w:rsidRPr="007F1943">
        <w:rPr>
          <w:rFonts w:ascii="Arial" w:eastAsia="宋体" w:hAnsi="Arial" w:cs="Arial"/>
          <w:kern w:val="0"/>
          <w:sz w:val="20"/>
          <w:szCs w:val="20"/>
        </w:rPr>
        <w:t>，直至维持剂量。维持剂量为一次</w:t>
      </w:r>
      <w:r w:rsidRPr="007F1943">
        <w:rPr>
          <w:rFonts w:ascii="Arial" w:eastAsia="宋体" w:hAnsi="Arial" w:cs="Arial"/>
          <w:kern w:val="0"/>
          <w:sz w:val="20"/>
          <w:szCs w:val="20"/>
        </w:rPr>
        <w:t>100-200μg</w:t>
      </w:r>
      <w:r w:rsidRPr="007F1943">
        <w:rPr>
          <w:rFonts w:ascii="Arial" w:eastAsia="宋体" w:hAnsi="Arial" w:cs="Arial"/>
          <w:kern w:val="0"/>
          <w:sz w:val="20"/>
          <w:szCs w:val="20"/>
        </w:rPr>
        <w:t>，一日</w:t>
      </w:r>
      <w:r w:rsidRPr="007F1943">
        <w:rPr>
          <w:rFonts w:ascii="Arial" w:eastAsia="宋体" w:hAnsi="Arial" w:cs="Arial"/>
          <w:kern w:val="0"/>
          <w:sz w:val="20"/>
          <w:szCs w:val="20"/>
        </w:rPr>
        <w:t>1</w:t>
      </w:r>
      <w:r w:rsidRPr="007F1943">
        <w:rPr>
          <w:rFonts w:ascii="Arial" w:eastAsia="宋体" w:hAnsi="Arial" w:cs="Arial"/>
          <w:kern w:val="0"/>
          <w:sz w:val="20"/>
          <w:szCs w:val="20"/>
        </w:rPr>
        <w:t>次。</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静脉注射</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黏液性水肿昏迷：首次剂量宜较大，可采用</w:t>
      </w:r>
      <w:r w:rsidRPr="007F1943">
        <w:rPr>
          <w:rFonts w:ascii="Arial" w:eastAsia="宋体" w:hAnsi="Arial" w:cs="Arial"/>
          <w:kern w:val="0"/>
          <w:sz w:val="20"/>
          <w:szCs w:val="20"/>
        </w:rPr>
        <w:t>200-400μg</w:t>
      </w:r>
      <w:r w:rsidRPr="007F1943">
        <w:rPr>
          <w:rFonts w:ascii="Arial" w:eastAsia="宋体" w:hAnsi="Arial" w:cs="Arial"/>
          <w:kern w:val="0"/>
          <w:sz w:val="20"/>
          <w:szCs w:val="20"/>
        </w:rPr>
        <w:t>，以后一日</w:t>
      </w:r>
      <w:r w:rsidRPr="007F1943">
        <w:rPr>
          <w:rFonts w:ascii="Arial" w:eastAsia="宋体" w:hAnsi="Arial" w:cs="Arial"/>
          <w:kern w:val="0"/>
          <w:sz w:val="20"/>
          <w:szCs w:val="20"/>
        </w:rPr>
        <w:t>50-100μg</w:t>
      </w:r>
      <w:r w:rsidRPr="007F1943">
        <w:rPr>
          <w:rFonts w:ascii="Arial" w:eastAsia="宋体" w:hAnsi="Arial" w:cs="Arial"/>
          <w:kern w:val="0"/>
          <w:sz w:val="20"/>
          <w:szCs w:val="20"/>
        </w:rPr>
        <w:t>，患者清醒后改为口服。</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甲状腺功能亢进的辅助治疗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一次</w:t>
      </w:r>
      <w:r w:rsidRPr="007F1943">
        <w:rPr>
          <w:rFonts w:ascii="Arial" w:eastAsia="宋体" w:hAnsi="Arial" w:cs="Arial"/>
          <w:kern w:val="0"/>
          <w:sz w:val="20"/>
          <w:szCs w:val="20"/>
        </w:rPr>
        <w:t>50-100μg</w:t>
      </w:r>
      <w:r w:rsidRPr="007F1943">
        <w:rPr>
          <w:rFonts w:ascii="Arial" w:eastAsia="宋体" w:hAnsi="Arial" w:cs="Arial"/>
          <w:kern w:val="0"/>
          <w:sz w:val="20"/>
          <w:szCs w:val="20"/>
        </w:rPr>
        <w:t>，一日</w:t>
      </w:r>
      <w:r w:rsidRPr="007F1943">
        <w:rPr>
          <w:rFonts w:ascii="Arial" w:eastAsia="宋体" w:hAnsi="Arial" w:cs="Arial"/>
          <w:kern w:val="0"/>
          <w:sz w:val="20"/>
          <w:szCs w:val="20"/>
        </w:rPr>
        <w:t>1</w:t>
      </w:r>
      <w:r w:rsidRPr="007F1943">
        <w:rPr>
          <w:rFonts w:ascii="Arial" w:eastAsia="宋体" w:hAnsi="Arial" w:cs="Arial"/>
          <w:kern w:val="0"/>
          <w:sz w:val="20"/>
          <w:szCs w:val="20"/>
        </w:rPr>
        <w:t>次。</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甲状腺癌术后的抑制治疗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一次</w:t>
      </w:r>
      <w:r w:rsidRPr="007F1943">
        <w:rPr>
          <w:rFonts w:ascii="Arial" w:eastAsia="宋体" w:hAnsi="Arial" w:cs="Arial"/>
          <w:kern w:val="0"/>
          <w:sz w:val="20"/>
          <w:szCs w:val="20"/>
        </w:rPr>
        <w:t>150-300μg</w:t>
      </w:r>
      <w:r w:rsidRPr="007F1943">
        <w:rPr>
          <w:rFonts w:ascii="Arial" w:eastAsia="宋体" w:hAnsi="Arial" w:cs="Arial"/>
          <w:kern w:val="0"/>
          <w:sz w:val="20"/>
          <w:szCs w:val="20"/>
        </w:rPr>
        <w:t>，一日</w:t>
      </w:r>
      <w:r w:rsidRPr="007F1943">
        <w:rPr>
          <w:rFonts w:ascii="Arial" w:eastAsia="宋体" w:hAnsi="Arial" w:cs="Arial"/>
          <w:kern w:val="0"/>
          <w:sz w:val="20"/>
          <w:szCs w:val="20"/>
        </w:rPr>
        <w:t>1</w:t>
      </w:r>
      <w:r w:rsidRPr="007F1943">
        <w:rPr>
          <w:rFonts w:ascii="Arial" w:eastAsia="宋体" w:hAnsi="Arial" w:cs="Arial"/>
          <w:kern w:val="0"/>
          <w:sz w:val="20"/>
          <w:szCs w:val="20"/>
        </w:rPr>
        <w:t>次。</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甲状腺抑制试验</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一次</w:t>
      </w:r>
      <w:r w:rsidRPr="007F1943">
        <w:rPr>
          <w:rFonts w:ascii="Arial" w:eastAsia="宋体" w:hAnsi="Arial" w:cs="Arial"/>
          <w:kern w:val="0"/>
          <w:sz w:val="20"/>
          <w:szCs w:val="20"/>
        </w:rPr>
        <w:t>200μg</w:t>
      </w:r>
      <w:r w:rsidRPr="007F1943">
        <w:rPr>
          <w:rFonts w:ascii="Arial" w:eastAsia="宋体" w:hAnsi="Arial" w:cs="Arial"/>
          <w:kern w:val="0"/>
          <w:sz w:val="20"/>
          <w:szCs w:val="20"/>
        </w:rPr>
        <w:t>，一日</w:t>
      </w:r>
      <w:r w:rsidRPr="007F1943">
        <w:rPr>
          <w:rFonts w:ascii="Arial" w:eastAsia="宋体" w:hAnsi="Arial" w:cs="Arial"/>
          <w:kern w:val="0"/>
          <w:sz w:val="20"/>
          <w:szCs w:val="20"/>
        </w:rPr>
        <w:t>1</w:t>
      </w:r>
      <w:r w:rsidRPr="007F1943">
        <w:rPr>
          <w:rFonts w:ascii="Arial" w:eastAsia="宋体" w:hAnsi="Arial" w:cs="Arial"/>
          <w:kern w:val="0"/>
          <w:sz w:val="20"/>
          <w:szCs w:val="20"/>
        </w:rPr>
        <w:t>次。</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老年人剂量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起始量以一日</w:t>
      </w:r>
      <w:r w:rsidRPr="007F1943">
        <w:rPr>
          <w:rFonts w:ascii="Arial" w:eastAsia="宋体" w:hAnsi="Arial" w:cs="Arial"/>
          <w:kern w:val="0"/>
          <w:sz w:val="20"/>
          <w:szCs w:val="20"/>
        </w:rPr>
        <w:t>12.5-25μg</w:t>
      </w:r>
      <w:r w:rsidRPr="007F1943">
        <w:rPr>
          <w:rFonts w:ascii="Arial" w:eastAsia="宋体" w:hAnsi="Arial" w:cs="Arial"/>
          <w:kern w:val="0"/>
          <w:sz w:val="20"/>
          <w:szCs w:val="20"/>
        </w:rPr>
        <w:t>为宜，可每</w:t>
      </w:r>
      <w:r w:rsidRPr="007F1943">
        <w:rPr>
          <w:rFonts w:ascii="Arial" w:eastAsia="宋体" w:hAnsi="Arial" w:cs="Arial"/>
          <w:kern w:val="0"/>
          <w:sz w:val="20"/>
          <w:szCs w:val="20"/>
        </w:rPr>
        <w:t>3-4</w:t>
      </w:r>
      <w:r w:rsidRPr="007F1943">
        <w:rPr>
          <w:rFonts w:ascii="Arial" w:eastAsia="宋体" w:hAnsi="Arial" w:cs="Arial"/>
          <w:kern w:val="0"/>
          <w:sz w:val="20"/>
          <w:szCs w:val="20"/>
        </w:rPr>
        <w:t>周递增</w:t>
      </w:r>
      <w:r w:rsidRPr="007F1943">
        <w:rPr>
          <w:rFonts w:ascii="Arial" w:eastAsia="宋体" w:hAnsi="Arial" w:cs="Arial"/>
          <w:kern w:val="0"/>
          <w:sz w:val="20"/>
          <w:szCs w:val="20"/>
        </w:rPr>
        <w:t>12.5-25μg</w:t>
      </w:r>
      <w:r w:rsidRPr="007F1943">
        <w:rPr>
          <w:rFonts w:ascii="Arial" w:eastAsia="宋体" w:hAnsi="Arial" w:cs="Arial"/>
          <w:kern w:val="0"/>
          <w:sz w:val="20"/>
          <w:szCs w:val="20"/>
        </w:rPr>
        <w:t>，并密切观察患者是否有心率加快、心律不齐、血压改变等不良反应，同时监测甲状腺素水平，必要时暂缓加量或减量。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其他疾病时剂量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冠心病患者和重度或长期甲状腺功能减退的患者用药参见</w:t>
      </w:r>
      <w:r w:rsidRPr="007F1943">
        <w:rPr>
          <w:rFonts w:ascii="Arial" w:eastAsia="宋体" w:hAnsi="Arial" w:cs="Arial"/>
          <w:kern w:val="0"/>
          <w:sz w:val="20"/>
          <w:szCs w:val="20"/>
        </w:rPr>
        <w:t>“</w:t>
      </w:r>
      <w:r w:rsidRPr="007F1943">
        <w:rPr>
          <w:rFonts w:ascii="Arial" w:eastAsia="宋体" w:hAnsi="Arial" w:cs="Arial"/>
          <w:kern w:val="0"/>
          <w:sz w:val="20"/>
          <w:szCs w:val="20"/>
        </w:rPr>
        <w:t>老年人剂量</w:t>
      </w:r>
      <w:r w:rsidRPr="007F1943">
        <w:rPr>
          <w:rFonts w:ascii="Arial" w:eastAsia="宋体" w:hAnsi="Arial" w:cs="Arial"/>
          <w:kern w:val="0"/>
          <w:sz w:val="20"/>
          <w:szCs w:val="20"/>
        </w:rPr>
        <w:t>”</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体重较轻及有大结节性甲状腺肿的患者，低剂量给药即有效。</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儿童</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lastRenderedPageBreak/>
        <w:t>◆</w:t>
      </w:r>
      <w:r w:rsidRPr="007F1943">
        <w:rPr>
          <w:rFonts w:ascii="Arial" w:eastAsia="宋体" w:hAnsi="Arial" w:cs="Arial"/>
          <w:kern w:val="0"/>
          <w:sz w:val="20"/>
          <w:szCs w:val="20"/>
        </w:rPr>
        <w:t>常规剂量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甲状腺功能减退</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起始剂量为一次</w:t>
      </w:r>
      <w:r w:rsidRPr="007F1943">
        <w:rPr>
          <w:rFonts w:ascii="Arial" w:eastAsia="宋体" w:hAnsi="Arial" w:cs="Arial"/>
          <w:kern w:val="0"/>
          <w:sz w:val="20"/>
          <w:szCs w:val="20"/>
        </w:rPr>
        <w:t>12.5-50μg</w:t>
      </w:r>
      <w:r w:rsidRPr="007F1943">
        <w:rPr>
          <w:rFonts w:ascii="Arial" w:eastAsia="宋体" w:hAnsi="Arial" w:cs="Arial"/>
          <w:kern w:val="0"/>
          <w:sz w:val="20"/>
          <w:szCs w:val="20"/>
        </w:rPr>
        <w:t>，一日</w:t>
      </w:r>
      <w:r w:rsidRPr="007F1943">
        <w:rPr>
          <w:rFonts w:ascii="Arial" w:eastAsia="宋体" w:hAnsi="Arial" w:cs="Arial"/>
          <w:kern w:val="0"/>
          <w:sz w:val="20"/>
          <w:szCs w:val="20"/>
        </w:rPr>
        <w:t>1</w:t>
      </w:r>
      <w:r w:rsidRPr="007F1943">
        <w:rPr>
          <w:rFonts w:ascii="Arial" w:eastAsia="宋体" w:hAnsi="Arial" w:cs="Arial"/>
          <w:kern w:val="0"/>
          <w:sz w:val="20"/>
          <w:szCs w:val="20"/>
        </w:rPr>
        <w:t>次。维持剂量为一次</w:t>
      </w:r>
      <w:r w:rsidRPr="007F1943">
        <w:rPr>
          <w:rFonts w:ascii="Arial" w:eastAsia="宋体" w:hAnsi="Arial" w:cs="Arial"/>
          <w:kern w:val="0"/>
          <w:sz w:val="20"/>
          <w:szCs w:val="20"/>
        </w:rPr>
        <w:t>100-150μg/m</w:t>
      </w:r>
      <w:r w:rsidRPr="007F1943">
        <w:rPr>
          <w:rFonts w:ascii="Arial" w:eastAsia="宋体" w:hAnsi="Arial" w:cs="Arial"/>
          <w:kern w:val="0"/>
          <w:sz w:val="20"/>
          <w:szCs w:val="20"/>
          <w:vertAlign w:val="superscript"/>
        </w:rPr>
        <w:t>2</w:t>
      </w:r>
      <w:r w:rsidRPr="007F1943">
        <w:rPr>
          <w:rFonts w:ascii="Arial" w:eastAsia="宋体" w:hAnsi="Arial" w:cs="Arial"/>
          <w:kern w:val="0"/>
          <w:sz w:val="20"/>
          <w:szCs w:val="20"/>
        </w:rPr>
        <w:t>体表面积，一日</w:t>
      </w:r>
      <w:r w:rsidRPr="007F1943">
        <w:rPr>
          <w:rFonts w:ascii="Arial" w:eastAsia="宋体" w:hAnsi="Arial" w:cs="Arial"/>
          <w:kern w:val="0"/>
          <w:sz w:val="20"/>
          <w:szCs w:val="20"/>
        </w:rPr>
        <w:t>1</w:t>
      </w:r>
      <w:r w:rsidRPr="007F1943">
        <w:rPr>
          <w:rFonts w:ascii="Arial" w:eastAsia="宋体" w:hAnsi="Arial" w:cs="Arial"/>
          <w:kern w:val="0"/>
          <w:sz w:val="20"/>
          <w:szCs w:val="20"/>
        </w:rPr>
        <w:t>次。</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【国外用法用量参考】</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成人</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常规剂量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甲状腺功能减退</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(1)</w:t>
      </w:r>
      <w:r w:rsidRPr="007F1943">
        <w:rPr>
          <w:rFonts w:ascii="Arial" w:eastAsia="宋体" w:hAnsi="Arial" w:cs="Arial"/>
          <w:kern w:val="0"/>
          <w:sz w:val="20"/>
          <w:szCs w:val="20"/>
        </w:rPr>
        <w:t>完全替代剂量为一日</w:t>
      </w:r>
      <w:r w:rsidRPr="007F1943">
        <w:rPr>
          <w:rFonts w:ascii="Arial" w:eastAsia="宋体" w:hAnsi="Arial" w:cs="Arial"/>
          <w:kern w:val="0"/>
          <w:sz w:val="20"/>
          <w:szCs w:val="20"/>
        </w:rPr>
        <w:t>1.7μg/kg</w:t>
      </w:r>
      <w:r w:rsidRPr="007F1943">
        <w:rPr>
          <w:rFonts w:ascii="Arial" w:eastAsia="宋体" w:hAnsi="Arial" w:cs="Arial"/>
          <w:kern w:val="0"/>
          <w:sz w:val="20"/>
          <w:szCs w:val="20"/>
        </w:rPr>
        <w:t>。很少有患者需要的维持剂量超过一日</w:t>
      </w:r>
      <w:r w:rsidRPr="007F1943">
        <w:rPr>
          <w:rFonts w:ascii="Arial" w:eastAsia="宋体" w:hAnsi="Arial" w:cs="Arial"/>
          <w:kern w:val="0"/>
          <w:sz w:val="20"/>
          <w:szCs w:val="20"/>
        </w:rPr>
        <w:t>200μg</w:t>
      </w:r>
      <w:r w:rsidRPr="007F1943">
        <w:rPr>
          <w:rFonts w:ascii="Arial" w:eastAsia="宋体" w:hAnsi="Arial" w:cs="Arial"/>
          <w:kern w:val="0"/>
          <w:sz w:val="20"/>
          <w:szCs w:val="20"/>
        </w:rPr>
        <w:t>，若需要</w:t>
      </w:r>
      <w:r w:rsidRPr="007F1943">
        <w:rPr>
          <w:rFonts w:ascii="Arial" w:eastAsia="宋体" w:hAnsi="Arial" w:cs="Arial"/>
          <w:kern w:val="0"/>
          <w:sz w:val="20"/>
          <w:szCs w:val="20"/>
        </w:rPr>
        <w:t>300μg</w:t>
      </w:r>
      <w:r w:rsidRPr="007F1943">
        <w:rPr>
          <w:rFonts w:ascii="Arial" w:eastAsia="宋体" w:hAnsi="Arial" w:cs="Arial"/>
          <w:kern w:val="0"/>
          <w:sz w:val="20"/>
          <w:szCs w:val="20"/>
        </w:rPr>
        <w:t>或更大剂量可能表明应答不充分。</w:t>
      </w:r>
      <w:r w:rsidRPr="007F1943">
        <w:rPr>
          <w:rFonts w:ascii="Arial" w:eastAsia="宋体" w:hAnsi="Arial" w:cs="Arial"/>
          <w:kern w:val="0"/>
          <w:sz w:val="20"/>
          <w:szCs w:val="20"/>
        </w:rPr>
        <w:t>(2)</w:t>
      </w:r>
      <w:r w:rsidRPr="007F1943">
        <w:rPr>
          <w:rFonts w:ascii="Arial" w:eastAsia="宋体" w:hAnsi="Arial" w:cs="Arial"/>
          <w:kern w:val="0"/>
          <w:sz w:val="20"/>
          <w:szCs w:val="20"/>
        </w:rPr>
        <w:t>严重甲状腺功能减退，起始剂量为一日</w:t>
      </w:r>
      <w:r w:rsidRPr="007F1943">
        <w:rPr>
          <w:rFonts w:ascii="Arial" w:eastAsia="宋体" w:hAnsi="Arial" w:cs="Arial"/>
          <w:kern w:val="0"/>
          <w:sz w:val="20"/>
          <w:szCs w:val="20"/>
        </w:rPr>
        <w:t>12.5-25μg</w:t>
      </w:r>
      <w:r w:rsidRPr="007F1943">
        <w:rPr>
          <w:rFonts w:ascii="Arial" w:eastAsia="宋体" w:hAnsi="Arial" w:cs="Arial"/>
          <w:kern w:val="0"/>
          <w:sz w:val="20"/>
          <w:szCs w:val="20"/>
        </w:rPr>
        <w:t>，可每</w:t>
      </w:r>
      <w:r w:rsidRPr="007F1943">
        <w:rPr>
          <w:rFonts w:ascii="Arial" w:eastAsia="宋体" w:hAnsi="Arial" w:cs="Arial"/>
          <w:kern w:val="0"/>
          <w:sz w:val="20"/>
          <w:szCs w:val="20"/>
        </w:rPr>
        <w:t>2-4</w:t>
      </w:r>
      <w:r w:rsidRPr="007F1943">
        <w:rPr>
          <w:rFonts w:ascii="Arial" w:eastAsia="宋体" w:hAnsi="Arial" w:cs="Arial"/>
          <w:kern w:val="0"/>
          <w:sz w:val="20"/>
          <w:szCs w:val="20"/>
        </w:rPr>
        <w:t>周递增</w:t>
      </w:r>
      <w:r w:rsidRPr="007F1943">
        <w:rPr>
          <w:rFonts w:ascii="Arial" w:eastAsia="宋体" w:hAnsi="Arial" w:cs="Arial"/>
          <w:kern w:val="0"/>
          <w:sz w:val="20"/>
          <w:szCs w:val="20"/>
        </w:rPr>
        <w:t>25μg</w:t>
      </w:r>
      <w:r w:rsidRPr="007F1943">
        <w:rPr>
          <w:rFonts w:ascii="Arial" w:eastAsia="宋体" w:hAnsi="Arial" w:cs="Arial"/>
          <w:kern w:val="0"/>
          <w:sz w:val="20"/>
          <w:szCs w:val="20"/>
        </w:rPr>
        <w:t>。</w:t>
      </w:r>
      <w:r w:rsidRPr="007F1943">
        <w:rPr>
          <w:rFonts w:ascii="Arial" w:eastAsia="宋体" w:hAnsi="Arial" w:cs="Arial"/>
          <w:kern w:val="0"/>
          <w:sz w:val="20"/>
          <w:szCs w:val="20"/>
        </w:rPr>
        <w:t>(3)</w:t>
      </w:r>
      <w:r w:rsidRPr="007F1943">
        <w:rPr>
          <w:rFonts w:ascii="Arial" w:eastAsia="宋体" w:hAnsi="Arial" w:cs="Arial"/>
          <w:kern w:val="0"/>
          <w:sz w:val="20"/>
          <w:szCs w:val="20"/>
        </w:rPr>
        <w:t>不足</w:t>
      </w:r>
      <w:r w:rsidRPr="007F1943">
        <w:rPr>
          <w:rFonts w:ascii="Arial" w:eastAsia="宋体" w:hAnsi="Arial" w:cs="Arial"/>
          <w:kern w:val="0"/>
          <w:sz w:val="20"/>
          <w:szCs w:val="20"/>
        </w:rPr>
        <w:t>50</w:t>
      </w:r>
      <w:r w:rsidRPr="007F1943">
        <w:rPr>
          <w:rFonts w:ascii="Arial" w:eastAsia="宋体" w:hAnsi="Arial" w:cs="Arial"/>
          <w:kern w:val="0"/>
          <w:sz w:val="20"/>
          <w:szCs w:val="20"/>
        </w:rPr>
        <w:t>岁有潜在心脏疾病的患者，初始剂量为一日</w:t>
      </w:r>
      <w:r w:rsidRPr="007F1943">
        <w:rPr>
          <w:rFonts w:ascii="Arial" w:eastAsia="宋体" w:hAnsi="Arial" w:cs="Arial"/>
          <w:kern w:val="0"/>
          <w:sz w:val="20"/>
          <w:szCs w:val="20"/>
        </w:rPr>
        <w:t>25-50μg</w:t>
      </w:r>
      <w:r w:rsidRPr="007F1943">
        <w:rPr>
          <w:rFonts w:ascii="Arial" w:eastAsia="宋体" w:hAnsi="Arial" w:cs="Arial"/>
          <w:kern w:val="0"/>
          <w:sz w:val="20"/>
          <w:szCs w:val="20"/>
        </w:rPr>
        <w:t>，可每</w:t>
      </w:r>
      <w:r w:rsidRPr="007F1943">
        <w:rPr>
          <w:rFonts w:ascii="Arial" w:eastAsia="宋体" w:hAnsi="Arial" w:cs="Arial"/>
          <w:kern w:val="0"/>
          <w:sz w:val="20"/>
          <w:szCs w:val="20"/>
        </w:rPr>
        <w:t>6-8</w:t>
      </w:r>
      <w:r w:rsidRPr="007F1943">
        <w:rPr>
          <w:rFonts w:ascii="Arial" w:eastAsia="宋体" w:hAnsi="Arial" w:cs="Arial"/>
          <w:kern w:val="0"/>
          <w:sz w:val="20"/>
          <w:szCs w:val="20"/>
        </w:rPr>
        <w:t>周逐步增量。</w:t>
      </w:r>
      <w:r w:rsidRPr="007F1943">
        <w:rPr>
          <w:rFonts w:ascii="Arial" w:eastAsia="宋体" w:hAnsi="Arial" w:cs="Arial"/>
          <w:kern w:val="0"/>
          <w:sz w:val="20"/>
          <w:szCs w:val="20"/>
        </w:rPr>
        <w:t>(4)50</w:t>
      </w:r>
      <w:r w:rsidRPr="007F1943">
        <w:rPr>
          <w:rFonts w:ascii="Arial" w:eastAsia="宋体" w:hAnsi="Arial" w:cs="Arial"/>
          <w:kern w:val="0"/>
          <w:sz w:val="20"/>
          <w:szCs w:val="20"/>
        </w:rPr>
        <w:t>岁以上的患者，初始剂量为一日</w:t>
      </w:r>
      <w:r w:rsidRPr="007F1943">
        <w:rPr>
          <w:rFonts w:ascii="Arial" w:eastAsia="宋体" w:hAnsi="Arial" w:cs="Arial"/>
          <w:kern w:val="0"/>
          <w:sz w:val="20"/>
          <w:szCs w:val="20"/>
        </w:rPr>
        <w:t>25-50μg</w:t>
      </w:r>
      <w:r w:rsidRPr="007F1943">
        <w:rPr>
          <w:rFonts w:ascii="Arial" w:eastAsia="宋体" w:hAnsi="Arial" w:cs="Arial"/>
          <w:kern w:val="0"/>
          <w:sz w:val="20"/>
          <w:szCs w:val="20"/>
        </w:rPr>
        <w:t>，可每</w:t>
      </w:r>
      <w:r w:rsidRPr="007F1943">
        <w:rPr>
          <w:rFonts w:ascii="Arial" w:eastAsia="宋体" w:hAnsi="Arial" w:cs="Arial"/>
          <w:kern w:val="0"/>
          <w:sz w:val="20"/>
          <w:szCs w:val="20"/>
        </w:rPr>
        <w:t>6-8</w:t>
      </w:r>
      <w:r w:rsidRPr="007F1943">
        <w:rPr>
          <w:rFonts w:ascii="Arial" w:eastAsia="宋体" w:hAnsi="Arial" w:cs="Arial"/>
          <w:kern w:val="0"/>
          <w:sz w:val="20"/>
          <w:szCs w:val="20"/>
        </w:rPr>
        <w:t>周逐渐增量。</w:t>
      </w:r>
      <w:r w:rsidRPr="007F1943">
        <w:rPr>
          <w:rFonts w:ascii="Arial" w:eastAsia="宋体" w:hAnsi="Arial" w:cs="Arial"/>
          <w:kern w:val="0"/>
          <w:sz w:val="20"/>
          <w:szCs w:val="20"/>
        </w:rPr>
        <w:t>(5)50</w:t>
      </w:r>
      <w:r w:rsidRPr="007F1943">
        <w:rPr>
          <w:rFonts w:ascii="Arial" w:eastAsia="宋体" w:hAnsi="Arial" w:cs="Arial"/>
          <w:kern w:val="0"/>
          <w:sz w:val="20"/>
          <w:szCs w:val="20"/>
        </w:rPr>
        <w:t>岁以上有潜在心脏疾病的患者，初始剂量为一日</w:t>
      </w:r>
      <w:r w:rsidRPr="007F1943">
        <w:rPr>
          <w:rFonts w:ascii="Arial" w:eastAsia="宋体" w:hAnsi="Arial" w:cs="Arial"/>
          <w:kern w:val="0"/>
          <w:sz w:val="20"/>
          <w:szCs w:val="20"/>
        </w:rPr>
        <w:t>12.5-25μg</w:t>
      </w:r>
      <w:r w:rsidRPr="007F1943">
        <w:rPr>
          <w:rFonts w:ascii="Arial" w:eastAsia="宋体" w:hAnsi="Arial" w:cs="Arial"/>
          <w:kern w:val="0"/>
          <w:sz w:val="20"/>
          <w:szCs w:val="20"/>
        </w:rPr>
        <w:t>，可每</w:t>
      </w:r>
      <w:r w:rsidRPr="007F1943">
        <w:rPr>
          <w:rFonts w:ascii="Arial" w:eastAsia="宋体" w:hAnsi="Arial" w:cs="Arial"/>
          <w:kern w:val="0"/>
          <w:sz w:val="20"/>
          <w:szCs w:val="20"/>
        </w:rPr>
        <w:t>4-6</w:t>
      </w:r>
      <w:r w:rsidRPr="007F1943">
        <w:rPr>
          <w:rFonts w:ascii="Arial" w:eastAsia="宋体" w:hAnsi="Arial" w:cs="Arial"/>
          <w:kern w:val="0"/>
          <w:sz w:val="20"/>
          <w:szCs w:val="20"/>
        </w:rPr>
        <w:t>周逐渐增量。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肌内注射</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初始剂量</w:t>
      </w:r>
      <w:proofErr w:type="gramStart"/>
      <w:r w:rsidRPr="007F1943">
        <w:rPr>
          <w:rFonts w:ascii="Arial" w:eastAsia="宋体" w:hAnsi="Arial" w:cs="Arial"/>
          <w:kern w:val="0"/>
          <w:sz w:val="20"/>
          <w:szCs w:val="20"/>
        </w:rPr>
        <w:t>为之前</w:t>
      </w:r>
      <w:proofErr w:type="gramEnd"/>
      <w:r w:rsidRPr="007F1943">
        <w:rPr>
          <w:rFonts w:ascii="Arial" w:eastAsia="宋体" w:hAnsi="Arial" w:cs="Arial"/>
          <w:kern w:val="0"/>
          <w:sz w:val="20"/>
          <w:szCs w:val="20"/>
        </w:rPr>
        <w:t>口服剂量的一半。维持剂量为一日</w:t>
      </w:r>
      <w:r w:rsidRPr="007F1943">
        <w:rPr>
          <w:rFonts w:ascii="Arial" w:eastAsia="宋体" w:hAnsi="Arial" w:cs="Arial"/>
          <w:kern w:val="0"/>
          <w:sz w:val="20"/>
          <w:szCs w:val="20"/>
        </w:rPr>
        <w:t>50-100μg</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静脉给药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参见</w:t>
      </w:r>
      <w:r w:rsidRPr="007F1943">
        <w:rPr>
          <w:rFonts w:ascii="Arial" w:eastAsia="宋体" w:hAnsi="Arial" w:cs="Arial"/>
          <w:kern w:val="0"/>
          <w:sz w:val="20"/>
          <w:szCs w:val="20"/>
        </w:rPr>
        <w:t>“</w:t>
      </w:r>
      <w:r w:rsidRPr="007F1943">
        <w:rPr>
          <w:rFonts w:ascii="Arial" w:eastAsia="宋体" w:hAnsi="Arial" w:cs="Arial"/>
          <w:kern w:val="0"/>
          <w:sz w:val="20"/>
          <w:szCs w:val="20"/>
        </w:rPr>
        <w:t>肌内注射</w:t>
      </w:r>
      <w:r w:rsidRPr="007F1943">
        <w:rPr>
          <w:rFonts w:ascii="Arial" w:eastAsia="宋体" w:hAnsi="Arial" w:cs="Arial"/>
          <w:kern w:val="0"/>
          <w:sz w:val="20"/>
          <w:szCs w:val="20"/>
        </w:rPr>
        <w:t>”</w:t>
      </w:r>
      <w:r w:rsidRPr="007F1943">
        <w:rPr>
          <w:rFonts w:ascii="Arial" w:eastAsia="宋体" w:hAnsi="Arial" w:cs="Arial"/>
          <w:kern w:val="0"/>
          <w:sz w:val="20"/>
          <w:szCs w:val="20"/>
        </w:rPr>
        <w:t>项。</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黏液性水肿昏迷</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静脉给药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初始剂量为一日</w:t>
      </w:r>
      <w:r w:rsidRPr="007F1943">
        <w:rPr>
          <w:rFonts w:ascii="Arial" w:eastAsia="宋体" w:hAnsi="Arial" w:cs="Arial"/>
          <w:kern w:val="0"/>
          <w:sz w:val="20"/>
          <w:szCs w:val="20"/>
        </w:rPr>
        <w:t>200-500μg</w:t>
      </w:r>
      <w:r w:rsidRPr="007F1943">
        <w:rPr>
          <w:rFonts w:ascii="Arial" w:eastAsia="宋体" w:hAnsi="Arial" w:cs="Arial"/>
          <w:kern w:val="0"/>
          <w:sz w:val="20"/>
          <w:szCs w:val="20"/>
        </w:rPr>
        <w:t>，次日剂量为</w:t>
      </w:r>
      <w:r w:rsidRPr="007F1943">
        <w:rPr>
          <w:rFonts w:ascii="Arial" w:eastAsia="宋体" w:hAnsi="Arial" w:cs="Arial"/>
          <w:kern w:val="0"/>
          <w:sz w:val="20"/>
          <w:szCs w:val="20"/>
        </w:rPr>
        <w:t>100-300μg</w:t>
      </w:r>
      <w:r w:rsidRPr="007F1943">
        <w:rPr>
          <w:rFonts w:ascii="Arial" w:eastAsia="宋体" w:hAnsi="Arial" w:cs="Arial"/>
          <w:kern w:val="0"/>
          <w:sz w:val="20"/>
          <w:szCs w:val="20"/>
        </w:rPr>
        <w:t>，逐日减量直至患者完全能够以常规口服剂量进行治疗。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促甲状腺素的抑制治疗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(1)</w:t>
      </w:r>
      <w:r w:rsidRPr="007F1943">
        <w:rPr>
          <w:rFonts w:ascii="Arial" w:eastAsia="宋体" w:hAnsi="Arial" w:cs="Arial"/>
          <w:kern w:val="0"/>
          <w:sz w:val="20"/>
          <w:szCs w:val="20"/>
        </w:rPr>
        <w:t>甲状腺癌：一日需给予大于</w:t>
      </w:r>
      <w:r w:rsidRPr="007F1943">
        <w:rPr>
          <w:rFonts w:ascii="Arial" w:eastAsia="宋体" w:hAnsi="Arial" w:cs="Arial"/>
          <w:kern w:val="0"/>
          <w:sz w:val="20"/>
          <w:szCs w:val="20"/>
        </w:rPr>
        <w:t>2μg/kg</w:t>
      </w:r>
      <w:r w:rsidRPr="007F1943">
        <w:rPr>
          <w:rFonts w:ascii="Arial" w:eastAsia="宋体" w:hAnsi="Arial" w:cs="Arial"/>
          <w:kern w:val="0"/>
          <w:sz w:val="20"/>
          <w:szCs w:val="20"/>
        </w:rPr>
        <w:t>的剂量，以使促甲状腺素被抑制后低于</w:t>
      </w:r>
      <w:r w:rsidRPr="007F1943">
        <w:rPr>
          <w:rFonts w:ascii="Arial" w:eastAsia="宋体" w:hAnsi="Arial" w:cs="Arial"/>
          <w:kern w:val="0"/>
          <w:sz w:val="20"/>
          <w:szCs w:val="20"/>
        </w:rPr>
        <w:t>0.1MU/L</w:t>
      </w:r>
      <w:r w:rsidRPr="007F1943">
        <w:rPr>
          <w:rFonts w:ascii="Arial" w:eastAsia="宋体" w:hAnsi="Arial" w:cs="Arial"/>
          <w:kern w:val="0"/>
          <w:sz w:val="20"/>
          <w:szCs w:val="20"/>
        </w:rPr>
        <w:t>。</w:t>
      </w:r>
      <w:r w:rsidRPr="007F1943">
        <w:rPr>
          <w:rFonts w:ascii="Arial" w:eastAsia="宋体" w:hAnsi="Arial" w:cs="Arial"/>
          <w:kern w:val="0"/>
          <w:sz w:val="20"/>
          <w:szCs w:val="20"/>
        </w:rPr>
        <w:t>(2)</w:t>
      </w:r>
      <w:r w:rsidRPr="007F1943">
        <w:rPr>
          <w:rFonts w:ascii="Arial" w:eastAsia="宋体" w:hAnsi="Arial" w:cs="Arial"/>
          <w:kern w:val="0"/>
          <w:sz w:val="20"/>
          <w:szCs w:val="20"/>
        </w:rPr>
        <w:t>良性结节和非毒性多结节甲状腺肿：一日需给予大于</w:t>
      </w:r>
      <w:r w:rsidRPr="007F1943">
        <w:rPr>
          <w:rFonts w:ascii="Arial" w:eastAsia="宋体" w:hAnsi="Arial" w:cs="Arial"/>
          <w:kern w:val="0"/>
          <w:sz w:val="20"/>
          <w:szCs w:val="20"/>
        </w:rPr>
        <w:t>2μg/kg</w:t>
      </w:r>
      <w:r w:rsidRPr="007F1943">
        <w:rPr>
          <w:rFonts w:ascii="Arial" w:eastAsia="宋体" w:hAnsi="Arial" w:cs="Arial"/>
          <w:kern w:val="0"/>
          <w:sz w:val="20"/>
          <w:szCs w:val="20"/>
        </w:rPr>
        <w:t>的剂量，以抑制促甲状腺素。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老年人剂量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lastRenderedPageBreak/>
        <w:t>有心脏疾病的老年患者使用本药，推荐替代疗法的初始剂量为一日</w:t>
      </w:r>
      <w:r w:rsidRPr="007F1943">
        <w:rPr>
          <w:rFonts w:ascii="Arial" w:eastAsia="宋体" w:hAnsi="Arial" w:cs="Arial"/>
          <w:kern w:val="0"/>
          <w:sz w:val="20"/>
          <w:szCs w:val="20"/>
        </w:rPr>
        <w:t>12.5-25μg</w:t>
      </w:r>
      <w:r w:rsidRPr="007F1943">
        <w:rPr>
          <w:rFonts w:ascii="Arial" w:eastAsia="宋体" w:hAnsi="Arial" w:cs="Arial"/>
          <w:kern w:val="0"/>
          <w:sz w:val="20"/>
          <w:szCs w:val="20"/>
        </w:rPr>
        <w:t>，可每</w:t>
      </w:r>
      <w:r w:rsidRPr="007F1943">
        <w:rPr>
          <w:rFonts w:ascii="Arial" w:eastAsia="宋体" w:hAnsi="Arial" w:cs="Arial"/>
          <w:kern w:val="0"/>
          <w:sz w:val="20"/>
          <w:szCs w:val="20"/>
        </w:rPr>
        <w:t>4-6</w:t>
      </w:r>
      <w:r w:rsidRPr="007F1943">
        <w:rPr>
          <w:rFonts w:ascii="Arial" w:eastAsia="宋体" w:hAnsi="Arial" w:cs="Arial"/>
          <w:kern w:val="0"/>
          <w:sz w:val="20"/>
          <w:szCs w:val="20"/>
        </w:rPr>
        <w:t>周增加</w:t>
      </w:r>
      <w:r w:rsidRPr="007F1943">
        <w:rPr>
          <w:rFonts w:ascii="Arial" w:eastAsia="宋体" w:hAnsi="Arial" w:cs="Arial"/>
          <w:kern w:val="0"/>
          <w:sz w:val="20"/>
          <w:szCs w:val="20"/>
        </w:rPr>
        <w:t>12.5-25μg</w:t>
      </w:r>
      <w:r w:rsidRPr="007F1943">
        <w:rPr>
          <w:rFonts w:ascii="Arial" w:eastAsia="宋体" w:hAnsi="Arial" w:cs="Arial"/>
          <w:kern w:val="0"/>
          <w:sz w:val="20"/>
          <w:szCs w:val="20"/>
        </w:rPr>
        <w:t>，直至获得满意疗效。一般情况下，老人的完全替代剂量低于一日</w:t>
      </w:r>
      <w:r w:rsidRPr="007F1943">
        <w:rPr>
          <w:rFonts w:ascii="Arial" w:eastAsia="宋体" w:hAnsi="Arial" w:cs="Arial"/>
          <w:kern w:val="0"/>
          <w:sz w:val="20"/>
          <w:szCs w:val="20"/>
        </w:rPr>
        <w:t>1μg/kg</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其他疾病时剂量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心血管疾病患者应以低剂量开始治疗，谨慎调整剂量直至获得满意疗效。</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儿童</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常规剂量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w:t>
      </w:r>
      <w:r w:rsidRPr="007F1943">
        <w:rPr>
          <w:rFonts w:ascii="Arial" w:eastAsia="宋体" w:hAnsi="Arial" w:cs="Arial"/>
          <w:kern w:val="0"/>
          <w:sz w:val="20"/>
          <w:szCs w:val="20"/>
        </w:rPr>
        <w:t>甲状腺功能减退</w:t>
      </w:r>
    </w:p>
    <w:p w:rsidR="007F1943" w:rsidRPr="007F1943" w:rsidRDefault="007F1943" w:rsidP="007F1943">
      <w:pPr>
        <w:widowControl/>
        <w:spacing w:before="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用量见下表。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4047"/>
        <w:gridCol w:w="2492"/>
      </w:tblGrid>
      <w:tr w:rsidR="007F1943" w:rsidRPr="007F1943" w:rsidTr="007F1943">
        <w:tc>
          <w:tcPr>
            <w:tcW w:w="0" w:type="auto"/>
            <w:gridSpan w:val="2"/>
            <w:tcBorders>
              <w:top w:val="nil"/>
              <w:left w:val="nil"/>
              <w:bottom w:val="nil"/>
              <w:right w:val="nil"/>
            </w:tcBorders>
            <w:tcMar>
              <w:top w:w="0" w:type="dxa"/>
              <w:left w:w="150" w:type="dxa"/>
              <w:bottom w:w="0" w:type="dxa"/>
              <w:right w:w="150" w:type="dxa"/>
            </w:tcMar>
            <w:vAlign w:val="center"/>
            <w:hideMark/>
          </w:tcPr>
          <w:p w:rsidR="007F1943" w:rsidRPr="007F1943" w:rsidRDefault="007F1943" w:rsidP="007F1943">
            <w:pPr>
              <w:widowControl/>
              <w:jc w:val="center"/>
              <w:rPr>
                <w:rFonts w:ascii="Arial" w:eastAsia="宋体" w:hAnsi="Arial" w:cs="Arial"/>
                <w:kern w:val="0"/>
                <w:sz w:val="24"/>
                <w:szCs w:val="24"/>
              </w:rPr>
            </w:pPr>
            <w:r w:rsidRPr="007F1943">
              <w:rPr>
                <w:rFonts w:ascii="Arial" w:eastAsia="宋体" w:hAnsi="Arial" w:cs="Arial"/>
                <w:kern w:val="0"/>
                <w:sz w:val="24"/>
                <w:szCs w:val="24"/>
              </w:rPr>
              <w:t>甲状腺功能减退的儿童用量表</w:t>
            </w:r>
          </w:p>
        </w:tc>
      </w:tr>
      <w:tr w:rsidR="007F1943" w:rsidRPr="007F1943" w:rsidTr="007F1943">
        <w:tc>
          <w:tcPr>
            <w:tcW w:w="0" w:type="auto"/>
            <w:tcBorders>
              <w:bottom w:val="single" w:sz="6" w:space="0" w:color="000000"/>
            </w:tcBorders>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年龄</w:t>
            </w:r>
          </w:p>
        </w:tc>
        <w:tc>
          <w:tcPr>
            <w:tcW w:w="0" w:type="auto"/>
            <w:tcBorders>
              <w:bottom w:val="single" w:sz="6" w:space="0" w:color="000000"/>
            </w:tcBorders>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一日给药剂量</w:t>
            </w:r>
            <w:r w:rsidRPr="007F1943">
              <w:rPr>
                <w:rFonts w:ascii="Arial" w:eastAsia="宋体" w:hAnsi="Arial" w:cs="Arial"/>
                <w:kern w:val="0"/>
                <w:sz w:val="24"/>
                <w:szCs w:val="24"/>
              </w:rPr>
              <w:t>(</w:t>
            </w:r>
            <w:proofErr w:type="spellStart"/>
            <w:r w:rsidRPr="007F1943">
              <w:rPr>
                <w:rFonts w:ascii="Arial" w:eastAsia="宋体" w:hAnsi="Arial" w:cs="Arial"/>
                <w:kern w:val="0"/>
                <w:sz w:val="24"/>
                <w:szCs w:val="24"/>
              </w:rPr>
              <w:t>μg</w:t>
            </w:r>
            <w:proofErr w:type="spellEnd"/>
            <w:r w:rsidRPr="007F1943">
              <w:rPr>
                <w:rFonts w:ascii="Arial" w:eastAsia="宋体" w:hAnsi="Arial" w:cs="Arial"/>
                <w:kern w:val="0"/>
                <w:sz w:val="24"/>
                <w:szCs w:val="24"/>
              </w:rPr>
              <w:t>/kg)</w:t>
            </w:r>
          </w:p>
        </w:tc>
      </w:tr>
      <w:tr w:rsidR="007F1943" w:rsidRPr="007F1943" w:rsidTr="007F1943">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0-3</w:t>
            </w:r>
            <w:r w:rsidRPr="007F1943">
              <w:rPr>
                <w:rFonts w:ascii="Arial" w:eastAsia="宋体" w:hAnsi="Arial" w:cs="Arial"/>
                <w:kern w:val="0"/>
                <w:sz w:val="24"/>
                <w:szCs w:val="24"/>
              </w:rPr>
              <w:t>个月</w:t>
            </w:r>
          </w:p>
        </w:tc>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10-15</w:t>
            </w:r>
          </w:p>
        </w:tc>
      </w:tr>
      <w:tr w:rsidR="007F1943" w:rsidRPr="007F1943" w:rsidTr="007F1943">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3-6</w:t>
            </w:r>
            <w:r w:rsidRPr="007F1943">
              <w:rPr>
                <w:rFonts w:ascii="Arial" w:eastAsia="宋体" w:hAnsi="Arial" w:cs="Arial"/>
                <w:kern w:val="0"/>
                <w:sz w:val="24"/>
                <w:szCs w:val="24"/>
              </w:rPr>
              <w:t>个月</w:t>
            </w:r>
          </w:p>
        </w:tc>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8-10</w:t>
            </w:r>
          </w:p>
        </w:tc>
      </w:tr>
      <w:tr w:rsidR="007F1943" w:rsidRPr="007F1943" w:rsidTr="007F1943">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6-12</w:t>
            </w:r>
            <w:r w:rsidRPr="007F1943">
              <w:rPr>
                <w:rFonts w:ascii="Arial" w:eastAsia="宋体" w:hAnsi="Arial" w:cs="Arial"/>
                <w:kern w:val="0"/>
                <w:sz w:val="24"/>
                <w:szCs w:val="24"/>
              </w:rPr>
              <w:t>个月</w:t>
            </w:r>
          </w:p>
        </w:tc>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6-8</w:t>
            </w:r>
          </w:p>
        </w:tc>
      </w:tr>
      <w:tr w:rsidR="007F1943" w:rsidRPr="007F1943" w:rsidTr="007F1943">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1-5</w:t>
            </w:r>
            <w:r w:rsidRPr="007F1943">
              <w:rPr>
                <w:rFonts w:ascii="Arial" w:eastAsia="宋体" w:hAnsi="Arial" w:cs="Arial"/>
                <w:kern w:val="0"/>
                <w:sz w:val="24"/>
                <w:szCs w:val="24"/>
              </w:rPr>
              <w:t>岁</w:t>
            </w:r>
          </w:p>
        </w:tc>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5-6</w:t>
            </w:r>
          </w:p>
        </w:tc>
      </w:tr>
      <w:tr w:rsidR="007F1943" w:rsidRPr="007F1943" w:rsidTr="007F1943">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6-12</w:t>
            </w:r>
            <w:r w:rsidRPr="007F1943">
              <w:rPr>
                <w:rFonts w:ascii="Arial" w:eastAsia="宋体" w:hAnsi="Arial" w:cs="Arial"/>
                <w:kern w:val="0"/>
                <w:sz w:val="24"/>
                <w:szCs w:val="24"/>
              </w:rPr>
              <w:t>岁</w:t>
            </w:r>
          </w:p>
        </w:tc>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4-5</w:t>
            </w:r>
          </w:p>
        </w:tc>
      </w:tr>
      <w:tr w:rsidR="007F1943" w:rsidRPr="007F1943" w:rsidTr="007F1943">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大于</w:t>
            </w:r>
            <w:r w:rsidRPr="007F1943">
              <w:rPr>
                <w:rFonts w:ascii="Arial" w:eastAsia="宋体" w:hAnsi="Arial" w:cs="Arial"/>
                <w:kern w:val="0"/>
                <w:sz w:val="24"/>
                <w:szCs w:val="24"/>
              </w:rPr>
              <w:t>12</w:t>
            </w:r>
            <w:r w:rsidRPr="007F1943">
              <w:rPr>
                <w:rFonts w:ascii="Arial" w:eastAsia="宋体" w:hAnsi="Arial" w:cs="Arial"/>
                <w:kern w:val="0"/>
                <w:sz w:val="24"/>
                <w:szCs w:val="24"/>
              </w:rPr>
              <w:t>岁，生长及青春期发育不全</w:t>
            </w:r>
          </w:p>
        </w:tc>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2-3</w:t>
            </w:r>
          </w:p>
        </w:tc>
      </w:tr>
      <w:tr w:rsidR="007F1943" w:rsidRPr="007F1943" w:rsidTr="007F1943">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生长及青春期发育完全</w:t>
            </w:r>
          </w:p>
        </w:tc>
        <w:tc>
          <w:tcPr>
            <w:tcW w:w="0" w:type="auto"/>
            <w:tcMar>
              <w:top w:w="0" w:type="dxa"/>
              <w:left w:w="150" w:type="dxa"/>
              <w:bottom w:w="0" w:type="dxa"/>
              <w:right w:w="150" w:type="dxa"/>
            </w:tcMar>
            <w:vAlign w:val="center"/>
            <w:hideMark/>
          </w:tcPr>
          <w:p w:rsidR="007F1943" w:rsidRPr="007F1943" w:rsidRDefault="007F1943" w:rsidP="007F1943">
            <w:pPr>
              <w:widowControl/>
              <w:jc w:val="left"/>
              <w:rPr>
                <w:rFonts w:ascii="Arial" w:eastAsia="宋体" w:hAnsi="Arial" w:cs="Arial"/>
                <w:kern w:val="0"/>
                <w:sz w:val="24"/>
                <w:szCs w:val="24"/>
              </w:rPr>
            </w:pPr>
            <w:r w:rsidRPr="007F1943">
              <w:rPr>
                <w:rFonts w:ascii="Arial" w:eastAsia="宋体" w:hAnsi="Arial" w:cs="Arial"/>
                <w:kern w:val="0"/>
                <w:sz w:val="24"/>
                <w:szCs w:val="24"/>
              </w:rPr>
              <w:t>1.7</w:t>
            </w:r>
          </w:p>
        </w:tc>
      </w:tr>
    </w:tbl>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【给药说明】</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给药方式说明</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口服给药</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本药应于早餐前半小时，空腹将一日剂量一次性给予；婴幼儿服药前可用适量的水将本药片剂捣碎制成混悬液，再以适当的液体送服。</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【禁忌症】</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对本药过敏者。</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患有以下疾病或未经治疗的以下疾病患者：肾上腺功能不全、垂体功能不全、甲状腺毒症、甲状腺自律、冠心病、心绞痛、动脉硬化、高血压患者。</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急性心肌梗死、急性心肌炎和急性全心炎患者。</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4.</w:t>
      </w:r>
      <w:r w:rsidRPr="007F1943">
        <w:rPr>
          <w:rFonts w:ascii="Arial" w:eastAsia="宋体" w:hAnsi="Arial" w:cs="Arial"/>
          <w:kern w:val="0"/>
          <w:sz w:val="20"/>
          <w:szCs w:val="20"/>
        </w:rPr>
        <w:t>非甲状腺功能减退性心力衰竭、快速性心律失常患者。</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【慎用】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lastRenderedPageBreak/>
        <w:t>1.</w:t>
      </w:r>
      <w:r w:rsidRPr="007F1943">
        <w:rPr>
          <w:rFonts w:ascii="Arial" w:eastAsia="宋体" w:hAnsi="Arial" w:cs="Arial"/>
          <w:kern w:val="0"/>
          <w:sz w:val="20"/>
          <w:szCs w:val="20"/>
        </w:rPr>
        <w:t>糖尿病患者。</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心肌缺血患者。</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尿崩症患者</w:t>
      </w:r>
      <w:r w:rsidRPr="007F1943">
        <w:rPr>
          <w:rFonts w:ascii="Arial" w:eastAsia="宋体" w:hAnsi="Arial" w:cs="Arial"/>
          <w:kern w:val="0"/>
          <w:sz w:val="20"/>
          <w:szCs w:val="20"/>
        </w:rPr>
        <w:t>(</w:t>
      </w:r>
      <w:r w:rsidRPr="007F1943">
        <w:rPr>
          <w:rFonts w:ascii="Arial" w:eastAsia="宋体" w:hAnsi="Arial" w:cs="Arial"/>
          <w:kern w:val="0"/>
          <w:sz w:val="20"/>
          <w:szCs w:val="20"/>
        </w:rPr>
        <w:t>国外资料</w:t>
      </w:r>
      <w:r w:rsidRPr="007F1943">
        <w:rPr>
          <w:rFonts w:ascii="Arial" w:eastAsia="宋体" w:hAnsi="Arial" w:cs="Arial"/>
          <w:kern w:val="0"/>
          <w:sz w:val="20"/>
          <w:szCs w:val="20"/>
        </w:rPr>
        <w:t>)</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4.</w:t>
      </w:r>
      <w:r w:rsidRPr="007F1943">
        <w:rPr>
          <w:rFonts w:ascii="Arial" w:eastAsia="宋体" w:hAnsi="Arial" w:cs="Arial"/>
          <w:kern w:val="0"/>
          <w:sz w:val="20"/>
          <w:szCs w:val="20"/>
        </w:rPr>
        <w:t>老年患者。</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【特殊人群】</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儿童</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儿童用药参见</w:t>
      </w:r>
      <w:r w:rsidRPr="007F1943">
        <w:rPr>
          <w:rFonts w:ascii="Arial" w:eastAsia="宋体" w:hAnsi="Arial" w:cs="Arial"/>
          <w:kern w:val="0"/>
          <w:sz w:val="20"/>
          <w:szCs w:val="20"/>
        </w:rPr>
        <w:t>“</w:t>
      </w:r>
      <w:r w:rsidRPr="007F1943">
        <w:rPr>
          <w:rFonts w:ascii="Arial" w:eastAsia="宋体" w:hAnsi="Arial" w:cs="Arial"/>
          <w:kern w:val="0"/>
          <w:sz w:val="20"/>
          <w:szCs w:val="20"/>
        </w:rPr>
        <w:t>用法与用量</w:t>
      </w:r>
      <w:r w:rsidRPr="007F1943">
        <w:rPr>
          <w:rFonts w:ascii="Arial" w:eastAsia="宋体" w:hAnsi="Arial" w:cs="Arial"/>
          <w:kern w:val="0"/>
          <w:sz w:val="20"/>
          <w:szCs w:val="20"/>
        </w:rPr>
        <w:t>”</w:t>
      </w:r>
      <w:r w:rsidRPr="007F1943">
        <w:rPr>
          <w:rFonts w:ascii="Arial" w:eastAsia="宋体" w:hAnsi="Arial" w:cs="Arial"/>
          <w:kern w:val="0"/>
          <w:sz w:val="20"/>
          <w:szCs w:val="20"/>
        </w:rPr>
        <w:t>项。</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老人</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老年人应谨慎使用本药，并减少首药剂量，因抑制老年人的促甲状腺素水平可能增加心房颤动的发生率和心血管疾病的死亡率。</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妊娠期妇女</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本药不易透过胎盘，甲状腺功能减退者在妊娠期间无需停药。对于患有甲状腺功能亢进症的妊娠期妇女，必须单独使用抗甲状腺药物进行治疗，而不宜将本药与</w:t>
      </w:r>
      <w:proofErr w:type="gramStart"/>
      <w:r w:rsidRPr="007F1943">
        <w:rPr>
          <w:rFonts w:ascii="Arial" w:eastAsia="宋体" w:hAnsi="Arial" w:cs="Arial"/>
          <w:kern w:val="0"/>
          <w:sz w:val="20"/>
          <w:szCs w:val="20"/>
        </w:rPr>
        <w:t>抗甲状腺药物联用</w:t>
      </w:r>
      <w:proofErr w:type="gramEnd"/>
      <w:r w:rsidRPr="007F1943">
        <w:rPr>
          <w:rFonts w:ascii="Arial" w:eastAsia="宋体" w:hAnsi="Arial" w:cs="Arial"/>
          <w:kern w:val="0"/>
          <w:sz w:val="20"/>
          <w:szCs w:val="20"/>
        </w:rPr>
        <w:t>，否则可能会导致胎儿甲状腺功能减退。</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美国食品药品管理局</w:t>
      </w:r>
      <w:r w:rsidRPr="007F1943">
        <w:rPr>
          <w:rFonts w:ascii="Arial" w:eastAsia="宋体" w:hAnsi="Arial" w:cs="Arial"/>
          <w:kern w:val="0"/>
          <w:sz w:val="20"/>
          <w:szCs w:val="20"/>
        </w:rPr>
        <w:t>(FDA)</w:t>
      </w:r>
      <w:r w:rsidRPr="007F1943">
        <w:rPr>
          <w:rFonts w:ascii="Arial" w:eastAsia="宋体" w:hAnsi="Arial" w:cs="Arial"/>
          <w:kern w:val="0"/>
          <w:sz w:val="20"/>
          <w:szCs w:val="20"/>
        </w:rPr>
        <w:t>对本药的妊娠安全性分级为</w:t>
      </w:r>
      <w:r w:rsidRPr="007F1943">
        <w:rPr>
          <w:rFonts w:ascii="Arial" w:eastAsia="宋体" w:hAnsi="Arial" w:cs="Arial"/>
          <w:kern w:val="0"/>
          <w:sz w:val="20"/>
          <w:szCs w:val="20"/>
        </w:rPr>
        <w:t>A</w:t>
      </w:r>
      <w:r w:rsidRPr="007F1943">
        <w:rPr>
          <w:rFonts w:ascii="Arial" w:eastAsia="宋体" w:hAnsi="Arial" w:cs="Arial"/>
          <w:kern w:val="0"/>
          <w:sz w:val="20"/>
          <w:szCs w:val="20"/>
        </w:rPr>
        <w:t>级。</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哺乳期妇女</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即使在高剂量使用本药的情况下，哺乳时分泌到乳汁中的药量亦不足以导致婴儿发生甲状腺功能亢进或促甲状腺素</w:t>
      </w:r>
      <w:r w:rsidRPr="007F1943">
        <w:rPr>
          <w:rFonts w:ascii="Arial" w:eastAsia="宋体" w:hAnsi="Arial" w:cs="Arial"/>
          <w:kern w:val="0"/>
          <w:sz w:val="20"/>
          <w:szCs w:val="20"/>
        </w:rPr>
        <w:t>(TSH)</w:t>
      </w:r>
      <w:r w:rsidRPr="007F1943">
        <w:rPr>
          <w:rFonts w:ascii="Arial" w:eastAsia="宋体" w:hAnsi="Arial" w:cs="Arial"/>
          <w:kern w:val="0"/>
          <w:sz w:val="20"/>
          <w:szCs w:val="20"/>
        </w:rPr>
        <w:t>分泌被抑制。</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特殊疾病状态</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良性甲状腺结节患者：不建议在此类患者中常规</w:t>
      </w:r>
      <w:proofErr w:type="gramStart"/>
      <w:r w:rsidRPr="007F1943">
        <w:rPr>
          <w:rFonts w:ascii="Arial" w:eastAsia="宋体" w:hAnsi="Arial" w:cs="Arial"/>
          <w:kern w:val="0"/>
          <w:sz w:val="20"/>
          <w:szCs w:val="20"/>
        </w:rPr>
        <w:t>使用四碘甲腺原氨酸</w:t>
      </w:r>
      <w:proofErr w:type="gramEnd"/>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w:t>
      </w:r>
      <w:r w:rsidRPr="007F1943">
        <w:rPr>
          <w:rFonts w:ascii="Arial" w:eastAsia="宋体" w:hAnsi="Arial" w:cs="Arial"/>
          <w:kern w:val="0"/>
          <w:sz w:val="20"/>
          <w:szCs w:val="20"/>
        </w:rPr>
        <w:t>抑制</w:t>
      </w:r>
      <w:r w:rsidRPr="007F1943">
        <w:rPr>
          <w:rFonts w:ascii="Arial" w:eastAsia="宋体" w:hAnsi="Arial" w:cs="Arial"/>
          <w:kern w:val="0"/>
          <w:sz w:val="20"/>
          <w:szCs w:val="20"/>
        </w:rPr>
        <w:t>TSH</w:t>
      </w:r>
      <w:r w:rsidRPr="007F1943">
        <w:rPr>
          <w:rFonts w:ascii="Arial" w:eastAsia="宋体" w:hAnsi="Arial" w:cs="Arial"/>
          <w:kern w:val="0"/>
          <w:sz w:val="20"/>
          <w:szCs w:val="20"/>
        </w:rPr>
        <w:t>，治疗中不应彻底抑制</w:t>
      </w:r>
      <w:r w:rsidRPr="007F1943">
        <w:rPr>
          <w:rFonts w:ascii="Arial" w:eastAsia="宋体" w:hAnsi="Arial" w:cs="Arial"/>
          <w:kern w:val="0"/>
          <w:sz w:val="20"/>
          <w:szCs w:val="20"/>
        </w:rPr>
        <w:t>TSH</w:t>
      </w:r>
      <w:r w:rsidRPr="007F1943">
        <w:rPr>
          <w:rFonts w:ascii="Arial" w:eastAsia="宋体" w:hAnsi="Arial" w:cs="Arial"/>
          <w:kern w:val="0"/>
          <w:sz w:val="20"/>
          <w:szCs w:val="20"/>
        </w:rPr>
        <w:t>至</w:t>
      </w:r>
      <w:r w:rsidRPr="007F1943">
        <w:rPr>
          <w:rFonts w:ascii="Arial" w:eastAsia="宋体" w:hAnsi="Arial" w:cs="Arial"/>
          <w:kern w:val="0"/>
          <w:sz w:val="20"/>
          <w:szCs w:val="20"/>
        </w:rPr>
        <w:t>0.1MU/L</w:t>
      </w:r>
      <w:r w:rsidRPr="007F1943">
        <w:rPr>
          <w:rFonts w:ascii="Arial" w:eastAsia="宋体" w:hAnsi="Arial" w:cs="Arial"/>
          <w:kern w:val="0"/>
          <w:sz w:val="20"/>
          <w:szCs w:val="20"/>
        </w:rPr>
        <w:t>以下。碘缺乏地区居住的患者、甲状腺结节较小的年轻患者、无功能性甲状腺结节患者可考虑使用</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糖尿病和尿崩症患者：此类患者慎用本药，因本药可能加重其症状。</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骨质疏松患者：长期使用本药可降低骨密度，绝经后妇女和进行抑制疗法的妇女应以最低有效剂量用药。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lastRenderedPageBreak/>
        <w:t>【不良反应】</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少数患者由于对剂量</w:t>
      </w:r>
      <w:proofErr w:type="gramStart"/>
      <w:r w:rsidRPr="007F1943">
        <w:rPr>
          <w:rFonts w:ascii="Arial" w:eastAsia="宋体" w:hAnsi="Arial" w:cs="Arial"/>
          <w:kern w:val="0"/>
          <w:sz w:val="20"/>
          <w:szCs w:val="20"/>
        </w:rPr>
        <w:t>不</w:t>
      </w:r>
      <w:proofErr w:type="gramEnd"/>
      <w:r w:rsidRPr="007F1943">
        <w:rPr>
          <w:rFonts w:ascii="Arial" w:eastAsia="宋体" w:hAnsi="Arial" w:cs="Arial"/>
          <w:kern w:val="0"/>
          <w:sz w:val="20"/>
          <w:szCs w:val="20"/>
        </w:rPr>
        <w:t>耐受或用药过量，特别是治疗开始时剂量增加过快，可能出现不良反应。</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心血管系统</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心动过速、心悸、心绞痛、心律失常。</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代谢</w:t>
      </w:r>
      <w:r w:rsidRPr="007F1943">
        <w:rPr>
          <w:rFonts w:ascii="Arial" w:eastAsia="宋体" w:hAnsi="Arial" w:cs="Arial"/>
          <w:kern w:val="0"/>
          <w:sz w:val="20"/>
          <w:szCs w:val="20"/>
        </w:rPr>
        <w:t>/</w:t>
      </w:r>
      <w:r w:rsidRPr="007F1943">
        <w:rPr>
          <w:rFonts w:ascii="Arial" w:eastAsia="宋体" w:hAnsi="Arial" w:cs="Arial"/>
          <w:kern w:val="0"/>
          <w:sz w:val="20"/>
          <w:szCs w:val="20"/>
        </w:rPr>
        <w:t>内分泌系统</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有停药后出现短暂性甲状腺功能减退的个案报道。另外，滥用本药可继发甲状腺功能亢进，出现手抖、失眠及心动过速等症状。</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肌肉骨骼系统</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骨骼肌痉挛、肌无力。还可出现骨质疏松症、原有重症肌无力恶化或引起重症肌无力样症状。</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4.</w:t>
      </w:r>
      <w:r w:rsidRPr="007F1943">
        <w:rPr>
          <w:rFonts w:ascii="Arial" w:eastAsia="宋体" w:hAnsi="Arial" w:cs="Arial"/>
          <w:kern w:val="0"/>
          <w:sz w:val="20"/>
          <w:szCs w:val="20"/>
        </w:rPr>
        <w:t>泌尿生殖系统</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月经紊乱。</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5.</w:t>
      </w:r>
      <w:r w:rsidRPr="007F1943">
        <w:rPr>
          <w:rFonts w:ascii="Arial" w:eastAsia="宋体" w:hAnsi="Arial" w:cs="Arial"/>
          <w:kern w:val="0"/>
          <w:sz w:val="20"/>
          <w:szCs w:val="20"/>
        </w:rPr>
        <w:t>免疫系统</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部分超</w:t>
      </w:r>
      <w:proofErr w:type="gramStart"/>
      <w:r w:rsidRPr="007F1943">
        <w:rPr>
          <w:rFonts w:ascii="Arial" w:eastAsia="宋体" w:hAnsi="Arial" w:cs="Arial"/>
          <w:kern w:val="0"/>
          <w:sz w:val="20"/>
          <w:szCs w:val="20"/>
        </w:rPr>
        <w:t>敏患者</w:t>
      </w:r>
      <w:proofErr w:type="gramEnd"/>
      <w:r w:rsidRPr="007F1943">
        <w:rPr>
          <w:rFonts w:ascii="Arial" w:eastAsia="宋体" w:hAnsi="Arial" w:cs="Arial"/>
          <w:kern w:val="0"/>
          <w:sz w:val="20"/>
          <w:szCs w:val="20"/>
        </w:rPr>
        <w:t>可能出现过敏反应。</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6.</w:t>
      </w:r>
      <w:r w:rsidRPr="007F1943">
        <w:rPr>
          <w:rFonts w:ascii="Arial" w:eastAsia="宋体" w:hAnsi="Arial" w:cs="Arial"/>
          <w:kern w:val="0"/>
          <w:sz w:val="20"/>
          <w:szCs w:val="20"/>
        </w:rPr>
        <w:t>神经系统</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头痛、假脑瘤、震颤、坐立不安、失眠。还可诱发癫痫或假性脑瘤。</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7.</w:t>
      </w:r>
      <w:r w:rsidRPr="007F1943">
        <w:rPr>
          <w:rFonts w:ascii="Arial" w:eastAsia="宋体" w:hAnsi="Arial" w:cs="Arial"/>
          <w:kern w:val="0"/>
          <w:sz w:val="20"/>
          <w:szCs w:val="20"/>
        </w:rPr>
        <w:t>胃肠道</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呕吐、腹泻。</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8.</w:t>
      </w:r>
      <w:r w:rsidRPr="007F1943">
        <w:rPr>
          <w:rFonts w:ascii="Arial" w:eastAsia="宋体" w:hAnsi="Arial" w:cs="Arial"/>
          <w:kern w:val="0"/>
          <w:sz w:val="20"/>
          <w:szCs w:val="20"/>
        </w:rPr>
        <w:t>皮肤</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多汗、潮红。</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9.</w:t>
      </w:r>
      <w:r w:rsidRPr="007F1943">
        <w:rPr>
          <w:rFonts w:ascii="Arial" w:eastAsia="宋体" w:hAnsi="Arial" w:cs="Arial"/>
          <w:kern w:val="0"/>
          <w:sz w:val="20"/>
          <w:szCs w:val="20"/>
        </w:rPr>
        <w:t>其他</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发热、体重减轻。</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【药物相互作用】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药物</w:t>
      </w:r>
      <w:r w:rsidRPr="007F1943">
        <w:rPr>
          <w:rFonts w:ascii="Arial" w:eastAsia="宋体" w:hAnsi="Arial" w:cs="Arial"/>
          <w:b/>
          <w:bCs/>
          <w:kern w:val="0"/>
          <w:sz w:val="20"/>
          <w:szCs w:val="20"/>
        </w:rPr>
        <w:t>-</w:t>
      </w:r>
      <w:r w:rsidRPr="007F1943">
        <w:rPr>
          <w:rFonts w:ascii="Arial" w:eastAsia="宋体" w:hAnsi="Arial" w:cs="Arial"/>
          <w:b/>
          <w:bCs/>
          <w:kern w:val="0"/>
          <w:sz w:val="20"/>
          <w:szCs w:val="20"/>
        </w:rPr>
        <w:t>药物相互作用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抗惊厥药</w:t>
      </w:r>
      <w:r w:rsidRPr="007F1943">
        <w:rPr>
          <w:rFonts w:ascii="Arial" w:eastAsia="宋体" w:hAnsi="Arial" w:cs="Arial"/>
          <w:kern w:val="0"/>
          <w:sz w:val="20"/>
          <w:szCs w:val="20"/>
        </w:rPr>
        <w:t>(</w:t>
      </w:r>
      <w:r w:rsidRPr="007F1943">
        <w:rPr>
          <w:rFonts w:ascii="Arial" w:eastAsia="宋体" w:hAnsi="Arial" w:cs="Arial"/>
          <w:kern w:val="0"/>
          <w:sz w:val="20"/>
          <w:szCs w:val="20"/>
        </w:rPr>
        <w:t>如卡马西平、苯妥英钠等</w:t>
      </w:r>
      <w:r w:rsidRPr="007F1943">
        <w:rPr>
          <w:rFonts w:ascii="Arial" w:eastAsia="宋体" w:hAnsi="Arial" w:cs="Arial"/>
          <w:kern w:val="0"/>
          <w:sz w:val="20"/>
          <w:szCs w:val="20"/>
        </w:rPr>
        <w:t>)</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结果：合用可加快本药代谢，将甲状腺素从血浆蛋白中置换出。本药也可增加苯妥英钠的血药浓度。</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水杨酸盐、双香豆素、</w:t>
      </w:r>
      <w:proofErr w:type="gramStart"/>
      <w:r w:rsidRPr="007F1943">
        <w:rPr>
          <w:rFonts w:ascii="Arial" w:eastAsia="宋体" w:hAnsi="Arial" w:cs="Arial"/>
          <w:kern w:val="0"/>
          <w:sz w:val="20"/>
          <w:szCs w:val="20"/>
        </w:rPr>
        <w:t>呋</w:t>
      </w:r>
      <w:proofErr w:type="gramEnd"/>
      <w:r w:rsidRPr="007F1943">
        <w:rPr>
          <w:rFonts w:ascii="Arial" w:eastAsia="宋体" w:hAnsi="Arial" w:cs="Arial"/>
          <w:kern w:val="0"/>
          <w:sz w:val="20"/>
          <w:szCs w:val="20"/>
        </w:rPr>
        <w:t>塞米</w:t>
      </w:r>
      <w:r w:rsidRPr="007F1943">
        <w:rPr>
          <w:rFonts w:ascii="Arial" w:eastAsia="宋体" w:hAnsi="Arial" w:cs="Arial"/>
          <w:kern w:val="0"/>
          <w:sz w:val="20"/>
          <w:szCs w:val="20"/>
        </w:rPr>
        <w:t>(</w:t>
      </w:r>
      <w:r w:rsidRPr="007F1943">
        <w:rPr>
          <w:rFonts w:ascii="Arial" w:eastAsia="宋体" w:hAnsi="Arial" w:cs="Arial"/>
          <w:kern w:val="0"/>
          <w:sz w:val="20"/>
          <w:szCs w:val="20"/>
        </w:rPr>
        <w:t>大剂量</w:t>
      </w:r>
      <w:r w:rsidRPr="007F1943">
        <w:rPr>
          <w:rFonts w:ascii="Arial" w:eastAsia="宋体" w:hAnsi="Arial" w:cs="Arial"/>
          <w:kern w:val="0"/>
          <w:sz w:val="20"/>
          <w:szCs w:val="20"/>
        </w:rPr>
        <w:t>)</w:t>
      </w:r>
      <w:r w:rsidRPr="007F1943">
        <w:rPr>
          <w:rFonts w:ascii="Arial" w:eastAsia="宋体" w:hAnsi="Arial" w:cs="Arial"/>
          <w:kern w:val="0"/>
          <w:sz w:val="20"/>
          <w:szCs w:val="20"/>
        </w:rPr>
        <w:t>、</w:t>
      </w:r>
      <w:proofErr w:type="gramStart"/>
      <w:r w:rsidRPr="007F1943">
        <w:rPr>
          <w:rFonts w:ascii="Arial" w:eastAsia="宋体" w:hAnsi="Arial" w:cs="Arial"/>
          <w:kern w:val="0"/>
          <w:sz w:val="20"/>
          <w:szCs w:val="20"/>
        </w:rPr>
        <w:t>氯贝丁</w:t>
      </w:r>
      <w:proofErr w:type="gramEnd"/>
      <w:r w:rsidRPr="007F1943">
        <w:rPr>
          <w:rFonts w:ascii="Arial" w:eastAsia="宋体" w:hAnsi="Arial" w:cs="Arial"/>
          <w:kern w:val="0"/>
          <w:sz w:val="20"/>
          <w:szCs w:val="20"/>
        </w:rPr>
        <w:t>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结果：合用导致血清游离甲状腺素水平升高。</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机制：以上药物取代本药与血浆蛋白的结合。</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拟交感神经药：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结果：合用可增强此类药物的作用。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4.</w:t>
      </w:r>
      <w:r w:rsidRPr="007F1943">
        <w:rPr>
          <w:rFonts w:ascii="Arial" w:eastAsia="宋体" w:hAnsi="Arial" w:cs="Arial"/>
          <w:kern w:val="0"/>
          <w:sz w:val="20"/>
          <w:szCs w:val="20"/>
        </w:rPr>
        <w:t>氯胺酮：</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lastRenderedPageBreak/>
        <w:t>结果：合用可引起血压升高和心动过速。</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5.</w:t>
      </w:r>
      <w:r w:rsidRPr="007F1943">
        <w:rPr>
          <w:rFonts w:ascii="Arial" w:eastAsia="宋体" w:hAnsi="Arial" w:cs="Arial"/>
          <w:kern w:val="0"/>
          <w:sz w:val="20"/>
          <w:szCs w:val="20"/>
        </w:rPr>
        <w:t>抗凝药</w:t>
      </w:r>
      <w:r w:rsidRPr="007F1943">
        <w:rPr>
          <w:rFonts w:ascii="Arial" w:eastAsia="宋体" w:hAnsi="Arial" w:cs="Arial"/>
          <w:kern w:val="0"/>
          <w:sz w:val="20"/>
          <w:szCs w:val="20"/>
        </w:rPr>
        <w:t>(</w:t>
      </w:r>
      <w:r w:rsidRPr="007F1943">
        <w:rPr>
          <w:rFonts w:ascii="Arial" w:eastAsia="宋体" w:hAnsi="Arial" w:cs="Arial"/>
          <w:kern w:val="0"/>
          <w:sz w:val="20"/>
          <w:szCs w:val="20"/>
        </w:rPr>
        <w:t>香豆素衍生物</w:t>
      </w:r>
      <w:r w:rsidRPr="007F1943">
        <w:rPr>
          <w:rFonts w:ascii="Arial" w:eastAsia="宋体" w:hAnsi="Arial" w:cs="Arial"/>
          <w:kern w:val="0"/>
          <w:sz w:val="20"/>
          <w:szCs w:val="20"/>
        </w:rPr>
        <w:t>)</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结果：合用可增强此类药物的抗凝作用，可能引起出血。</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机制：本药取代抗凝药与血浆蛋白的结合。</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处理：开始使用本药时，应定期监测凝血指标，必要时应调整抗凝药的剂量。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6.</w:t>
      </w:r>
      <w:r w:rsidRPr="007F1943">
        <w:rPr>
          <w:rFonts w:ascii="Arial" w:eastAsia="宋体" w:hAnsi="Arial" w:cs="Arial"/>
          <w:kern w:val="0"/>
          <w:sz w:val="20"/>
          <w:szCs w:val="20"/>
        </w:rPr>
        <w:t>三环类抗抑郁药：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结果：合用可增强此类药物的作用。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7.</w:t>
      </w:r>
      <w:r w:rsidRPr="007F1943">
        <w:rPr>
          <w:rFonts w:ascii="Arial" w:eastAsia="宋体" w:hAnsi="Arial" w:cs="Arial"/>
          <w:kern w:val="0"/>
          <w:sz w:val="20"/>
          <w:szCs w:val="20"/>
        </w:rPr>
        <w:t>巴比妥类药：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结果：合用可增加本药的肝脏清除率。</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机制：巴比妥酸盐可诱导肝药酶。</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8.</w:t>
      </w:r>
      <w:r w:rsidRPr="007F1943">
        <w:rPr>
          <w:rFonts w:ascii="Arial" w:eastAsia="宋体" w:hAnsi="Arial" w:cs="Arial"/>
          <w:kern w:val="0"/>
          <w:sz w:val="20"/>
          <w:szCs w:val="20"/>
        </w:rPr>
        <w:t>胆汁酸多价螯合剂</w:t>
      </w:r>
      <w:r w:rsidRPr="007F1943">
        <w:rPr>
          <w:rFonts w:ascii="Arial" w:eastAsia="宋体" w:hAnsi="Arial" w:cs="Arial"/>
          <w:kern w:val="0"/>
          <w:sz w:val="20"/>
          <w:szCs w:val="20"/>
        </w:rPr>
        <w:t>(</w:t>
      </w:r>
      <w:r w:rsidRPr="007F1943">
        <w:rPr>
          <w:rFonts w:ascii="Arial" w:eastAsia="宋体" w:hAnsi="Arial" w:cs="Arial"/>
          <w:kern w:val="0"/>
          <w:sz w:val="20"/>
          <w:szCs w:val="20"/>
        </w:rPr>
        <w:t>考来烯胺、</w:t>
      </w:r>
      <w:proofErr w:type="gramStart"/>
      <w:r w:rsidRPr="007F1943">
        <w:rPr>
          <w:rFonts w:ascii="Arial" w:eastAsia="宋体" w:hAnsi="Arial" w:cs="Arial"/>
          <w:kern w:val="0"/>
          <w:sz w:val="20"/>
          <w:szCs w:val="20"/>
        </w:rPr>
        <w:t>考来替泊</w:t>
      </w:r>
      <w:proofErr w:type="gramEnd"/>
      <w:r w:rsidRPr="007F1943">
        <w:rPr>
          <w:rFonts w:ascii="Arial" w:eastAsia="宋体" w:hAnsi="Arial" w:cs="Arial"/>
          <w:kern w:val="0"/>
          <w:sz w:val="20"/>
          <w:szCs w:val="20"/>
        </w:rPr>
        <w:t>)</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结果：合用可抑制本药的吸收。</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处理：本药应在服用以上药物前</w:t>
      </w:r>
      <w:r w:rsidRPr="007F1943">
        <w:rPr>
          <w:rFonts w:ascii="Arial" w:eastAsia="宋体" w:hAnsi="Arial" w:cs="Arial"/>
          <w:kern w:val="0"/>
          <w:sz w:val="20"/>
          <w:szCs w:val="20"/>
        </w:rPr>
        <w:t>4-5</w:t>
      </w:r>
      <w:r w:rsidRPr="007F1943">
        <w:rPr>
          <w:rFonts w:ascii="Arial" w:eastAsia="宋体" w:hAnsi="Arial" w:cs="Arial"/>
          <w:kern w:val="0"/>
          <w:sz w:val="20"/>
          <w:szCs w:val="20"/>
        </w:rPr>
        <w:t>小时使用。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9.</w:t>
      </w:r>
      <w:r w:rsidRPr="007F1943">
        <w:rPr>
          <w:rFonts w:ascii="Arial" w:eastAsia="宋体" w:hAnsi="Arial" w:cs="Arial"/>
          <w:kern w:val="0"/>
          <w:sz w:val="20"/>
          <w:szCs w:val="20"/>
        </w:rPr>
        <w:t>含钙、镁、铝的抗酸药：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结果：合用可能降低本药的作用。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处理：本</w:t>
      </w:r>
      <w:proofErr w:type="gramStart"/>
      <w:r w:rsidRPr="007F1943">
        <w:rPr>
          <w:rFonts w:ascii="Arial" w:eastAsia="宋体" w:hAnsi="Arial" w:cs="Arial"/>
          <w:kern w:val="0"/>
          <w:sz w:val="20"/>
          <w:szCs w:val="20"/>
        </w:rPr>
        <w:t>药至少</w:t>
      </w:r>
      <w:proofErr w:type="gramEnd"/>
      <w:r w:rsidRPr="007F1943">
        <w:rPr>
          <w:rFonts w:ascii="Arial" w:eastAsia="宋体" w:hAnsi="Arial" w:cs="Arial"/>
          <w:kern w:val="0"/>
          <w:sz w:val="20"/>
          <w:szCs w:val="20"/>
        </w:rPr>
        <w:t>应在服用以上药物前</w:t>
      </w:r>
      <w:r w:rsidRPr="007F1943">
        <w:rPr>
          <w:rFonts w:ascii="Arial" w:eastAsia="宋体" w:hAnsi="Arial" w:cs="Arial"/>
          <w:kern w:val="0"/>
          <w:sz w:val="20"/>
          <w:szCs w:val="20"/>
        </w:rPr>
        <w:t>2</w:t>
      </w:r>
      <w:r w:rsidRPr="007F1943">
        <w:rPr>
          <w:rFonts w:ascii="Arial" w:eastAsia="宋体" w:hAnsi="Arial" w:cs="Arial"/>
          <w:kern w:val="0"/>
          <w:sz w:val="20"/>
          <w:szCs w:val="20"/>
        </w:rPr>
        <w:t>小时使用。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10.</w:t>
      </w:r>
      <w:proofErr w:type="gramStart"/>
      <w:r w:rsidRPr="007F1943">
        <w:rPr>
          <w:rFonts w:ascii="Arial" w:eastAsia="宋体" w:hAnsi="Arial" w:cs="Arial"/>
          <w:kern w:val="0"/>
          <w:sz w:val="20"/>
          <w:szCs w:val="20"/>
        </w:rPr>
        <w:t>舍曲林</w:t>
      </w:r>
      <w:proofErr w:type="gramEnd"/>
      <w:r w:rsidRPr="007F1943">
        <w:rPr>
          <w:rFonts w:ascii="Arial" w:eastAsia="宋体" w:hAnsi="Arial" w:cs="Arial"/>
          <w:kern w:val="0"/>
          <w:sz w:val="20"/>
          <w:szCs w:val="20"/>
        </w:rPr>
        <w:t>、氯喹或氯</w:t>
      </w:r>
      <w:proofErr w:type="gramStart"/>
      <w:r w:rsidRPr="007F1943">
        <w:rPr>
          <w:rFonts w:ascii="Arial" w:eastAsia="宋体" w:hAnsi="Arial" w:cs="Arial"/>
          <w:kern w:val="0"/>
          <w:sz w:val="20"/>
          <w:szCs w:val="20"/>
        </w:rPr>
        <w:t>胍</w:t>
      </w:r>
      <w:proofErr w:type="gramEnd"/>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结果：合同可降低本药的作用，升高血清</w:t>
      </w:r>
      <w:r w:rsidRPr="007F1943">
        <w:rPr>
          <w:rFonts w:ascii="Arial" w:eastAsia="宋体" w:hAnsi="Arial" w:cs="Arial"/>
          <w:kern w:val="0"/>
          <w:sz w:val="20"/>
          <w:szCs w:val="20"/>
        </w:rPr>
        <w:t>TSH</w:t>
      </w:r>
      <w:r w:rsidRPr="007F1943">
        <w:rPr>
          <w:rFonts w:ascii="Arial" w:eastAsia="宋体" w:hAnsi="Arial" w:cs="Arial"/>
          <w:kern w:val="0"/>
          <w:sz w:val="20"/>
          <w:szCs w:val="20"/>
        </w:rPr>
        <w:t>的水平。</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11.</w:t>
      </w:r>
      <w:r w:rsidRPr="007F1943">
        <w:rPr>
          <w:rFonts w:ascii="Arial" w:eastAsia="宋体" w:hAnsi="Arial" w:cs="Arial"/>
          <w:kern w:val="0"/>
          <w:sz w:val="20"/>
          <w:szCs w:val="20"/>
        </w:rPr>
        <w:t>丙硫氧嘧啶、糖皮质激素、</w:t>
      </w:r>
      <w:r w:rsidRPr="007F1943">
        <w:rPr>
          <w:rFonts w:ascii="Arial" w:eastAsia="宋体" w:hAnsi="Arial" w:cs="Arial"/>
          <w:kern w:val="0"/>
          <w:sz w:val="20"/>
          <w:szCs w:val="20"/>
        </w:rPr>
        <w:t>β-</w:t>
      </w:r>
      <w:r w:rsidRPr="007F1943">
        <w:rPr>
          <w:rFonts w:ascii="Arial" w:eastAsia="宋体" w:hAnsi="Arial" w:cs="Arial"/>
          <w:kern w:val="0"/>
          <w:sz w:val="20"/>
          <w:szCs w:val="20"/>
        </w:rPr>
        <w:t>拟交感神经药、胺碘酮和含碘造影剂：</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结果：以上药物抑制外周四碘甲腺原氨酸</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w:t>
      </w:r>
      <w:r w:rsidRPr="007F1943">
        <w:rPr>
          <w:rFonts w:ascii="Arial" w:eastAsia="宋体" w:hAnsi="Arial" w:cs="Arial"/>
          <w:kern w:val="0"/>
          <w:sz w:val="20"/>
          <w:szCs w:val="20"/>
        </w:rPr>
        <w:t>向三碘甲腺原氨酸</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3</w:t>
      </w:r>
      <w:r w:rsidRPr="007F1943">
        <w:rPr>
          <w:rFonts w:ascii="Arial" w:eastAsia="宋体" w:hAnsi="Arial" w:cs="Arial"/>
          <w:kern w:val="0"/>
          <w:sz w:val="20"/>
          <w:szCs w:val="20"/>
        </w:rPr>
        <w:t>)</w:t>
      </w:r>
      <w:r w:rsidRPr="007F1943">
        <w:rPr>
          <w:rFonts w:ascii="Arial" w:eastAsia="宋体" w:hAnsi="Arial" w:cs="Arial"/>
          <w:kern w:val="0"/>
          <w:sz w:val="20"/>
          <w:szCs w:val="20"/>
        </w:rPr>
        <w:t>的转化。胺碘酮的含碘量极高，能够引起甲状腺功能亢进和甲状腺功能减退。</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处理：合用时应特别注意可能有未知自律性的结节性甲状腺肿。</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12.</w:t>
      </w:r>
      <w:r w:rsidRPr="007F1943">
        <w:rPr>
          <w:rFonts w:ascii="Arial" w:eastAsia="宋体" w:hAnsi="Arial" w:cs="Arial"/>
          <w:kern w:val="0"/>
          <w:sz w:val="20"/>
          <w:szCs w:val="20"/>
        </w:rPr>
        <w:t>口服抗糖尿病药或胰岛素：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结果：合用可降低该类药物的降血糖效应。</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lastRenderedPageBreak/>
        <w:t>处理：使用本药的初始阶段以及改变剂量时</w:t>
      </w:r>
      <w:r w:rsidRPr="007F1943">
        <w:rPr>
          <w:rFonts w:ascii="Arial" w:eastAsia="宋体" w:hAnsi="Arial" w:cs="Arial"/>
          <w:kern w:val="0"/>
          <w:sz w:val="20"/>
          <w:szCs w:val="20"/>
        </w:rPr>
        <w:t>(</w:t>
      </w:r>
      <w:r w:rsidRPr="007F1943">
        <w:rPr>
          <w:rFonts w:ascii="Arial" w:eastAsia="宋体" w:hAnsi="Arial" w:cs="Arial"/>
          <w:kern w:val="0"/>
          <w:sz w:val="20"/>
          <w:szCs w:val="20"/>
        </w:rPr>
        <w:t>包括停药</w:t>
      </w:r>
      <w:r w:rsidRPr="007F1943">
        <w:rPr>
          <w:rFonts w:ascii="Arial" w:eastAsia="宋体" w:hAnsi="Arial" w:cs="Arial"/>
          <w:kern w:val="0"/>
          <w:sz w:val="20"/>
          <w:szCs w:val="20"/>
        </w:rPr>
        <w:t>)</w:t>
      </w:r>
      <w:r w:rsidRPr="007F1943">
        <w:rPr>
          <w:rFonts w:ascii="Arial" w:eastAsia="宋体" w:hAnsi="Arial" w:cs="Arial"/>
          <w:kern w:val="0"/>
          <w:sz w:val="20"/>
          <w:szCs w:val="20"/>
        </w:rPr>
        <w:t>，需监测糖尿病患者的血糖浓度，以适当调整抗糖尿病药的剂量。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13.</w:t>
      </w:r>
      <w:r w:rsidRPr="007F1943">
        <w:rPr>
          <w:rFonts w:ascii="Arial" w:eastAsia="宋体" w:hAnsi="Arial" w:cs="Arial"/>
          <w:kern w:val="0"/>
          <w:sz w:val="20"/>
          <w:szCs w:val="20"/>
        </w:rPr>
        <w:t>雌激素：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结果：服用含雌二醇成分避孕药的妇女或采用激素替代疗法的绝经妇女对本药的需求量可能会增加。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药物</w:t>
      </w:r>
      <w:r w:rsidRPr="007F1943">
        <w:rPr>
          <w:rFonts w:ascii="Arial" w:eastAsia="宋体" w:hAnsi="Arial" w:cs="Arial"/>
          <w:b/>
          <w:bCs/>
          <w:kern w:val="0"/>
          <w:sz w:val="20"/>
          <w:szCs w:val="20"/>
        </w:rPr>
        <w:t>-</w:t>
      </w:r>
      <w:r w:rsidRPr="007F1943">
        <w:rPr>
          <w:rFonts w:ascii="Arial" w:eastAsia="宋体" w:hAnsi="Arial" w:cs="Arial"/>
          <w:b/>
          <w:bCs/>
          <w:kern w:val="0"/>
          <w:sz w:val="20"/>
          <w:szCs w:val="20"/>
        </w:rPr>
        <w:t>食物相互作用</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含大豆制品：</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结果：含大豆制品可能会降低本药的吸收。</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处理：合用时可能需要调整本药剂量，尤其是在开始或停止使用大豆产品补充营养时。</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【注意事项】</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用药警示</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本药的日剂量应个体化，根据实验室检查及临床检查的结果来确定。除新生儿可快速增加剂量外，一般</w:t>
      </w:r>
      <w:proofErr w:type="gramStart"/>
      <w:r w:rsidRPr="007F1943">
        <w:rPr>
          <w:rFonts w:ascii="Arial" w:eastAsia="宋体" w:hAnsi="Arial" w:cs="Arial"/>
          <w:kern w:val="0"/>
          <w:sz w:val="20"/>
          <w:szCs w:val="20"/>
        </w:rPr>
        <w:t>应从低</w:t>
      </w:r>
      <w:proofErr w:type="gramEnd"/>
      <w:r w:rsidRPr="007F1943">
        <w:rPr>
          <w:rFonts w:ascii="Arial" w:eastAsia="宋体" w:hAnsi="Arial" w:cs="Arial"/>
          <w:kern w:val="0"/>
          <w:sz w:val="20"/>
          <w:szCs w:val="20"/>
        </w:rPr>
        <w:t>剂量开始，每</w:t>
      </w:r>
      <w:r w:rsidRPr="007F1943">
        <w:rPr>
          <w:rFonts w:ascii="Arial" w:eastAsia="宋体" w:hAnsi="Arial" w:cs="Arial"/>
          <w:kern w:val="0"/>
          <w:sz w:val="20"/>
          <w:szCs w:val="20"/>
        </w:rPr>
        <w:t>2-4</w:t>
      </w:r>
      <w:r w:rsidRPr="007F1943">
        <w:rPr>
          <w:rFonts w:ascii="Arial" w:eastAsia="宋体" w:hAnsi="Arial" w:cs="Arial"/>
          <w:kern w:val="0"/>
          <w:sz w:val="20"/>
          <w:szCs w:val="20"/>
        </w:rPr>
        <w:t>周逐渐加量，直至达到足剂量。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一旦确定使用本药治疗，在需更换药物的情况下，也建议根据患者临床反应和实验室检查结果调整剂量。对老年患者、冠心病患者、重度或长期甲状腺功能减退的患者，应特别注意使用甲状腺激素治疗的开始阶段。选择较低的初始剂量并缓慢增加剂量，经过一定时间间隔应频繁监测甲状腺激素情况。经验表明，对于体重较轻的患者及只有一个大的结节性甲状腺肿的患者，低剂量给药即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对甲状腺功能亢进症进行抗甲状腺药物治疗时，可用本药进行补充治疗，不得单独使用本药治疗甲状腺功能亢进症。</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4.</w:t>
      </w:r>
      <w:r w:rsidRPr="007F1943">
        <w:rPr>
          <w:rFonts w:ascii="Arial" w:eastAsia="宋体" w:hAnsi="Arial" w:cs="Arial"/>
          <w:kern w:val="0"/>
          <w:sz w:val="20"/>
          <w:szCs w:val="20"/>
        </w:rPr>
        <w:t>通常情况下，甲状腺功能减退的患者、甲状腺部分或全部切除术后的患者、以及甲状腺肿切除术后为预防甲状腺肿复发的患者应终生用药。合用本药治疗甲状腺功能亢进时，本药的给药周期应与抗甲状腺药物的相同。</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5.</w:t>
      </w:r>
      <w:r w:rsidRPr="007F1943">
        <w:rPr>
          <w:rFonts w:ascii="Arial" w:eastAsia="宋体" w:hAnsi="Arial" w:cs="Arial"/>
          <w:kern w:val="0"/>
          <w:sz w:val="20"/>
          <w:szCs w:val="20"/>
        </w:rPr>
        <w:t>对于良性甲状腺肿，疗程至少</w:t>
      </w:r>
      <w:r w:rsidRPr="007F1943">
        <w:rPr>
          <w:rFonts w:ascii="Arial" w:eastAsia="宋体" w:hAnsi="Arial" w:cs="Arial"/>
          <w:kern w:val="0"/>
          <w:sz w:val="20"/>
          <w:szCs w:val="20"/>
        </w:rPr>
        <w:t>6</w:t>
      </w:r>
      <w:r w:rsidRPr="007F1943">
        <w:rPr>
          <w:rFonts w:ascii="Arial" w:eastAsia="宋体" w:hAnsi="Arial" w:cs="Arial"/>
          <w:kern w:val="0"/>
          <w:sz w:val="20"/>
          <w:szCs w:val="20"/>
        </w:rPr>
        <w:t>个月至</w:t>
      </w:r>
      <w:r w:rsidRPr="007F1943">
        <w:rPr>
          <w:rFonts w:ascii="Arial" w:eastAsia="宋体" w:hAnsi="Arial" w:cs="Arial"/>
          <w:kern w:val="0"/>
          <w:sz w:val="20"/>
          <w:szCs w:val="20"/>
        </w:rPr>
        <w:t>2</w:t>
      </w:r>
      <w:r w:rsidRPr="007F1943">
        <w:rPr>
          <w:rFonts w:ascii="Arial" w:eastAsia="宋体" w:hAnsi="Arial" w:cs="Arial"/>
          <w:kern w:val="0"/>
          <w:sz w:val="20"/>
          <w:szCs w:val="20"/>
        </w:rPr>
        <w:t>年。为避免甲状腺肿的复发，推荐在甲状腺肿缩小后使用低剂量的碘</w:t>
      </w:r>
      <w:r w:rsidRPr="007F1943">
        <w:rPr>
          <w:rFonts w:ascii="Arial" w:eastAsia="宋体" w:hAnsi="Arial" w:cs="Arial"/>
          <w:kern w:val="0"/>
          <w:sz w:val="20"/>
          <w:szCs w:val="20"/>
        </w:rPr>
        <w:t>(100-200μg)</w:t>
      </w:r>
      <w:r w:rsidRPr="007F1943">
        <w:rPr>
          <w:rFonts w:ascii="Arial" w:eastAsia="宋体" w:hAnsi="Arial" w:cs="Arial"/>
          <w:kern w:val="0"/>
          <w:sz w:val="20"/>
          <w:szCs w:val="20"/>
        </w:rPr>
        <w:t>进行预防。若药物治疗不足以缓解甲状腺肿，应考虑使用手术和放射性碘治疗。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6.</w:t>
      </w:r>
      <w:r w:rsidRPr="007F1943">
        <w:rPr>
          <w:rFonts w:ascii="Arial" w:eastAsia="宋体" w:hAnsi="Arial" w:cs="Arial"/>
          <w:kern w:val="0"/>
          <w:sz w:val="20"/>
          <w:szCs w:val="20"/>
        </w:rPr>
        <w:t>对于继发的甲状腺功能减退症，用药前须确定其原因，必要时进行糖皮质激素的补充治疗。</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lastRenderedPageBreak/>
        <w:t>7.</w:t>
      </w:r>
      <w:r w:rsidRPr="007F1943">
        <w:rPr>
          <w:rFonts w:ascii="Arial" w:eastAsia="宋体" w:hAnsi="Arial" w:cs="Arial"/>
          <w:kern w:val="0"/>
          <w:sz w:val="20"/>
          <w:szCs w:val="20"/>
        </w:rPr>
        <w:t>伴有垂体肾上腺轴功能减退或肾上腺皮质功能不全的患者，如需补充甲状腺素，应在使用本药前数日先用肾上腺皮质激素。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8.</w:t>
      </w:r>
      <w:r w:rsidRPr="007F1943">
        <w:rPr>
          <w:rFonts w:ascii="Arial" w:eastAsia="宋体" w:hAnsi="Arial" w:cs="Arial"/>
          <w:kern w:val="0"/>
          <w:sz w:val="20"/>
          <w:szCs w:val="20"/>
        </w:rPr>
        <w:t>如怀疑有甲状腺自律，治疗开始前应进行甲状腺释放激素</w:t>
      </w:r>
      <w:r w:rsidRPr="007F1943">
        <w:rPr>
          <w:rFonts w:ascii="Arial" w:eastAsia="宋体" w:hAnsi="Arial" w:cs="Arial"/>
          <w:kern w:val="0"/>
          <w:sz w:val="20"/>
          <w:szCs w:val="20"/>
        </w:rPr>
        <w:t>(TRH)</w:t>
      </w:r>
      <w:r w:rsidRPr="007F1943">
        <w:rPr>
          <w:rFonts w:ascii="Arial" w:eastAsia="宋体" w:hAnsi="Arial" w:cs="Arial"/>
          <w:kern w:val="0"/>
          <w:sz w:val="20"/>
          <w:szCs w:val="20"/>
        </w:rPr>
        <w:t>检查或得到其抑制闪烁图。</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9.</w:t>
      </w:r>
      <w:r w:rsidRPr="007F1943">
        <w:rPr>
          <w:rFonts w:ascii="Arial" w:eastAsia="宋体" w:hAnsi="Arial" w:cs="Arial"/>
          <w:kern w:val="0"/>
          <w:sz w:val="20"/>
          <w:szCs w:val="20"/>
        </w:rPr>
        <w:t>对于患有甲状腺功能减退症和骨质疏松症风险增加的绝经后妇女，应避免超生理血清水平的左甲状腺素，故此类患者用药时应密切监测其甲状腺功能。</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10.</w:t>
      </w:r>
      <w:r w:rsidRPr="007F1943">
        <w:rPr>
          <w:rFonts w:ascii="Arial" w:eastAsia="宋体" w:hAnsi="Arial" w:cs="Arial"/>
          <w:kern w:val="0"/>
          <w:sz w:val="20"/>
          <w:szCs w:val="20"/>
        </w:rPr>
        <w:t>对病程长，或严重的甲状腺功能减退及黏液性水肿患者使用本药时应谨慎，开始用小剂量，以后缓慢增加至生理替代量。对于黏液性水肿昏迷患者，补充本药时应静脉给予氢化可的松，并予心电监护，以防发生肾上腺危象及室性心律失常。</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11.</w:t>
      </w:r>
      <w:r w:rsidRPr="007F1943">
        <w:rPr>
          <w:rFonts w:ascii="Arial" w:eastAsia="宋体" w:hAnsi="Arial" w:cs="Arial"/>
          <w:kern w:val="0"/>
          <w:sz w:val="20"/>
          <w:szCs w:val="20"/>
        </w:rPr>
        <w:t>与强心苷合用，须相应调整强心苷用量。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用药前后及用药时应当检查或监测</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治疗期间应检测血</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3</w:t>
      </w:r>
      <w:r w:rsidRPr="007F1943">
        <w:rPr>
          <w:rFonts w:ascii="Arial" w:eastAsia="宋体" w:hAnsi="Arial" w:cs="Arial"/>
          <w:kern w:val="0"/>
          <w:sz w:val="20"/>
          <w:szCs w:val="20"/>
        </w:rPr>
        <w:t>、</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或血清游离三碘甲状腺素原氨酸</w:t>
      </w:r>
      <w:r w:rsidRPr="007F1943">
        <w:rPr>
          <w:rFonts w:ascii="Arial" w:eastAsia="宋体" w:hAnsi="Arial" w:cs="Arial"/>
          <w:kern w:val="0"/>
          <w:sz w:val="20"/>
          <w:szCs w:val="20"/>
        </w:rPr>
        <w:t>(FT</w:t>
      </w:r>
      <w:r w:rsidRPr="007F1943">
        <w:rPr>
          <w:rFonts w:ascii="Arial" w:eastAsia="宋体" w:hAnsi="Arial" w:cs="Arial"/>
          <w:kern w:val="0"/>
          <w:sz w:val="20"/>
          <w:szCs w:val="20"/>
          <w:vertAlign w:val="subscript"/>
        </w:rPr>
        <w:t>3</w:t>
      </w:r>
      <w:r w:rsidRPr="007F1943">
        <w:rPr>
          <w:rFonts w:ascii="Arial" w:eastAsia="宋体" w:hAnsi="Arial" w:cs="Arial"/>
          <w:kern w:val="0"/>
          <w:sz w:val="20"/>
          <w:szCs w:val="20"/>
        </w:rPr>
        <w:t>)</w:t>
      </w:r>
      <w:r w:rsidRPr="007F1943">
        <w:rPr>
          <w:rFonts w:ascii="Arial" w:eastAsia="宋体" w:hAnsi="Arial" w:cs="Arial"/>
          <w:kern w:val="0"/>
          <w:sz w:val="20"/>
          <w:szCs w:val="20"/>
        </w:rPr>
        <w:t>、血清游离甲状腺素</w:t>
      </w:r>
      <w:r w:rsidRPr="007F1943">
        <w:rPr>
          <w:rFonts w:ascii="Arial" w:eastAsia="宋体" w:hAnsi="Arial" w:cs="Arial"/>
          <w:kern w:val="0"/>
          <w:sz w:val="20"/>
          <w:szCs w:val="20"/>
        </w:rPr>
        <w:t>(FT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w:t>
      </w:r>
      <w:r w:rsidRPr="007F1943">
        <w:rPr>
          <w:rFonts w:ascii="Arial" w:eastAsia="宋体" w:hAnsi="Arial" w:cs="Arial"/>
          <w:kern w:val="0"/>
          <w:sz w:val="20"/>
          <w:szCs w:val="20"/>
        </w:rPr>
        <w:t>、超敏血清促甲状腺素</w:t>
      </w:r>
      <w:r w:rsidRPr="007F1943">
        <w:rPr>
          <w:rFonts w:ascii="Arial" w:eastAsia="宋体" w:hAnsi="Arial" w:cs="Arial"/>
          <w:kern w:val="0"/>
          <w:sz w:val="20"/>
          <w:szCs w:val="20"/>
        </w:rPr>
        <w:t>(</w:t>
      </w:r>
      <w:r w:rsidRPr="007F1943">
        <w:rPr>
          <w:rFonts w:ascii="Arial" w:eastAsia="宋体" w:hAnsi="Arial" w:cs="Arial"/>
          <w:kern w:val="0"/>
          <w:sz w:val="20"/>
          <w:szCs w:val="20"/>
        </w:rPr>
        <w:t>老年患者应每</w:t>
      </w:r>
      <w:r w:rsidRPr="007F1943">
        <w:rPr>
          <w:rFonts w:ascii="Arial" w:eastAsia="宋体" w:hAnsi="Arial" w:cs="Arial"/>
          <w:kern w:val="0"/>
          <w:sz w:val="20"/>
          <w:szCs w:val="20"/>
        </w:rPr>
        <w:t>3</w:t>
      </w:r>
      <w:r w:rsidRPr="007F1943">
        <w:rPr>
          <w:rFonts w:ascii="Arial" w:eastAsia="宋体" w:hAnsi="Arial" w:cs="Arial"/>
          <w:kern w:val="0"/>
          <w:sz w:val="20"/>
          <w:szCs w:val="20"/>
        </w:rPr>
        <w:t>个月监测</w:t>
      </w:r>
      <w:r w:rsidRPr="007F1943">
        <w:rPr>
          <w:rFonts w:ascii="Arial" w:eastAsia="宋体" w:hAnsi="Arial" w:cs="Arial"/>
          <w:kern w:val="0"/>
          <w:sz w:val="20"/>
          <w:szCs w:val="20"/>
        </w:rPr>
        <w:t>1</w:t>
      </w:r>
      <w:r w:rsidRPr="007F1943">
        <w:rPr>
          <w:rFonts w:ascii="Arial" w:eastAsia="宋体" w:hAnsi="Arial" w:cs="Arial"/>
          <w:kern w:val="0"/>
          <w:sz w:val="20"/>
          <w:szCs w:val="20"/>
        </w:rPr>
        <w:t>次</w:t>
      </w:r>
      <w:r w:rsidRPr="007F1943">
        <w:rPr>
          <w:rFonts w:ascii="Arial" w:eastAsia="宋体" w:hAnsi="Arial" w:cs="Arial"/>
          <w:kern w:val="0"/>
          <w:sz w:val="20"/>
          <w:szCs w:val="20"/>
        </w:rPr>
        <w:t>)</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对合并冠心病、心功能不全或者心动过速性心律不齐的患者必须注意避免使用本药引起的甚至轻度的甲亢症状。因此，应该经常对这些患者进行甲状腺激素水平的监测。</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3.</w:t>
      </w:r>
      <w:r w:rsidRPr="007F1943">
        <w:rPr>
          <w:rFonts w:ascii="Arial" w:eastAsia="宋体" w:hAnsi="Arial" w:cs="Arial"/>
          <w:kern w:val="0"/>
          <w:sz w:val="20"/>
          <w:szCs w:val="20"/>
        </w:rPr>
        <w:t>应监测</w:t>
      </w:r>
      <w:r w:rsidRPr="007F1943">
        <w:rPr>
          <w:rFonts w:ascii="Arial" w:eastAsia="宋体" w:hAnsi="Arial" w:cs="Arial"/>
          <w:kern w:val="0"/>
          <w:sz w:val="20"/>
          <w:szCs w:val="20"/>
        </w:rPr>
        <w:t>TSH</w:t>
      </w:r>
      <w:r w:rsidRPr="007F1943">
        <w:rPr>
          <w:rFonts w:ascii="Arial" w:eastAsia="宋体" w:hAnsi="Arial" w:cs="Arial"/>
          <w:kern w:val="0"/>
          <w:sz w:val="20"/>
          <w:szCs w:val="20"/>
        </w:rPr>
        <w:t>水平，每</w:t>
      </w:r>
      <w:r w:rsidRPr="007F1943">
        <w:rPr>
          <w:rFonts w:ascii="Arial" w:eastAsia="宋体" w:hAnsi="Arial" w:cs="Arial"/>
          <w:kern w:val="0"/>
          <w:sz w:val="20"/>
          <w:szCs w:val="20"/>
        </w:rPr>
        <w:t>6-8</w:t>
      </w:r>
      <w:r w:rsidRPr="007F1943">
        <w:rPr>
          <w:rFonts w:ascii="Arial" w:eastAsia="宋体" w:hAnsi="Arial" w:cs="Arial"/>
          <w:kern w:val="0"/>
          <w:sz w:val="20"/>
          <w:szCs w:val="20"/>
        </w:rPr>
        <w:t>周</w:t>
      </w:r>
      <w:r w:rsidRPr="007F1943">
        <w:rPr>
          <w:rFonts w:ascii="Arial" w:eastAsia="宋体" w:hAnsi="Arial" w:cs="Arial"/>
          <w:kern w:val="0"/>
          <w:sz w:val="20"/>
          <w:szCs w:val="20"/>
        </w:rPr>
        <w:t>1</w:t>
      </w:r>
      <w:r w:rsidRPr="007F1943">
        <w:rPr>
          <w:rFonts w:ascii="Arial" w:eastAsia="宋体" w:hAnsi="Arial" w:cs="Arial"/>
          <w:kern w:val="0"/>
          <w:sz w:val="20"/>
          <w:szCs w:val="20"/>
        </w:rPr>
        <w:t>次，直到</w:t>
      </w:r>
      <w:r w:rsidRPr="007F1943">
        <w:rPr>
          <w:rFonts w:ascii="Arial" w:eastAsia="宋体" w:hAnsi="Arial" w:cs="Arial"/>
          <w:kern w:val="0"/>
          <w:sz w:val="20"/>
          <w:szCs w:val="20"/>
        </w:rPr>
        <w:t>TSH</w:t>
      </w:r>
      <w:r w:rsidRPr="007F1943">
        <w:rPr>
          <w:rFonts w:ascii="Arial" w:eastAsia="宋体" w:hAnsi="Arial" w:cs="Arial"/>
          <w:kern w:val="0"/>
          <w:sz w:val="20"/>
          <w:szCs w:val="20"/>
        </w:rPr>
        <w:t>恢复正常；调整剂量后，每</w:t>
      </w:r>
      <w:r w:rsidRPr="007F1943">
        <w:rPr>
          <w:rFonts w:ascii="Arial" w:eastAsia="宋体" w:hAnsi="Arial" w:cs="Arial"/>
          <w:kern w:val="0"/>
          <w:sz w:val="20"/>
          <w:szCs w:val="20"/>
        </w:rPr>
        <w:t>8-12</w:t>
      </w:r>
      <w:r w:rsidRPr="007F1943">
        <w:rPr>
          <w:rFonts w:ascii="Arial" w:eastAsia="宋体" w:hAnsi="Arial" w:cs="Arial"/>
          <w:kern w:val="0"/>
          <w:sz w:val="20"/>
          <w:szCs w:val="20"/>
        </w:rPr>
        <w:t>周</w:t>
      </w:r>
      <w:r w:rsidRPr="007F1943">
        <w:rPr>
          <w:rFonts w:ascii="Arial" w:eastAsia="宋体" w:hAnsi="Arial" w:cs="Arial"/>
          <w:kern w:val="0"/>
          <w:sz w:val="20"/>
          <w:szCs w:val="20"/>
        </w:rPr>
        <w:t>1</w:t>
      </w:r>
      <w:r w:rsidRPr="007F1943">
        <w:rPr>
          <w:rFonts w:ascii="Arial" w:eastAsia="宋体" w:hAnsi="Arial" w:cs="Arial"/>
          <w:kern w:val="0"/>
          <w:sz w:val="20"/>
          <w:szCs w:val="20"/>
        </w:rPr>
        <w:t>次。</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4.</w:t>
      </w:r>
      <w:r w:rsidRPr="007F1943">
        <w:rPr>
          <w:rFonts w:ascii="Arial" w:eastAsia="宋体" w:hAnsi="Arial" w:cs="Arial"/>
          <w:kern w:val="0"/>
          <w:sz w:val="20"/>
          <w:szCs w:val="20"/>
        </w:rPr>
        <w:t>对婴儿患者应严密监测心脏负荷过重、心律失常和强烈的哺乳愿望。</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5.</w:t>
      </w:r>
      <w:r w:rsidRPr="007F1943">
        <w:rPr>
          <w:rFonts w:ascii="Arial" w:eastAsia="宋体" w:hAnsi="Arial" w:cs="Arial"/>
          <w:kern w:val="0"/>
          <w:sz w:val="20"/>
          <w:szCs w:val="20"/>
        </w:rPr>
        <w:t>对婴幼儿患者，治疗后第</w:t>
      </w:r>
      <w:r w:rsidRPr="007F1943">
        <w:rPr>
          <w:rFonts w:ascii="Arial" w:eastAsia="宋体" w:hAnsi="Arial" w:cs="Arial"/>
          <w:kern w:val="0"/>
          <w:sz w:val="20"/>
          <w:szCs w:val="20"/>
        </w:rPr>
        <w:t>2</w:t>
      </w:r>
      <w:r w:rsidRPr="007F1943">
        <w:rPr>
          <w:rFonts w:ascii="Arial" w:eastAsia="宋体" w:hAnsi="Arial" w:cs="Arial"/>
          <w:kern w:val="0"/>
          <w:sz w:val="20"/>
          <w:szCs w:val="20"/>
        </w:rPr>
        <w:t>周和第</w:t>
      </w:r>
      <w:r w:rsidRPr="007F1943">
        <w:rPr>
          <w:rFonts w:ascii="Arial" w:eastAsia="宋体" w:hAnsi="Arial" w:cs="Arial"/>
          <w:kern w:val="0"/>
          <w:sz w:val="20"/>
          <w:szCs w:val="20"/>
        </w:rPr>
        <w:t>4</w:t>
      </w:r>
      <w:r w:rsidRPr="007F1943">
        <w:rPr>
          <w:rFonts w:ascii="Arial" w:eastAsia="宋体" w:hAnsi="Arial" w:cs="Arial"/>
          <w:kern w:val="0"/>
          <w:sz w:val="20"/>
          <w:szCs w:val="20"/>
        </w:rPr>
        <w:t>周，应监测</w:t>
      </w:r>
      <w:r w:rsidRPr="007F1943">
        <w:rPr>
          <w:rFonts w:ascii="Arial" w:eastAsia="宋体" w:hAnsi="Arial" w:cs="Arial"/>
          <w:kern w:val="0"/>
          <w:sz w:val="20"/>
          <w:szCs w:val="20"/>
        </w:rPr>
        <w:t>TSH</w:t>
      </w:r>
      <w:r w:rsidRPr="007F1943">
        <w:rPr>
          <w:rFonts w:ascii="Arial" w:eastAsia="宋体" w:hAnsi="Arial" w:cs="Arial"/>
          <w:kern w:val="0"/>
          <w:sz w:val="20"/>
          <w:szCs w:val="20"/>
        </w:rPr>
        <w:t>、总</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和游离</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，以后第</w:t>
      </w:r>
      <w:r w:rsidRPr="007F1943">
        <w:rPr>
          <w:rFonts w:ascii="Arial" w:eastAsia="宋体" w:hAnsi="Arial" w:cs="Arial"/>
          <w:kern w:val="0"/>
          <w:sz w:val="20"/>
          <w:szCs w:val="20"/>
        </w:rPr>
        <w:t>1</w:t>
      </w:r>
      <w:r w:rsidRPr="007F1943">
        <w:rPr>
          <w:rFonts w:ascii="Arial" w:eastAsia="宋体" w:hAnsi="Arial" w:cs="Arial"/>
          <w:kern w:val="0"/>
          <w:sz w:val="20"/>
          <w:szCs w:val="20"/>
        </w:rPr>
        <w:t>年的每</w:t>
      </w:r>
      <w:r w:rsidRPr="007F1943">
        <w:rPr>
          <w:rFonts w:ascii="Arial" w:eastAsia="宋体" w:hAnsi="Arial" w:cs="Arial"/>
          <w:kern w:val="0"/>
          <w:sz w:val="20"/>
          <w:szCs w:val="20"/>
        </w:rPr>
        <w:t>1-2</w:t>
      </w:r>
      <w:r w:rsidRPr="007F1943">
        <w:rPr>
          <w:rFonts w:ascii="Arial" w:eastAsia="宋体" w:hAnsi="Arial" w:cs="Arial"/>
          <w:kern w:val="0"/>
          <w:sz w:val="20"/>
          <w:szCs w:val="20"/>
        </w:rPr>
        <w:t>个月、第</w:t>
      </w:r>
      <w:r w:rsidRPr="007F1943">
        <w:rPr>
          <w:rFonts w:ascii="Arial" w:eastAsia="宋体" w:hAnsi="Arial" w:cs="Arial"/>
          <w:kern w:val="0"/>
          <w:sz w:val="20"/>
          <w:szCs w:val="20"/>
        </w:rPr>
        <w:t>1-3</w:t>
      </w:r>
      <w:r w:rsidRPr="007F1943">
        <w:rPr>
          <w:rFonts w:ascii="Arial" w:eastAsia="宋体" w:hAnsi="Arial" w:cs="Arial"/>
          <w:kern w:val="0"/>
          <w:sz w:val="20"/>
          <w:szCs w:val="20"/>
        </w:rPr>
        <w:t>年的每</w:t>
      </w:r>
      <w:r w:rsidRPr="007F1943">
        <w:rPr>
          <w:rFonts w:ascii="Arial" w:eastAsia="宋体" w:hAnsi="Arial" w:cs="Arial"/>
          <w:kern w:val="0"/>
          <w:sz w:val="20"/>
          <w:szCs w:val="20"/>
        </w:rPr>
        <w:t>2-3</w:t>
      </w:r>
      <w:r w:rsidRPr="007F1943">
        <w:rPr>
          <w:rFonts w:ascii="Arial" w:eastAsia="宋体" w:hAnsi="Arial" w:cs="Arial"/>
          <w:kern w:val="0"/>
          <w:sz w:val="20"/>
          <w:szCs w:val="20"/>
        </w:rPr>
        <w:t>个月以及之后的每</w:t>
      </w:r>
      <w:r w:rsidRPr="007F1943">
        <w:rPr>
          <w:rFonts w:ascii="Arial" w:eastAsia="宋体" w:hAnsi="Arial" w:cs="Arial"/>
          <w:kern w:val="0"/>
          <w:sz w:val="20"/>
          <w:szCs w:val="20"/>
        </w:rPr>
        <w:t>3-12</w:t>
      </w:r>
      <w:r w:rsidRPr="007F1943">
        <w:rPr>
          <w:rFonts w:ascii="Arial" w:eastAsia="宋体" w:hAnsi="Arial" w:cs="Arial"/>
          <w:kern w:val="0"/>
          <w:sz w:val="20"/>
          <w:szCs w:val="20"/>
        </w:rPr>
        <w:t>个月都需监测上述指标，直到儿童完成生长发育。</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【国外专科用药信息参考】</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精神状况信息</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对精神状态的影响：本药可能极少引起紧张或失眠。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对精神障碍治疗的影响：本药可增强抗抑郁药的疗效，与三环类抗抑郁药</w:t>
      </w:r>
      <w:r w:rsidRPr="007F1943">
        <w:rPr>
          <w:rFonts w:ascii="Arial" w:eastAsia="宋体" w:hAnsi="Arial" w:cs="Arial"/>
          <w:kern w:val="0"/>
          <w:sz w:val="20"/>
          <w:szCs w:val="20"/>
        </w:rPr>
        <w:t>(TCAs)</w:t>
      </w:r>
      <w:r w:rsidRPr="007F1943">
        <w:rPr>
          <w:rFonts w:ascii="Arial" w:eastAsia="宋体" w:hAnsi="Arial" w:cs="Arial"/>
          <w:kern w:val="0"/>
          <w:sz w:val="20"/>
          <w:szCs w:val="20"/>
        </w:rPr>
        <w:t>合用可能导致两种药物的毒性增加。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心血管注意事项</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lastRenderedPageBreak/>
        <w:t>1.</w:t>
      </w:r>
      <w:r w:rsidRPr="007F1943">
        <w:rPr>
          <w:rFonts w:ascii="Arial" w:eastAsia="宋体" w:hAnsi="Arial" w:cs="Arial"/>
          <w:kern w:val="0"/>
          <w:sz w:val="20"/>
          <w:szCs w:val="20"/>
        </w:rPr>
        <w:t>同时患有甲状腺功能低下和缺血性心脏病的患者应谨慎使用本药。起始替代剂量尽量低，每</w:t>
      </w:r>
      <w:r w:rsidRPr="007F1943">
        <w:rPr>
          <w:rFonts w:ascii="Arial" w:eastAsia="宋体" w:hAnsi="Arial" w:cs="Arial"/>
          <w:kern w:val="0"/>
          <w:sz w:val="20"/>
          <w:szCs w:val="20"/>
        </w:rPr>
        <w:t>3-6</w:t>
      </w:r>
      <w:r w:rsidRPr="007F1943">
        <w:rPr>
          <w:rFonts w:ascii="Arial" w:eastAsia="宋体" w:hAnsi="Arial" w:cs="Arial"/>
          <w:kern w:val="0"/>
          <w:sz w:val="20"/>
          <w:szCs w:val="20"/>
        </w:rPr>
        <w:t>周缓慢增量。治疗期间应密切监测患者是否发生心肌缺血，患有心力衰竭和甲状腺功能低下的患者应密切随访。</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心房颤动患者应考虑到潜在甲状腺功能低下</w:t>
      </w:r>
      <w:r w:rsidRPr="007F1943">
        <w:rPr>
          <w:rFonts w:ascii="Arial" w:eastAsia="宋体" w:hAnsi="Arial" w:cs="Arial"/>
          <w:kern w:val="0"/>
          <w:sz w:val="20"/>
          <w:szCs w:val="20"/>
        </w:rPr>
        <w:t>(</w:t>
      </w:r>
      <w:r w:rsidRPr="007F1943">
        <w:rPr>
          <w:rFonts w:ascii="Arial" w:eastAsia="宋体" w:hAnsi="Arial" w:cs="Arial"/>
          <w:kern w:val="0"/>
          <w:sz w:val="20"/>
          <w:szCs w:val="20"/>
        </w:rPr>
        <w:t>或甲状腺功能亢进</w:t>
      </w:r>
      <w:r w:rsidRPr="007F1943">
        <w:rPr>
          <w:rFonts w:ascii="Arial" w:eastAsia="宋体" w:hAnsi="Arial" w:cs="Arial"/>
          <w:kern w:val="0"/>
          <w:sz w:val="20"/>
          <w:szCs w:val="20"/>
        </w:rPr>
        <w:t>)</w:t>
      </w:r>
      <w:r w:rsidRPr="007F1943">
        <w:rPr>
          <w:rFonts w:ascii="Arial" w:eastAsia="宋体" w:hAnsi="Arial" w:cs="Arial"/>
          <w:kern w:val="0"/>
          <w:sz w:val="20"/>
          <w:szCs w:val="20"/>
        </w:rPr>
        <w:t>，修正潜在的甲状腺功能紊乱可能有助于患者恢复正常的窦性节律。甲状腺功能低下也可能是阻塞性睡眠呼吸暂停的潜在病因。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护理注意事项</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1.</w:t>
      </w:r>
      <w:r w:rsidRPr="007F1943">
        <w:rPr>
          <w:rFonts w:ascii="Arial" w:eastAsia="宋体" w:hAnsi="Arial" w:cs="Arial"/>
          <w:kern w:val="0"/>
          <w:sz w:val="20"/>
          <w:szCs w:val="20"/>
        </w:rPr>
        <w:t>体质评估</w:t>
      </w:r>
      <w:r w:rsidRPr="007F1943">
        <w:rPr>
          <w:rFonts w:ascii="Arial" w:eastAsia="宋体" w:hAnsi="Arial" w:cs="Arial"/>
          <w:kern w:val="0"/>
          <w:sz w:val="20"/>
          <w:szCs w:val="20"/>
        </w:rPr>
        <w:t>/</w:t>
      </w:r>
      <w:r w:rsidRPr="007F1943">
        <w:rPr>
          <w:rFonts w:ascii="Arial" w:eastAsia="宋体" w:hAnsi="Arial" w:cs="Arial"/>
          <w:kern w:val="0"/>
          <w:sz w:val="20"/>
          <w:szCs w:val="20"/>
        </w:rPr>
        <w:t>监测：</w:t>
      </w:r>
      <w:r w:rsidRPr="007F1943">
        <w:rPr>
          <w:rFonts w:ascii="Arial" w:eastAsia="宋体" w:hAnsi="Arial" w:cs="Arial"/>
          <w:kern w:val="0"/>
          <w:sz w:val="20"/>
          <w:szCs w:val="20"/>
        </w:rPr>
        <w:t>(1)</w:t>
      </w:r>
      <w:r w:rsidRPr="007F1943">
        <w:rPr>
          <w:rFonts w:ascii="Arial" w:eastAsia="宋体" w:hAnsi="Arial" w:cs="Arial"/>
          <w:kern w:val="0"/>
          <w:sz w:val="20"/>
          <w:szCs w:val="20"/>
        </w:rPr>
        <w:t>心血管疾病及糖尿病患者慎用本药。</w:t>
      </w:r>
      <w:r w:rsidRPr="007F1943">
        <w:rPr>
          <w:rFonts w:ascii="Arial" w:eastAsia="宋体" w:hAnsi="Arial" w:cs="Arial"/>
          <w:kern w:val="0"/>
          <w:sz w:val="20"/>
          <w:szCs w:val="20"/>
        </w:rPr>
        <w:t>(2)</w:t>
      </w:r>
      <w:r w:rsidRPr="007F1943">
        <w:rPr>
          <w:rFonts w:ascii="Arial" w:eastAsia="宋体" w:hAnsi="Arial" w:cs="Arial"/>
          <w:kern w:val="0"/>
          <w:sz w:val="20"/>
          <w:szCs w:val="20"/>
        </w:rPr>
        <w:t>治疗期间应定期监测甲状腺功能低下或亢进。</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2.</w:t>
      </w:r>
      <w:r w:rsidRPr="007F1943">
        <w:rPr>
          <w:rFonts w:ascii="Arial" w:eastAsia="宋体" w:hAnsi="Arial" w:cs="Arial"/>
          <w:kern w:val="0"/>
          <w:sz w:val="20"/>
          <w:szCs w:val="20"/>
        </w:rPr>
        <w:t>实验室检查：</w:t>
      </w:r>
      <w:r w:rsidRPr="007F1943">
        <w:rPr>
          <w:rFonts w:ascii="Arial" w:eastAsia="宋体" w:hAnsi="Arial" w:cs="Arial"/>
          <w:kern w:val="0"/>
          <w:sz w:val="20"/>
          <w:szCs w:val="20"/>
        </w:rPr>
        <w:t>(1)</w:t>
      </w:r>
      <w:r w:rsidRPr="007F1943">
        <w:rPr>
          <w:rFonts w:ascii="Arial" w:eastAsia="宋体" w:hAnsi="Arial" w:cs="Arial"/>
          <w:kern w:val="0"/>
          <w:sz w:val="20"/>
          <w:szCs w:val="20"/>
        </w:rPr>
        <w:t>监测甲状腺功能</w:t>
      </w:r>
      <w:r w:rsidRPr="007F1943">
        <w:rPr>
          <w:rFonts w:ascii="Arial" w:eastAsia="宋体" w:hAnsi="Arial" w:cs="Arial"/>
          <w:kern w:val="0"/>
          <w:sz w:val="20"/>
          <w:szCs w:val="20"/>
        </w:rPr>
        <w:t>(</w:t>
      </w:r>
      <w:r w:rsidRPr="007F1943">
        <w:rPr>
          <w:rFonts w:ascii="Arial" w:eastAsia="宋体" w:hAnsi="Arial" w:cs="Arial"/>
          <w:kern w:val="0"/>
          <w:sz w:val="20"/>
          <w:szCs w:val="20"/>
        </w:rPr>
        <w:t>血清甲状腺素和促甲状腺素浓度</w:t>
      </w:r>
      <w:r w:rsidRPr="007F1943">
        <w:rPr>
          <w:rFonts w:ascii="Arial" w:eastAsia="宋体" w:hAnsi="Arial" w:cs="Arial"/>
          <w:kern w:val="0"/>
          <w:sz w:val="20"/>
          <w:szCs w:val="20"/>
        </w:rPr>
        <w:t>)</w:t>
      </w:r>
      <w:r w:rsidRPr="007F1943">
        <w:rPr>
          <w:rFonts w:ascii="Arial" w:eastAsia="宋体" w:hAnsi="Arial" w:cs="Arial"/>
          <w:kern w:val="0"/>
          <w:sz w:val="20"/>
          <w:szCs w:val="20"/>
        </w:rPr>
        <w:t>、反</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3</w:t>
      </w:r>
      <w:r w:rsidRPr="007F1943">
        <w:rPr>
          <w:rFonts w:ascii="Arial" w:eastAsia="宋体" w:hAnsi="Arial" w:cs="Arial"/>
          <w:kern w:val="0"/>
          <w:sz w:val="20"/>
          <w:szCs w:val="20"/>
        </w:rPr>
        <w:t>摄取量</w:t>
      </w:r>
      <w:r w:rsidRPr="007F1943">
        <w:rPr>
          <w:rFonts w:ascii="Arial" w:eastAsia="宋体" w:hAnsi="Arial" w:cs="Arial"/>
          <w:kern w:val="0"/>
          <w:sz w:val="20"/>
          <w:szCs w:val="20"/>
        </w:rPr>
        <w:t>(rT</w:t>
      </w:r>
      <w:r w:rsidRPr="007F1943">
        <w:rPr>
          <w:rFonts w:ascii="Arial" w:eastAsia="宋体" w:hAnsi="Arial" w:cs="Arial"/>
          <w:kern w:val="0"/>
          <w:sz w:val="20"/>
          <w:szCs w:val="20"/>
          <w:vertAlign w:val="subscript"/>
        </w:rPr>
        <w:t>3</w:t>
      </w:r>
      <w:r w:rsidRPr="007F1943">
        <w:rPr>
          <w:rFonts w:ascii="Arial" w:eastAsia="宋体" w:hAnsi="Arial" w:cs="Arial"/>
          <w:kern w:val="0"/>
          <w:sz w:val="20"/>
          <w:szCs w:val="20"/>
        </w:rPr>
        <w:t>U)</w:t>
      </w:r>
      <w:r w:rsidRPr="007F1943">
        <w:rPr>
          <w:rFonts w:ascii="Arial" w:eastAsia="宋体" w:hAnsi="Arial" w:cs="Arial"/>
          <w:kern w:val="0"/>
          <w:sz w:val="20"/>
          <w:szCs w:val="20"/>
        </w:rPr>
        <w:t>、游离甲状腺素指数</w:t>
      </w:r>
      <w:r w:rsidRPr="007F1943">
        <w:rPr>
          <w:rFonts w:ascii="Arial" w:eastAsia="宋体" w:hAnsi="Arial" w:cs="Arial"/>
          <w:kern w:val="0"/>
          <w:sz w:val="20"/>
          <w:szCs w:val="20"/>
        </w:rPr>
        <w:t>(FTI)</w:t>
      </w:r>
      <w:r w:rsidRPr="007F1943">
        <w:rPr>
          <w:rFonts w:ascii="Arial" w:eastAsia="宋体" w:hAnsi="Arial" w:cs="Arial"/>
          <w:kern w:val="0"/>
          <w:sz w:val="20"/>
          <w:szCs w:val="20"/>
        </w:rPr>
        <w:t>、</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。无论患者是否处于临床甲状腺功能正常状态，替代治疗的最初几个月患者</w:t>
      </w:r>
      <w:r w:rsidRPr="007F1943">
        <w:rPr>
          <w:rFonts w:ascii="Arial" w:eastAsia="宋体" w:hAnsi="Arial" w:cs="Arial"/>
          <w:kern w:val="0"/>
          <w:sz w:val="20"/>
          <w:szCs w:val="20"/>
        </w:rPr>
        <w:t>TSH</w:t>
      </w:r>
      <w:r w:rsidRPr="007F1943">
        <w:rPr>
          <w:rFonts w:ascii="Arial" w:eastAsia="宋体" w:hAnsi="Arial" w:cs="Arial"/>
          <w:kern w:val="0"/>
          <w:sz w:val="20"/>
          <w:szCs w:val="20"/>
        </w:rPr>
        <w:t>水平可能会升高。</w:t>
      </w:r>
      <w:r w:rsidRPr="007F1943">
        <w:rPr>
          <w:rFonts w:ascii="Arial" w:eastAsia="宋体" w:hAnsi="Arial" w:cs="Arial"/>
          <w:kern w:val="0"/>
          <w:sz w:val="20"/>
          <w:szCs w:val="20"/>
        </w:rPr>
        <w:t>(2)</w:t>
      </w:r>
      <w:r w:rsidRPr="007F1943">
        <w:rPr>
          <w:rFonts w:ascii="Arial" w:eastAsia="宋体" w:hAnsi="Arial" w:cs="Arial"/>
          <w:kern w:val="0"/>
          <w:sz w:val="20"/>
          <w:szCs w:val="20"/>
        </w:rPr>
        <w:t>对于</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水平低下且</w:t>
      </w:r>
      <w:r w:rsidRPr="007F1943">
        <w:rPr>
          <w:rFonts w:ascii="Arial" w:eastAsia="宋体" w:hAnsi="Arial" w:cs="Arial"/>
          <w:kern w:val="0"/>
          <w:sz w:val="20"/>
          <w:szCs w:val="20"/>
        </w:rPr>
        <w:t>TSH</w:t>
      </w:r>
      <w:r w:rsidRPr="007F1943">
        <w:rPr>
          <w:rFonts w:ascii="Arial" w:eastAsia="宋体" w:hAnsi="Arial" w:cs="Arial"/>
          <w:kern w:val="0"/>
          <w:sz w:val="20"/>
          <w:szCs w:val="20"/>
        </w:rPr>
        <w:t>在正常范围的患者，需测量游离</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以决定是否需要继续增加药物剂量。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【药物过量】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过量的表现</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3</w:t>
      </w:r>
      <w:r w:rsidRPr="007F1943">
        <w:rPr>
          <w:rFonts w:ascii="Arial" w:eastAsia="宋体" w:hAnsi="Arial" w:cs="Arial"/>
          <w:kern w:val="0"/>
          <w:sz w:val="20"/>
          <w:szCs w:val="20"/>
        </w:rPr>
        <w:t>水平的升高可有效判断药物过量，比</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或</w:t>
      </w:r>
      <w:r w:rsidRPr="007F1943">
        <w:rPr>
          <w:rFonts w:ascii="Arial" w:eastAsia="宋体" w:hAnsi="Arial" w:cs="Arial"/>
          <w:kern w:val="0"/>
          <w:sz w:val="20"/>
          <w:szCs w:val="20"/>
        </w:rPr>
        <w:t>FT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水平的升高更为可靠。过量会出现代谢率急剧升高的症状，包括强烈的</w:t>
      </w:r>
      <w:r w:rsidRPr="007F1943">
        <w:rPr>
          <w:rFonts w:ascii="Arial" w:eastAsia="宋体" w:hAnsi="Arial" w:cs="Arial"/>
          <w:kern w:val="0"/>
          <w:sz w:val="20"/>
          <w:szCs w:val="20"/>
        </w:rPr>
        <w:t>β-</w:t>
      </w:r>
      <w:r w:rsidRPr="007F1943">
        <w:rPr>
          <w:rFonts w:ascii="Arial" w:eastAsia="宋体" w:hAnsi="Arial" w:cs="Arial"/>
          <w:kern w:val="0"/>
          <w:sz w:val="20"/>
          <w:szCs w:val="20"/>
        </w:rPr>
        <w:t>拟交感神经效应，如心动过速、焦虑、激动和运动过度，</w:t>
      </w:r>
      <w:r w:rsidRPr="007F1943">
        <w:rPr>
          <w:rFonts w:ascii="Arial" w:eastAsia="宋体" w:hAnsi="Arial" w:cs="Arial"/>
          <w:kern w:val="0"/>
          <w:sz w:val="20"/>
          <w:szCs w:val="20"/>
        </w:rPr>
        <w:t>β-</w:t>
      </w:r>
      <w:r w:rsidRPr="007F1943">
        <w:rPr>
          <w:rFonts w:ascii="Arial" w:eastAsia="宋体" w:hAnsi="Arial" w:cs="Arial"/>
          <w:kern w:val="0"/>
          <w:sz w:val="20"/>
          <w:szCs w:val="20"/>
        </w:rPr>
        <w:t>肾上腺素受体阻断药可缓解以上症状。已发生的中毒事件</w:t>
      </w:r>
      <w:r w:rsidRPr="007F1943">
        <w:rPr>
          <w:rFonts w:ascii="Arial" w:eastAsia="宋体" w:hAnsi="Arial" w:cs="Arial"/>
          <w:kern w:val="0"/>
          <w:sz w:val="20"/>
          <w:szCs w:val="20"/>
        </w:rPr>
        <w:t>(</w:t>
      </w:r>
      <w:r w:rsidRPr="007F1943">
        <w:rPr>
          <w:rFonts w:ascii="Arial" w:eastAsia="宋体" w:hAnsi="Arial" w:cs="Arial"/>
          <w:kern w:val="0"/>
          <w:sz w:val="20"/>
          <w:szCs w:val="20"/>
        </w:rPr>
        <w:t>如企图自杀</w:t>
      </w:r>
      <w:r w:rsidRPr="007F1943">
        <w:rPr>
          <w:rFonts w:ascii="Arial" w:eastAsia="宋体" w:hAnsi="Arial" w:cs="Arial"/>
          <w:kern w:val="0"/>
          <w:sz w:val="20"/>
          <w:szCs w:val="20"/>
        </w:rPr>
        <w:t>)</w:t>
      </w:r>
      <w:r w:rsidRPr="007F1943">
        <w:rPr>
          <w:rFonts w:ascii="Arial" w:eastAsia="宋体" w:hAnsi="Arial" w:cs="Arial"/>
          <w:kern w:val="0"/>
          <w:sz w:val="20"/>
          <w:szCs w:val="20"/>
        </w:rPr>
        <w:t>中，人体可以耐受</w:t>
      </w:r>
      <w:r w:rsidRPr="007F1943">
        <w:rPr>
          <w:rFonts w:ascii="Arial" w:eastAsia="宋体" w:hAnsi="Arial" w:cs="Arial"/>
          <w:kern w:val="0"/>
          <w:sz w:val="20"/>
          <w:szCs w:val="20"/>
        </w:rPr>
        <w:t>10mg</w:t>
      </w:r>
      <w:r w:rsidRPr="007F1943">
        <w:rPr>
          <w:rFonts w:ascii="Arial" w:eastAsia="宋体" w:hAnsi="Arial" w:cs="Arial"/>
          <w:kern w:val="0"/>
          <w:sz w:val="20"/>
          <w:szCs w:val="20"/>
        </w:rPr>
        <w:t>而未出现并发症。另有报道表明，长期滥用本药可发生心脏性猝死。</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过量的处理</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极度药物过量可通过血液透析清除。根据药物过量的程度，应停药并进行检查。</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【药理】</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药效学</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甲状腺素由甲状腺合成和分泌，是维持人体正常代谢和发育所必需的激素。它主要包括</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4</w:t>
      </w:r>
      <w:r w:rsidRPr="007F1943">
        <w:rPr>
          <w:rFonts w:ascii="Arial" w:eastAsia="宋体" w:hAnsi="Arial" w:cs="Arial"/>
          <w:kern w:val="0"/>
          <w:sz w:val="20"/>
          <w:szCs w:val="20"/>
        </w:rPr>
        <w:t>和</w:t>
      </w:r>
      <w:r w:rsidRPr="007F1943">
        <w:rPr>
          <w:rFonts w:ascii="Arial" w:eastAsia="宋体" w:hAnsi="Arial" w:cs="Arial"/>
          <w:kern w:val="0"/>
          <w:sz w:val="20"/>
          <w:szCs w:val="20"/>
        </w:rPr>
        <w:t>T</w:t>
      </w:r>
      <w:r w:rsidRPr="007F1943">
        <w:rPr>
          <w:rFonts w:ascii="Arial" w:eastAsia="宋体" w:hAnsi="Arial" w:cs="Arial"/>
          <w:kern w:val="0"/>
          <w:sz w:val="20"/>
          <w:szCs w:val="20"/>
          <w:vertAlign w:val="subscript"/>
        </w:rPr>
        <w:t>3</w:t>
      </w:r>
      <w:r w:rsidRPr="007F1943">
        <w:rPr>
          <w:rFonts w:ascii="Arial" w:eastAsia="宋体" w:hAnsi="Arial" w:cs="Arial"/>
          <w:kern w:val="0"/>
          <w:sz w:val="20"/>
          <w:szCs w:val="20"/>
        </w:rPr>
        <w:t>。本药为人工合成</w:t>
      </w:r>
      <w:proofErr w:type="gramStart"/>
      <w:r w:rsidRPr="007F1943">
        <w:rPr>
          <w:rFonts w:ascii="Arial" w:eastAsia="宋体" w:hAnsi="Arial" w:cs="Arial"/>
          <w:kern w:val="0"/>
          <w:sz w:val="20"/>
          <w:szCs w:val="20"/>
        </w:rPr>
        <w:t>的四碘甲状腺原氨酸</w:t>
      </w:r>
      <w:proofErr w:type="gramEnd"/>
      <w:r w:rsidRPr="007F1943">
        <w:rPr>
          <w:rFonts w:ascii="Arial" w:eastAsia="宋体" w:hAnsi="Arial" w:cs="Arial"/>
          <w:kern w:val="0"/>
          <w:sz w:val="20"/>
          <w:szCs w:val="20"/>
        </w:rPr>
        <w:t>，活性相当于生理甲状腺素。</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本药作用广泛，能促进分解代谢和合成代谢，对人体正常代谢及生长发育有重要影响，对婴幼儿中枢神经系统的发育尤为重要。可通过诱导新生蛋白质</w:t>
      </w:r>
      <w:r w:rsidRPr="007F1943">
        <w:rPr>
          <w:rFonts w:ascii="Arial" w:eastAsia="宋体" w:hAnsi="Arial" w:cs="Arial"/>
          <w:kern w:val="0"/>
          <w:sz w:val="20"/>
          <w:szCs w:val="20"/>
        </w:rPr>
        <w:t>(</w:t>
      </w:r>
      <w:r w:rsidRPr="007F1943">
        <w:rPr>
          <w:rFonts w:ascii="Arial" w:eastAsia="宋体" w:hAnsi="Arial" w:cs="Arial"/>
          <w:kern w:val="0"/>
          <w:sz w:val="20"/>
          <w:szCs w:val="20"/>
        </w:rPr>
        <w:t>包括特殊酶系</w:t>
      </w:r>
      <w:r w:rsidRPr="007F1943">
        <w:rPr>
          <w:rFonts w:ascii="Arial" w:eastAsia="宋体" w:hAnsi="Arial" w:cs="Arial"/>
          <w:kern w:val="0"/>
          <w:sz w:val="20"/>
          <w:szCs w:val="20"/>
        </w:rPr>
        <w:t>)</w:t>
      </w:r>
      <w:r w:rsidRPr="007F1943">
        <w:rPr>
          <w:rFonts w:ascii="Arial" w:eastAsia="宋体" w:hAnsi="Arial" w:cs="Arial"/>
          <w:kern w:val="0"/>
          <w:sz w:val="20"/>
          <w:szCs w:val="20"/>
        </w:rPr>
        <w:t>的合成，调节蛋白</w:t>
      </w:r>
      <w:r w:rsidRPr="007F1943">
        <w:rPr>
          <w:rFonts w:ascii="Arial" w:eastAsia="宋体" w:hAnsi="Arial" w:cs="Arial"/>
          <w:kern w:val="0"/>
          <w:sz w:val="20"/>
          <w:szCs w:val="20"/>
        </w:rPr>
        <w:lastRenderedPageBreak/>
        <w:t>质、碳水化合物和脂肪三大物质以及水、盐和维生素的代谢。由于本药能诱导细胞膜</w:t>
      </w:r>
      <w:r w:rsidRPr="007F1943">
        <w:rPr>
          <w:rFonts w:ascii="Arial" w:eastAsia="宋体" w:hAnsi="Arial" w:cs="Arial"/>
          <w:kern w:val="0"/>
          <w:sz w:val="20"/>
          <w:szCs w:val="20"/>
        </w:rPr>
        <w:t>Na</w:t>
      </w:r>
      <w:r w:rsidRPr="007F1943">
        <w:rPr>
          <w:rFonts w:ascii="Arial" w:eastAsia="宋体" w:hAnsi="Arial" w:cs="Arial"/>
          <w:kern w:val="0"/>
          <w:sz w:val="20"/>
          <w:szCs w:val="20"/>
          <w:vertAlign w:val="superscript"/>
        </w:rPr>
        <w:t>+</w:t>
      </w:r>
      <w:r w:rsidRPr="007F1943">
        <w:rPr>
          <w:rFonts w:ascii="Arial" w:eastAsia="宋体" w:hAnsi="Arial" w:cs="Arial"/>
          <w:kern w:val="0"/>
          <w:sz w:val="20"/>
          <w:szCs w:val="20"/>
        </w:rPr>
        <w:t>-K</w:t>
      </w:r>
      <w:r w:rsidRPr="007F1943">
        <w:rPr>
          <w:rFonts w:ascii="Arial" w:eastAsia="宋体" w:hAnsi="Arial" w:cs="Arial"/>
          <w:kern w:val="0"/>
          <w:sz w:val="20"/>
          <w:szCs w:val="20"/>
          <w:vertAlign w:val="superscript"/>
        </w:rPr>
        <w:t>+</w:t>
      </w:r>
      <w:r w:rsidRPr="007F1943">
        <w:rPr>
          <w:rFonts w:ascii="Arial" w:eastAsia="宋体" w:hAnsi="Arial" w:cs="Arial"/>
          <w:kern w:val="0"/>
          <w:sz w:val="20"/>
          <w:szCs w:val="20"/>
        </w:rPr>
        <w:t>泵的合成并增强其活性，还可使能量代谢增强。</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药动学</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本药口服后由胃肠道吸收，生物利用度为</w:t>
      </w:r>
      <w:r w:rsidRPr="007F1943">
        <w:rPr>
          <w:rFonts w:ascii="Arial" w:eastAsia="宋体" w:hAnsi="Arial" w:cs="Arial"/>
          <w:kern w:val="0"/>
          <w:sz w:val="20"/>
          <w:szCs w:val="20"/>
        </w:rPr>
        <w:t>40%-80%</w:t>
      </w:r>
      <w:r w:rsidRPr="007F1943">
        <w:rPr>
          <w:rFonts w:ascii="Arial" w:eastAsia="宋体" w:hAnsi="Arial" w:cs="Arial"/>
          <w:kern w:val="0"/>
          <w:sz w:val="20"/>
          <w:szCs w:val="20"/>
        </w:rPr>
        <w:t>。用于甲状腺功能减退症的替代治疗时，口服后</w:t>
      </w:r>
      <w:r w:rsidRPr="007F1943">
        <w:rPr>
          <w:rFonts w:ascii="Arial" w:eastAsia="宋体" w:hAnsi="Arial" w:cs="Arial"/>
          <w:kern w:val="0"/>
          <w:sz w:val="20"/>
          <w:szCs w:val="20"/>
        </w:rPr>
        <w:t>1-2</w:t>
      </w:r>
      <w:r w:rsidRPr="007F1943">
        <w:rPr>
          <w:rFonts w:ascii="Arial" w:eastAsia="宋体" w:hAnsi="Arial" w:cs="Arial"/>
          <w:kern w:val="0"/>
          <w:sz w:val="20"/>
          <w:szCs w:val="20"/>
        </w:rPr>
        <w:t>周才能达到最大疗效，停药后作用可持续</w:t>
      </w:r>
      <w:r w:rsidRPr="007F1943">
        <w:rPr>
          <w:rFonts w:ascii="Arial" w:eastAsia="宋体" w:hAnsi="Arial" w:cs="Arial"/>
          <w:kern w:val="0"/>
          <w:sz w:val="20"/>
          <w:szCs w:val="20"/>
        </w:rPr>
        <w:t>1-3</w:t>
      </w:r>
      <w:r w:rsidRPr="007F1943">
        <w:rPr>
          <w:rFonts w:ascii="Arial" w:eastAsia="宋体" w:hAnsi="Arial" w:cs="Arial"/>
          <w:kern w:val="0"/>
          <w:sz w:val="20"/>
          <w:szCs w:val="20"/>
        </w:rPr>
        <w:t>周。本药吸收后</w:t>
      </w:r>
      <w:r w:rsidRPr="007F1943">
        <w:rPr>
          <w:rFonts w:ascii="Arial" w:eastAsia="宋体" w:hAnsi="Arial" w:cs="Arial"/>
          <w:kern w:val="0"/>
          <w:sz w:val="20"/>
          <w:szCs w:val="20"/>
        </w:rPr>
        <w:t>99%</w:t>
      </w:r>
      <w:r w:rsidRPr="007F1943">
        <w:rPr>
          <w:rFonts w:ascii="Arial" w:eastAsia="宋体" w:hAnsi="Arial" w:cs="Arial"/>
          <w:kern w:val="0"/>
          <w:sz w:val="20"/>
          <w:szCs w:val="20"/>
        </w:rPr>
        <w:t>与血浆蛋白结合，也有报道仅</w:t>
      </w:r>
      <w:r w:rsidRPr="007F1943">
        <w:rPr>
          <w:rFonts w:ascii="Arial" w:eastAsia="宋体" w:hAnsi="Arial" w:cs="Arial"/>
          <w:kern w:val="0"/>
          <w:sz w:val="20"/>
          <w:szCs w:val="20"/>
        </w:rPr>
        <w:t>0.03%</w:t>
      </w:r>
      <w:r w:rsidRPr="007F1943">
        <w:rPr>
          <w:rFonts w:ascii="Arial" w:eastAsia="宋体" w:hAnsi="Arial" w:cs="Arial"/>
          <w:kern w:val="0"/>
          <w:sz w:val="20"/>
          <w:szCs w:val="20"/>
        </w:rPr>
        <w:t>以游离形式存在。本药主要以去碘化过程在肝脏部分代谢，主要随尿排泄，部分与葡萄糖醛酸和硫酸结合后随胆汁排泄。甲状腺功能正常时，消除半衰期</w:t>
      </w:r>
      <w:r w:rsidRPr="007F1943">
        <w:rPr>
          <w:rFonts w:ascii="Arial" w:eastAsia="宋体" w:hAnsi="Arial" w:cs="Arial"/>
          <w:kern w:val="0"/>
          <w:sz w:val="20"/>
          <w:szCs w:val="20"/>
        </w:rPr>
        <w:t>6-7</w:t>
      </w:r>
      <w:r w:rsidRPr="007F1943">
        <w:rPr>
          <w:rFonts w:ascii="Arial" w:eastAsia="宋体" w:hAnsi="Arial" w:cs="Arial"/>
          <w:kern w:val="0"/>
          <w:sz w:val="20"/>
          <w:szCs w:val="20"/>
        </w:rPr>
        <w:t>日，甲减时半衰期</w:t>
      </w:r>
      <w:r w:rsidRPr="007F1943">
        <w:rPr>
          <w:rFonts w:ascii="Arial" w:eastAsia="宋体" w:hAnsi="Arial" w:cs="Arial"/>
          <w:kern w:val="0"/>
          <w:sz w:val="20"/>
          <w:szCs w:val="20"/>
        </w:rPr>
        <w:t>9-10</w:t>
      </w:r>
      <w:r w:rsidRPr="007F1943">
        <w:rPr>
          <w:rFonts w:ascii="Arial" w:eastAsia="宋体" w:hAnsi="Arial" w:cs="Arial"/>
          <w:kern w:val="0"/>
          <w:sz w:val="20"/>
          <w:szCs w:val="20"/>
        </w:rPr>
        <w:t>日，甲亢时半衰期</w:t>
      </w:r>
      <w:r w:rsidRPr="007F1943">
        <w:rPr>
          <w:rFonts w:ascii="Arial" w:eastAsia="宋体" w:hAnsi="Arial" w:cs="Arial"/>
          <w:kern w:val="0"/>
          <w:sz w:val="20"/>
          <w:szCs w:val="20"/>
        </w:rPr>
        <w:t>3-4</w:t>
      </w:r>
      <w:r w:rsidRPr="007F1943">
        <w:rPr>
          <w:rFonts w:ascii="Arial" w:eastAsia="宋体" w:hAnsi="Arial" w:cs="Arial"/>
          <w:kern w:val="0"/>
          <w:sz w:val="20"/>
          <w:szCs w:val="20"/>
        </w:rPr>
        <w:t>日。</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遗传、生殖毒性与致癌性</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遗传毒性</w:t>
      </w:r>
      <w:r w:rsidRPr="007F1943">
        <w:rPr>
          <w:rFonts w:ascii="Arial" w:eastAsia="宋体" w:hAnsi="Arial" w:cs="Arial"/>
          <w:kern w:val="0"/>
          <w:sz w:val="20"/>
          <w:szCs w:val="20"/>
        </w:rPr>
        <w:t xml:space="preserve">  </w:t>
      </w:r>
      <w:proofErr w:type="gramStart"/>
      <w:r w:rsidRPr="007F1943">
        <w:rPr>
          <w:rFonts w:ascii="Arial" w:eastAsia="宋体" w:hAnsi="Arial" w:cs="Arial"/>
          <w:kern w:val="0"/>
          <w:sz w:val="20"/>
          <w:szCs w:val="20"/>
        </w:rPr>
        <w:t>尚无本药致突变</w:t>
      </w:r>
      <w:proofErr w:type="gramEnd"/>
      <w:r w:rsidRPr="007F1943">
        <w:rPr>
          <w:rFonts w:ascii="Arial" w:eastAsia="宋体" w:hAnsi="Arial" w:cs="Arial"/>
          <w:kern w:val="0"/>
          <w:sz w:val="20"/>
          <w:szCs w:val="20"/>
        </w:rPr>
        <w:t>的资料，亦无迹象表明甲状腺激素会引起基因组改变从而对后代产生损害。</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生殖毒性</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临床试验表明，在怀孕不同时期应用本药，对胎儿无毒性作用，也未引起畸形。尚无本</w:t>
      </w:r>
      <w:proofErr w:type="gramStart"/>
      <w:r w:rsidRPr="007F1943">
        <w:rPr>
          <w:rFonts w:ascii="Arial" w:eastAsia="宋体" w:hAnsi="Arial" w:cs="Arial"/>
          <w:kern w:val="0"/>
          <w:sz w:val="20"/>
          <w:szCs w:val="20"/>
        </w:rPr>
        <w:t>药损害</w:t>
      </w:r>
      <w:proofErr w:type="gramEnd"/>
      <w:r w:rsidRPr="007F1943">
        <w:rPr>
          <w:rFonts w:ascii="Arial" w:eastAsia="宋体" w:hAnsi="Arial" w:cs="Arial"/>
          <w:kern w:val="0"/>
          <w:sz w:val="20"/>
          <w:szCs w:val="20"/>
        </w:rPr>
        <w:t>男性或女性生育力的报道。</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致癌性</w:t>
      </w:r>
      <w:r w:rsidRPr="007F1943">
        <w:rPr>
          <w:rFonts w:ascii="Arial" w:eastAsia="宋体" w:hAnsi="Arial" w:cs="Arial"/>
          <w:kern w:val="0"/>
          <w:sz w:val="20"/>
          <w:szCs w:val="20"/>
        </w:rPr>
        <w:t xml:space="preserve">  </w:t>
      </w:r>
      <w:r w:rsidRPr="007F1943">
        <w:rPr>
          <w:rFonts w:ascii="Arial" w:eastAsia="宋体" w:hAnsi="Arial" w:cs="Arial"/>
          <w:kern w:val="0"/>
          <w:sz w:val="20"/>
          <w:szCs w:val="20"/>
        </w:rPr>
        <w:t>尚无长期动物试验以评价本药致癌性的资料。</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【制剂与规格】</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左</w:t>
      </w:r>
      <w:proofErr w:type="gramStart"/>
      <w:r w:rsidRPr="007F1943">
        <w:rPr>
          <w:rFonts w:ascii="Arial" w:eastAsia="宋体" w:hAnsi="Arial" w:cs="Arial"/>
          <w:kern w:val="0"/>
          <w:sz w:val="20"/>
          <w:szCs w:val="20"/>
        </w:rPr>
        <w:t>甲状腺素钠片</w:t>
      </w:r>
      <w:proofErr w:type="gramEnd"/>
      <w:r w:rsidRPr="007F1943">
        <w:rPr>
          <w:rFonts w:ascii="Arial" w:eastAsia="宋体" w:hAnsi="Arial" w:cs="Arial"/>
          <w:kern w:val="0"/>
          <w:sz w:val="20"/>
          <w:szCs w:val="20"/>
        </w:rPr>
        <w:t xml:space="preserve">  (1)25μg</w:t>
      </w:r>
      <w:r w:rsidRPr="007F1943">
        <w:rPr>
          <w:rFonts w:ascii="Arial" w:eastAsia="宋体" w:hAnsi="Arial" w:cs="Arial"/>
          <w:kern w:val="0"/>
          <w:sz w:val="20"/>
          <w:szCs w:val="20"/>
        </w:rPr>
        <w:t>。</w:t>
      </w:r>
      <w:r w:rsidRPr="007F1943">
        <w:rPr>
          <w:rFonts w:ascii="Arial" w:eastAsia="宋体" w:hAnsi="Arial" w:cs="Arial"/>
          <w:kern w:val="0"/>
          <w:sz w:val="20"/>
          <w:szCs w:val="20"/>
        </w:rPr>
        <w:t>(2)50μg</w:t>
      </w:r>
      <w:r w:rsidRPr="007F1943">
        <w:rPr>
          <w:rFonts w:ascii="Arial" w:eastAsia="宋体" w:hAnsi="Arial" w:cs="Arial"/>
          <w:kern w:val="0"/>
          <w:sz w:val="20"/>
          <w:szCs w:val="20"/>
        </w:rPr>
        <w:t>。</w:t>
      </w:r>
      <w:r w:rsidRPr="007F1943">
        <w:rPr>
          <w:rFonts w:ascii="Arial" w:eastAsia="宋体" w:hAnsi="Arial" w:cs="Arial"/>
          <w:kern w:val="0"/>
          <w:sz w:val="20"/>
          <w:szCs w:val="20"/>
        </w:rPr>
        <w:t>(3)100μg</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左</w:t>
      </w:r>
      <w:proofErr w:type="gramStart"/>
      <w:r w:rsidRPr="007F1943">
        <w:rPr>
          <w:rFonts w:ascii="Arial" w:eastAsia="宋体" w:hAnsi="Arial" w:cs="Arial"/>
          <w:kern w:val="0"/>
          <w:sz w:val="20"/>
          <w:szCs w:val="20"/>
        </w:rPr>
        <w:t>甲状腺素钠软胶囊</w:t>
      </w:r>
      <w:proofErr w:type="gramEnd"/>
      <w:r w:rsidRPr="007F1943">
        <w:rPr>
          <w:rFonts w:ascii="Arial" w:eastAsia="宋体" w:hAnsi="Arial" w:cs="Arial"/>
          <w:kern w:val="0"/>
          <w:sz w:val="20"/>
          <w:szCs w:val="20"/>
        </w:rPr>
        <w:t xml:space="preserve">  (1)13μg</w:t>
      </w:r>
      <w:r w:rsidRPr="007F1943">
        <w:rPr>
          <w:rFonts w:ascii="Arial" w:eastAsia="宋体" w:hAnsi="Arial" w:cs="Arial"/>
          <w:kern w:val="0"/>
          <w:sz w:val="20"/>
          <w:szCs w:val="20"/>
        </w:rPr>
        <w:t>。</w:t>
      </w:r>
      <w:r w:rsidRPr="007F1943">
        <w:rPr>
          <w:rFonts w:ascii="Arial" w:eastAsia="宋体" w:hAnsi="Arial" w:cs="Arial"/>
          <w:kern w:val="0"/>
          <w:sz w:val="20"/>
          <w:szCs w:val="20"/>
        </w:rPr>
        <w:t>(2)25μg</w:t>
      </w:r>
      <w:r w:rsidRPr="007F1943">
        <w:rPr>
          <w:rFonts w:ascii="Arial" w:eastAsia="宋体" w:hAnsi="Arial" w:cs="Arial"/>
          <w:kern w:val="0"/>
          <w:sz w:val="20"/>
          <w:szCs w:val="20"/>
        </w:rPr>
        <w:t>。</w:t>
      </w:r>
      <w:r w:rsidRPr="007F1943">
        <w:rPr>
          <w:rFonts w:ascii="Arial" w:eastAsia="宋体" w:hAnsi="Arial" w:cs="Arial"/>
          <w:kern w:val="0"/>
          <w:sz w:val="20"/>
          <w:szCs w:val="20"/>
        </w:rPr>
        <w:t>(3)50μg</w:t>
      </w:r>
      <w:r w:rsidRPr="007F1943">
        <w:rPr>
          <w:rFonts w:ascii="Arial" w:eastAsia="宋体" w:hAnsi="Arial" w:cs="Arial"/>
          <w:kern w:val="0"/>
          <w:sz w:val="20"/>
          <w:szCs w:val="20"/>
        </w:rPr>
        <w:t>。</w:t>
      </w:r>
      <w:r w:rsidRPr="007F1943">
        <w:rPr>
          <w:rFonts w:ascii="Arial" w:eastAsia="宋体" w:hAnsi="Arial" w:cs="Arial"/>
          <w:kern w:val="0"/>
          <w:sz w:val="20"/>
          <w:szCs w:val="20"/>
        </w:rPr>
        <w:t>(4)75μg</w:t>
      </w:r>
      <w:r w:rsidRPr="007F1943">
        <w:rPr>
          <w:rFonts w:ascii="Arial" w:eastAsia="宋体" w:hAnsi="Arial" w:cs="Arial"/>
          <w:kern w:val="0"/>
          <w:sz w:val="20"/>
          <w:szCs w:val="20"/>
        </w:rPr>
        <w:t>。</w:t>
      </w:r>
      <w:r w:rsidRPr="007F1943">
        <w:rPr>
          <w:rFonts w:ascii="Arial" w:eastAsia="宋体" w:hAnsi="Arial" w:cs="Arial"/>
          <w:kern w:val="0"/>
          <w:sz w:val="20"/>
          <w:szCs w:val="20"/>
        </w:rPr>
        <w:t>(5)100μg</w:t>
      </w:r>
      <w:r w:rsidRPr="007F1943">
        <w:rPr>
          <w:rFonts w:ascii="Arial" w:eastAsia="宋体" w:hAnsi="Arial" w:cs="Arial"/>
          <w:kern w:val="0"/>
          <w:sz w:val="20"/>
          <w:szCs w:val="20"/>
        </w:rPr>
        <w:t>。</w:t>
      </w:r>
      <w:r w:rsidRPr="007F1943">
        <w:rPr>
          <w:rFonts w:ascii="Arial" w:eastAsia="宋体" w:hAnsi="Arial" w:cs="Arial"/>
          <w:kern w:val="0"/>
          <w:sz w:val="20"/>
          <w:szCs w:val="20"/>
        </w:rPr>
        <w:t>(6)125μg</w:t>
      </w:r>
      <w:r w:rsidRPr="007F1943">
        <w:rPr>
          <w:rFonts w:ascii="Arial" w:eastAsia="宋体" w:hAnsi="Arial" w:cs="Arial"/>
          <w:kern w:val="0"/>
          <w:sz w:val="20"/>
          <w:szCs w:val="20"/>
        </w:rPr>
        <w:t>。</w:t>
      </w:r>
      <w:r w:rsidRPr="007F1943">
        <w:rPr>
          <w:rFonts w:ascii="Arial" w:eastAsia="宋体" w:hAnsi="Arial" w:cs="Arial"/>
          <w:kern w:val="0"/>
          <w:sz w:val="20"/>
          <w:szCs w:val="20"/>
        </w:rPr>
        <w:t>(7)150μg</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左甲状腺素钠注射液</w:t>
      </w:r>
      <w:r w:rsidRPr="007F1943">
        <w:rPr>
          <w:rFonts w:ascii="Arial" w:eastAsia="宋体" w:hAnsi="Arial" w:cs="Arial"/>
          <w:kern w:val="0"/>
          <w:sz w:val="20"/>
          <w:szCs w:val="20"/>
        </w:rPr>
        <w:t xml:space="preserve">  (1)1ml:100μg</w:t>
      </w:r>
      <w:r w:rsidRPr="007F1943">
        <w:rPr>
          <w:rFonts w:ascii="Arial" w:eastAsia="宋体" w:hAnsi="Arial" w:cs="Arial"/>
          <w:kern w:val="0"/>
          <w:sz w:val="20"/>
          <w:szCs w:val="20"/>
        </w:rPr>
        <w:t>。</w:t>
      </w:r>
      <w:r w:rsidRPr="007F1943">
        <w:rPr>
          <w:rFonts w:ascii="Arial" w:eastAsia="宋体" w:hAnsi="Arial" w:cs="Arial"/>
          <w:kern w:val="0"/>
          <w:sz w:val="20"/>
          <w:szCs w:val="20"/>
        </w:rPr>
        <w:t>(2)2ml:200μg</w:t>
      </w:r>
      <w:r w:rsidRPr="007F1943">
        <w:rPr>
          <w:rFonts w:ascii="Arial" w:eastAsia="宋体" w:hAnsi="Arial" w:cs="Arial"/>
          <w:kern w:val="0"/>
          <w:sz w:val="20"/>
          <w:szCs w:val="20"/>
        </w:rPr>
        <w:t>。</w:t>
      </w:r>
      <w:r w:rsidRPr="007F1943">
        <w:rPr>
          <w:rFonts w:ascii="Arial" w:eastAsia="宋体" w:hAnsi="Arial" w:cs="Arial"/>
          <w:kern w:val="0"/>
          <w:sz w:val="20"/>
          <w:szCs w:val="20"/>
        </w:rPr>
        <w:t>(3)5ml:500μg</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注射用左甲状腺素钠</w:t>
      </w:r>
      <w:r w:rsidRPr="007F1943">
        <w:rPr>
          <w:rFonts w:ascii="Arial" w:eastAsia="宋体" w:hAnsi="Arial" w:cs="Arial"/>
          <w:kern w:val="0"/>
          <w:sz w:val="20"/>
          <w:szCs w:val="20"/>
        </w:rPr>
        <w:t xml:space="preserve">  (1)100μg</w:t>
      </w:r>
      <w:r w:rsidRPr="007F1943">
        <w:rPr>
          <w:rFonts w:ascii="Arial" w:eastAsia="宋体" w:hAnsi="Arial" w:cs="Arial"/>
          <w:kern w:val="0"/>
          <w:sz w:val="20"/>
          <w:szCs w:val="20"/>
        </w:rPr>
        <w:t>。</w:t>
      </w:r>
      <w:r w:rsidRPr="007F1943">
        <w:rPr>
          <w:rFonts w:ascii="Arial" w:eastAsia="宋体" w:hAnsi="Arial" w:cs="Arial"/>
          <w:kern w:val="0"/>
          <w:sz w:val="20"/>
          <w:szCs w:val="20"/>
        </w:rPr>
        <w:t>(2)200μg</w:t>
      </w:r>
      <w:r w:rsidRPr="007F1943">
        <w:rPr>
          <w:rFonts w:ascii="Arial" w:eastAsia="宋体" w:hAnsi="Arial" w:cs="Arial"/>
          <w:kern w:val="0"/>
          <w:sz w:val="20"/>
          <w:szCs w:val="20"/>
        </w:rPr>
        <w:t>。</w:t>
      </w:r>
      <w:r w:rsidRPr="007F1943">
        <w:rPr>
          <w:rFonts w:ascii="Arial" w:eastAsia="宋体" w:hAnsi="Arial" w:cs="Arial"/>
          <w:kern w:val="0"/>
          <w:sz w:val="20"/>
          <w:szCs w:val="20"/>
        </w:rPr>
        <w:t>(3)500μg</w:t>
      </w:r>
      <w:r w:rsidRPr="007F1943">
        <w:rPr>
          <w:rFonts w:ascii="Arial" w:eastAsia="宋体" w:hAnsi="Arial" w:cs="Arial"/>
          <w:kern w:val="0"/>
          <w:sz w:val="20"/>
          <w:szCs w:val="20"/>
        </w:rPr>
        <w:t>。</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b/>
          <w:bCs/>
          <w:kern w:val="0"/>
          <w:sz w:val="20"/>
          <w:szCs w:val="20"/>
        </w:rPr>
        <w:t>【贮藏】</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片剂：</w:t>
      </w:r>
      <w:r w:rsidRPr="007F1943">
        <w:rPr>
          <w:rFonts w:ascii="Arial" w:eastAsia="宋体" w:hAnsi="Arial" w:cs="Arial"/>
          <w:kern w:val="0"/>
          <w:sz w:val="20"/>
          <w:szCs w:val="20"/>
        </w:rPr>
        <w:t>25</w:t>
      </w: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以下干燥、避光处保存。</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软胶囊：</w:t>
      </w:r>
      <w:r w:rsidRPr="007F1943">
        <w:rPr>
          <w:rFonts w:ascii="Arial" w:eastAsia="宋体" w:hAnsi="Arial" w:cs="Arial"/>
          <w:kern w:val="0"/>
          <w:sz w:val="20"/>
          <w:szCs w:val="20"/>
        </w:rPr>
        <w:t>25</w:t>
      </w: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(15-30</w:t>
      </w: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w:t>
      </w:r>
      <w:r w:rsidRPr="007F1943">
        <w:rPr>
          <w:rFonts w:ascii="Arial" w:eastAsia="宋体" w:hAnsi="Arial" w:cs="Arial"/>
          <w:kern w:val="0"/>
          <w:sz w:val="20"/>
          <w:szCs w:val="20"/>
        </w:rPr>
        <w:t>避光、防潮保存。</w:t>
      </w:r>
    </w:p>
    <w:p w:rsidR="007F1943" w:rsidRPr="007F1943" w:rsidRDefault="007F1943" w:rsidP="007F1943">
      <w:pPr>
        <w:widowControl/>
        <w:spacing w:before="150" w:after="150" w:line="336" w:lineRule="auto"/>
        <w:jc w:val="left"/>
        <w:rPr>
          <w:rFonts w:ascii="Arial" w:eastAsia="宋体" w:hAnsi="Arial" w:cs="Arial"/>
          <w:kern w:val="0"/>
          <w:sz w:val="20"/>
          <w:szCs w:val="20"/>
        </w:rPr>
      </w:pPr>
      <w:r w:rsidRPr="007F1943">
        <w:rPr>
          <w:rFonts w:ascii="Arial" w:eastAsia="宋体" w:hAnsi="Arial" w:cs="Arial"/>
          <w:kern w:val="0"/>
          <w:sz w:val="20"/>
          <w:szCs w:val="20"/>
        </w:rPr>
        <w:t>粉针剂：</w:t>
      </w:r>
      <w:r w:rsidRPr="007F1943">
        <w:rPr>
          <w:rFonts w:ascii="Arial" w:eastAsia="宋体" w:hAnsi="Arial" w:cs="Arial"/>
          <w:kern w:val="0"/>
          <w:sz w:val="20"/>
          <w:szCs w:val="20"/>
        </w:rPr>
        <w:t>20-25</w:t>
      </w:r>
      <w:r w:rsidRPr="007F1943">
        <w:rPr>
          <w:rFonts w:ascii="微软雅黑" w:eastAsia="微软雅黑" w:hAnsi="微软雅黑" w:cs="微软雅黑" w:hint="eastAsia"/>
          <w:kern w:val="0"/>
          <w:sz w:val="20"/>
          <w:szCs w:val="20"/>
        </w:rPr>
        <w:t>℃</w:t>
      </w:r>
      <w:r w:rsidRPr="007F1943">
        <w:rPr>
          <w:rFonts w:ascii="Arial" w:eastAsia="宋体" w:hAnsi="Arial" w:cs="Arial"/>
          <w:kern w:val="0"/>
          <w:sz w:val="20"/>
          <w:szCs w:val="20"/>
        </w:rPr>
        <w:t>避光保存。</w:t>
      </w:r>
    </w:p>
    <w:p w:rsidR="007F1943" w:rsidRPr="007F1943" w:rsidRDefault="007F1943" w:rsidP="007F1943">
      <w:pPr>
        <w:widowControl/>
        <w:jc w:val="center"/>
        <w:rPr>
          <w:rFonts w:ascii="Arial" w:eastAsia="宋体" w:hAnsi="Arial" w:cs="Arial"/>
          <w:kern w:val="0"/>
          <w:sz w:val="20"/>
          <w:szCs w:val="20"/>
        </w:rPr>
      </w:pPr>
      <w:r w:rsidRPr="007F1943">
        <w:rPr>
          <w:rFonts w:ascii="Arial" w:eastAsia="宋体" w:hAnsi="Arial" w:cs="Arial"/>
          <w:kern w:val="0"/>
          <w:sz w:val="20"/>
          <w:szCs w:val="20"/>
        </w:rPr>
        <w:lastRenderedPageBreak/>
        <w:t>使用</w:t>
      </w:r>
      <w:proofErr w:type="spellStart"/>
      <w:r w:rsidRPr="007F1943">
        <w:rPr>
          <w:rFonts w:ascii="Arial" w:eastAsia="宋体" w:hAnsi="Arial" w:cs="Arial"/>
          <w:kern w:val="0"/>
          <w:sz w:val="20"/>
          <w:szCs w:val="20"/>
        </w:rPr>
        <w:t>UpToDate</w:t>
      </w:r>
      <w:proofErr w:type="spellEnd"/>
      <w:r w:rsidRPr="007F1943">
        <w:rPr>
          <w:rFonts w:ascii="Arial" w:eastAsia="宋体" w:hAnsi="Arial" w:cs="Arial"/>
          <w:kern w:val="0"/>
          <w:sz w:val="20"/>
          <w:szCs w:val="20"/>
        </w:rPr>
        <w:t>临床顾问须遵循</w:t>
      </w:r>
      <w:hyperlink r:id="rId4" w:tgtFrame="_blank" w:history="1">
        <w:r w:rsidRPr="007F1943">
          <w:rPr>
            <w:rFonts w:ascii="Arial" w:eastAsia="宋体" w:hAnsi="Arial" w:cs="Arial"/>
            <w:color w:val="336633"/>
            <w:kern w:val="0"/>
            <w:sz w:val="20"/>
            <w:szCs w:val="20"/>
            <w:u w:val="single"/>
          </w:rPr>
          <w:t>用户协议</w:t>
        </w:r>
      </w:hyperlink>
      <w:r w:rsidRPr="007F1943">
        <w:rPr>
          <w:rFonts w:ascii="Arial" w:eastAsia="宋体" w:hAnsi="Arial" w:cs="Arial"/>
          <w:kern w:val="0"/>
          <w:sz w:val="20"/>
          <w:szCs w:val="20"/>
        </w:rPr>
        <w:t>。</w:t>
      </w:r>
      <w:r w:rsidRPr="007F1943">
        <w:rPr>
          <w:rFonts w:ascii="Arial" w:eastAsia="宋体" w:hAnsi="Arial" w:cs="Arial"/>
          <w:kern w:val="0"/>
          <w:sz w:val="20"/>
          <w:szCs w:val="20"/>
        </w:rPr>
        <w:t xml:space="preserve"> </w:t>
      </w:r>
    </w:p>
    <w:p w:rsidR="007F1943" w:rsidRPr="007F1943" w:rsidRDefault="007F1943" w:rsidP="007F1943">
      <w:pPr>
        <w:widowControl/>
        <w:jc w:val="left"/>
        <w:rPr>
          <w:rFonts w:ascii="Arial" w:eastAsia="宋体" w:hAnsi="Arial" w:cs="Arial"/>
          <w:kern w:val="0"/>
          <w:sz w:val="20"/>
          <w:szCs w:val="20"/>
        </w:rPr>
      </w:pPr>
      <w:r w:rsidRPr="007F1943">
        <w:rPr>
          <w:rFonts w:ascii="Arial" w:eastAsia="宋体" w:hAnsi="Arial" w:cs="Arial"/>
          <w:kern w:val="0"/>
          <w:sz w:val="20"/>
          <w:szCs w:val="20"/>
        </w:rPr>
        <w:t>专题</w:t>
      </w:r>
      <w:r w:rsidRPr="007F1943">
        <w:rPr>
          <w:rFonts w:ascii="Arial" w:eastAsia="宋体" w:hAnsi="Arial" w:cs="Arial"/>
          <w:kern w:val="0"/>
          <w:sz w:val="20"/>
          <w:szCs w:val="20"/>
        </w:rPr>
        <w:t xml:space="preserve"> 93994 </w:t>
      </w:r>
      <w:r w:rsidRPr="007F1943">
        <w:rPr>
          <w:rFonts w:ascii="Arial" w:eastAsia="宋体" w:hAnsi="Arial" w:cs="Arial"/>
          <w:kern w:val="0"/>
          <w:sz w:val="20"/>
          <w:szCs w:val="20"/>
        </w:rPr>
        <w:t>版本</w:t>
      </w:r>
      <w:r w:rsidRPr="007F1943">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CD"/>
    <w:rsid w:val="0048715B"/>
    <w:rsid w:val="00792049"/>
    <w:rsid w:val="007F1943"/>
    <w:rsid w:val="00AA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DBA05-E972-40C0-B114-36CDCF94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7F1943"/>
    <w:rPr>
      <w:b/>
      <w:bCs/>
    </w:rPr>
  </w:style>
  <w:style w:type="character" w:customStyle="1" w:styleId="h22">
    <w:name w:val="h22"/>
    <w:basedOn w:val="a0"/>
    <w:rsid w:val="007F1943"/>
    <w:rPr>
      <w:b/>
      <w:bCs/>
    </w:rPr>
  </w:style>
  <w:style w:type="character" w:customStyle="1" w:styleId="nowrap1">
    <w:name w:val="nowrap1"/>
    <w:basedOn w:val="a0"/>
    <w:rsid w:val="007F1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714245">
      <w:bodyDiv w:val="1"/>
      <w:marLeft w:val="0"/>
      <w:marRight w:val="0"/>
      <w:marTop w:val="0"/>
      <w:marBottom w:val="0"/>
      <w:divBdr>
        <w:top w:val="none" w:sz="0" w:space="0" w:color="auto"/>
        <w:left w:val="none" w:sz="0" w:space="0" w:color="auto"/>
        <w:bottom w:val="none" w:sz="0" w:space="0" w:color="auto"/>
        <w:right w:val="none" w:sz="0" w:space="0" w:color="auto"/>
      </w:divBdr>
      <w:divsChild>
        <w:div w:id="574977805">
          <w:marLeft w:val="0"/>
          <w:marRight w:val="0"/>
          <w:marTop w:val="0"/>
          <w:marBottom w:val="0"/>
          <w:divBdr>
            <w:top w:val="none" w:sz="0" w:space="0" w:color="auto"/>
            <w:left w:val="none" w:sz="0" w:space="0" w:color="auto"/>
            <w:bottom w:val="none" w:sz="0" w:space="0" w:color="auto"/>
            <w:right w:val="none" w:sz="0" w:space="0" w:color="auto"/>
          </w:divBdr>
          <w:divsChild>
            <w:div w:id="1792238573">
              <w:marLeft w:val="0"/>
              <w:marRight w:val="0"/>
              <w:marTop w:val="0"/>
              <w:marBottom w:val="0"/>
              <w:divBdr>
                <w:top w:val="none" w:sz="0" w:space="0" w:color="auto"/>
                <w:left w:val="none" w:sz="0" w:space="0" w:color="auto"/>
                <w:bottom w:val="none" w:sz="0" w:space="0" w:color="auto"/>
                <w:right w:val="none" w:sz="0" w:space="0" w:color="auto"/>
              </w:divBdr>
              <w:divsChild>
                <w:div w:id="1647974925">
                  <w:marLeft w:val="450"/>
                  <w:marRight w:val="900"/>
                  <w:marTop w:val="450"/>
                  <w:marBottom w:val="450"/>
                  <w:divBdr>
                    <w:top w:val="none" w:sz="0" w:space="0" w:color="auto"/>
                    <w:left w:val="none" w:sz="0" w:space="0" w:color="auto"/>
                    <w:bottom w:val="none" w:sz="0" w:space="0" w:color="auto"/>
                    <w:right w:val="none" w:sz="0" w:space="0" w:color="auto"/>
                  </w:divBdr>
                  <w:divsChild>
                    <w:div w:id="1036662457">
                      <w:marLeft w:val="0"/>
                      <w:marRight w:val="0"/>
                      <w:marTop w:val="0"/>
                      <w:marBottom w:val="0"/>
                      <w:divBdr>
                        <w:top w:val="none" w:sz="0" w:space="0" w:color="auto"/>
                        <w:left w:val="none" w:sz="0" w:space="0" w:color="auto"/>
                        <w:bottom w:val="none" w:sz="0" w:space="0" w:color="auto"/>
                        <w:right w:val="none" w:sz="0" w:space="0" w:color="auto"/>
                      </w:divBdr>
                    </w:div>
                    <w:div w:id="699163517">
                      <w:marLeft w:val="0"/>
                      <w:marRight w:val="0"/>
                      <w:marTop w:val="0"/>
                      <w:marBottom w:val="0"/>
                      <w:divBdr>
                        <w:top w:val="none" w:sz="0" w:space="0" w:color="auto"/>
                        <w:left w:val="none" w:sz="0" w:space="0" w:color="auto"/>
                        <w:bottom w:val="none" w:sz="0" w:space="0" w:color="auto"/>
                        <w:right w:val="none" w:sz="0" w:space="0" w:color="auto"/>
                      </w:divBdr>
                    </w:div>
                    <w:div w:id="1402942184">
                      <w:marLeft w:val="0"/>
                      <w:marRight w:val="0"/>
                      <w:marTop w:val="480"/>
                      <w:marBottom w:val="480"/>
                      <w:divBdr>
                        <w:top w:val="none" w:sz="0" w:space="0" w:color="auto"/>
                        <w:left w:val="none" w:sz="0" w:space="0" w:color="auto"/>
                        <w:bottom w:val="none" w:sz="0" w:space="0" w:color="auto"/>
                        <w:right w:val="none" w:sz="0" w:space="0" w:color="auto"/>
                      </w:divBdr>
                    </w:div>
                    <w:div w:id="91973231">
                      <w:marLeft w:val="0"/>
                      <w:marRight w:val="0"/>
                      <w:marTop w:val="0"/>
                      <w:marBottom w:val="0"/>
                      <w:divBdr>
                        <w:top w:val="none" w:sz="0" w:space="0" w:color="auto"/>
                        <w:left w:val="none" w:sz="0" w:space="0" w:color="auto"/>
                        <w:bottom w:val="none" w:sz="0" w:space="0" w:color="auto"/>
                        <w:right w:val="none" w:sz="0" w:space="0" w:color="auto"/>
                      </w:divBdr>
                      <w:divsChild>
                        <w:div w:id="20043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2015-02-09T03:28:00Z</dcterms:created>
  <dcterms:modified xsi:type="dcterms:W3CDTF">2015-02-09T03:29:00Z</dcterms:modified>
</cp:coreProperties>
</file>