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C2" w:rsidRPr="004C77C2" w:rsidRDefault="004C77C2" w:rsidP="004C77C2">
      <w:pPr>
        <w:widowControl/>
        <w:jc w:val="left"/>
        <w:rPr>
          <w:rFonts w:ascii="Arial" w:eastAsia="宋体" w:hAnsi="Arial" w:cs="Arial"/>
          <w:b/>
          <w:bCs/>
          <w:kern w:val="0"/>
          <w:sz w:val="20"/>
          <w:szCs w:val="20"/>
        </w:rPr>
      </w:pPr>
      <w:bookmarkStart w:id="0" w:name="_GoBack"/>
      <w:r w:rsidRPr="004C77C2">
        <w:rPr>
          <w:rFonts w:ascii="Arial" w:eastAsia="宋体" w:hAnsi="Arial" w:cs="Arial"/>
          <w:b/>
          <w:bCs/>
          <w:kern w:val="0"/>
          <w:sz w:val="20"/>
          <w:szCs w:val="20"/>
        </w:rPr>
        <w:t>多柔比星</w:t>
      </w:r>
    </w:p>
    <w:bookmarkEnd w:id="0"/>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文章版本号：</w:t>
      </w:r>
      <w:r w:rsidRPr="004C77C2">
        <w:rPr>
          <w:rFonts w:ascii="Arial" w:eastAsia="宋体" w:hAnsi="Arial" w:cs="Arial"/>
          <w:kern w:val="0"/>
          <w:sz w:val="20"/>
          <w:szCs w:val="20"/>
        </w:rPr>
        <w:t>2</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最后发布时间：</w:t>
      </w:r>
      <w:r w:rsidRPr="004C77C2">
        <w:rPr>
          <w:rFonts w:ascii="Arial" w:eastAsia="宋体" w:hAnsi="Arial" w:cs="Arial"/>
          <w:kern w:val="0"/>
          <w:sz w:val="20"/>
          <w:szCs w:val="20"/>
        </w:rPr>
        <w:t>2014-4-15 9:48:54</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【特别警示】</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本药不得肌内注射或皮下注射，静脉注射时若外渗可致严重的局部组织坏死。</w:t>
      </w:r>
      <w:r w:rsidRPr="004C77C2">
        <w:rPr>
          <w:rFonts w:ascii="Arial" w:eastAsia="宋体" w:hAnsi="Arial" w:cs="Arial"/>
          <w:kern w:val="0"/>
          <w:sz w:val="20"/>
          <w:szCs w:val="20"/>
        </w:rPr>
        <w:t>(FDA</w:t>
      </w:r>
      <w:r w:rsidRPr="004C77C2">
        <w:rPr>
          <w:rFonts w:ascii="Arial" w:eastAsia="宋体" w:hAnsi="Arial" w:cs="Arial"/>
          <w:kern w:val="0"/>
          <w:sz w:val="20"/>
          <w:szCs w:val="20"/>
        </w:rPr>
        <w:t>药品说明书</w:t>
      </w:r>
      <w:r w:rsidRPr="004C77C2">
        <w:rPr>
          <w:rFonts w:ascii="Arial" w:eastAsia="宋体" w:hAnsi="Arial" w:cs="Arial"/>
          <w:kern w:val="0"/>
          <w:sz w:val="20"/>
          <w:szCs w:val="20"/>
        </w:rPr>
        <w:t>-</w:t>
      </w:r>
      <w:r w:rsidRPr="004C77C2">
        <w:rPr>
          <w:rFonts w:ascii="Arial" w:eastAsia="宋体" w:hAnsi="Arial" w:cs="Arial"/>
          <w:kern w:val="0"/>
          <w:sz w:val="20"/>
          <w:szCs w:val="20"/>
        </w:rPr>
        <w:t>注射用盐酸多柔比星</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用药期间或停药后数日至数年可出现心肌毒性，严重时表现为致命的充血性心力衰竭。</w:t>
      </w:r>
      <w:r w:rsidRPr="004C77C2">
        <w:rPr>
          <w:rFonts w:ascii="Arial" w:eastAsia="宋体" w:hAnsi="Arial" w:cs="Arial"/>
          <w:kern w:val="0"/>
          <w:sz w:val="20"/>
          <w:szCs w:val="20"/>
        </w:rPr>
        <w:t>(FDA</w:t>
      </w:r>
      <w:r w:rsidRPr="004C77C2">
        <w:rPr>
          <w:rFonts w:ascii="Arial" w:eastAsia="宋体" w:hAnsi="Arial" w:cs="Arial"/>
          <w:kern w:val="0"/>
          <w:sz w:val="20"/>
          <w:szCs w:val="20"/>
        </w:rPr>
        <w:t>药品说明书</w:t>
      </w:r>
      <w:r w:rsidRPr="004C77C2">
        <w:rPr>
          <w:rFonts w:ascii="Arial" w:eastAsia="宋体" w:hAnsi="Arial" w:cs="Arial"/>
          <w:kern w:val="0"/>
          <w:sz w:val="20"/>
          <w:szCs w:val="20"/>
        </w:rPr>
        <w:t>-</w:t>
      </w:r>
      <w:r w:rsidRPr="004C77C2">
        <w:rPr>
          <w:rFonts w:ascii="Arial" w:eastAsia="宋体" w:hAnsi="Arial" w:cs="Arial"/>
          <w:kern w:val="0"/>
          <w:sz w:val="20"/>
          <w:szCs w:val="20"/>
        </w:rPr>
        <w:t>注射用盐酸多柔比星</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用蒽环类药物治疗的乳腺癌患者可继发急性髓细胞性白血病或骨髓增生异常综合征。</w:t>
      </w:r>
      <w:r w:rsidRPr="004C77C2">
        <w:rPr>
          <w:rFonts w:ascii="Arial" w:eastAsia="宋体" w:hAnsi="Arial" w:cs="Arial"/>
          <w:kern w:val="0"/>
          <w:sz w:val="20"/>
          <w:szCs w:val="20"/>
        </w:rPr>
        <w:t>(FDA</w:t>
      </w:r>
      <w:r w:rsidRPr="004C77C2">
        <w:rPr>
          <w:rFonts w:ascii="Arial" w:eastAsia="宋体" w:hAnsi="Arial" w:cs="Arial"/>
          <w:kern w:val="0"/>
          <w:sz w:val="20"/>
          <w:szCs w:val="20"/>
        </w:rPr>
        <w:t>药品说明书</w:t>
      </w:r>
      <w:r w:rsidRPr="004C77C2">
        <w:rPr>
          <w:rFonts w:ascii="Arial" w:eastAsia="宋体" w:hAnsi="Arial" w:cs="Arial"/>
          <w:kern w:val="0"/>
          <w:sz w:val="20"/>
          <w:szCs w:val="20"/>
        </w:rPr>
        <w:t>-</w:t>
      </w:r>
      <w:r w:rsidRPr="004C77C2">
        <w:rPr>
          <w:rFonts w:ascii="Arial" w:eastAsia="宋体" w:hAnsi="Arial" w:cs="Arial"/>
          <w:kern w:val="0"/>
          <w:sz w:val="20"/>
          <w:szCs w:val="20"/>
        </w:rPr>
        <w:t>注射用盐酸多柔比星</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4.</w:t>
      </w:r>
      <w:r w:rsidRPr="004C77C2">
        <w:rPr>
          <w:rFonts w:ascii="Arial" w:eastAsia="宋体" w:hAnsi="Arial" w:cs="Arial"/>
          <w:kern w:val="0"/>
          <w:sz w:val="20"/>
          <w:szCs w:val="20"/>
        </w:rPr>
        <w:t>肝功能受损者应减少剂量。</w:t>
      </w:r>
      <w:r w:rsidRPr="004C77C2">
        <w:rPr>
          <w:rFonts w:ascii="Arial" w:eastAsia="宋体" w:hAnsi="Arial" w:cs="Arial"/>
          <w:kern w:val="0"/>
          <w:sz w:val="20"/>
          <w:szCs w:val="20"/>
        </w:rPr>
        <w:t>(FDA</w:t>
      </w:r>
      <w:r w:rsidRPr="004C77C2">
        <w:rPr>
          <w:rFonts w:ascii="Arial" w:eastAsia="宋体" w:hAnsi="Arial" w:cs="Arial"/>
          <w:kern w:val="0"/>
          <w:sz w:val="20"/>
          <w:szCs w:val="20"/>
        </w:rPr>
        <w:t>药品说明书</w:t>
      </w:r>
      <w:r w:rsidRPr="004C77C2">
        <w:rPr>
          <w:rFonts w:ascii="Arial" w:eastAsia="宋体" w:hAnsi="Arial" w:cs="Arial"/>
          <w:kern w:val="0"/>
          <w:sz w:val="20"/>
          <w:szCs w:val="20"/>
        </w:rPr>
        <w:t>-</w:t>
      </w:r>
      <w:r w:rsidRPr="004C77C2">
        <w:rPr>
          <w:rFonts w:ascii="Arial" w:eastAsia="宋体" w:hAnsi="Arial" w:cs="Arial"/>
          <w:kern w:val="0"/>
          <w:sz w:val="20"/>
          <w:szCs w:val="20"/>
        </w:rPr>
        <w:t>注射用盐酸多柔比星</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5.</w:t>
      </w:r>
      <w:r w:rsidRPr="004C77C2">
        <w:rPr>
          <w:rFonts w:ascii="Arial" w:eastAsia="宋体" w:hAnsi="Arial" w:cs="Arial"/>
          <w:kern w:val="0"/>
          <w:sz w:val="20"/>
          <w:szCs w:val="20"/>
        </w:rPr>
        <w:t>本药可导致严重的骨髓抑制。</w:t>
      </w:r>
      <w:r w:rsidRPr="004C77C2">
        <w:rPr>
          <w:rFonts w:ascii="Arial" w:eastAsia="宋体" w:hAnsi="Arial" w:cs="Arial"/>
          <w:kern w:val="0"/>
          <w:sz w:val="20"/>
          <w:szCs w:val="20"/>
        </w:rPr>
        <w:t>(FDA</w:t>
      </w:r>
      <w:r w:rsidRPr="004C77C2">
        <w:rPr>
          <w:rFonts w:ascii="Arial" w:eastAsia="宋体" w:hAnsi="Arial" w:cs="Arial"/>
          <w:kern w:val="0"/>
          <w:sz w:val="20"/>
          <w:szCs w:val="20"/>
        </w:rPr>
        <w:t>药品说明书</w:t>
      </w:r>
      <w:r w:rsidRPr="004C77C2">
        <w:rPr>
          <w:rFonts w:ascii="Arial" w:eastAsia="宋体" w:hAnsi="Arial" w:cs="Arial"/>
          <w:kern w:val="0"/>
          <w:sz w:val="20"/>
          <w:szCs w:val="20"/>
        </w:rPr>
        <w:t>-</w:t>
      </w:r>
      <w:r w:rsidRPr="004C77C2">
        <w:rPr>
          <w:rFonts w:ascii="Arial" w:eastAsia="宋体" w:hAnsi="Arial" w:cs="Arial"/>
          <w:kern w:val="0"/>
          <w:sz w:val="20"/>
          <w:szCs w:val="20"/>
        </w:rPr>
        <w:t>注射用盐酸多柔比星</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【药物名称】</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中文通用名称：多柔比星</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英文通用名称：</w:t>
      </w:r>
      <w:r w:rsidRPr="004C77C2">
        <w:rPr>
          <w:rFonts w:ascii="Arial" w:eastAsia="宋体" w:hAnsi="Arial" w:cs="Arial"/>
          <w:kern w:val="0"/>
          <w:sz w:val="20"/>
          <w:szCs w:val="20"/>
        </w:rPr>
        <w:t>Doxorubicin</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其他名称：</w:t>
      </w:r>
      <w:r w:rsidRPr="004C77C2">
        <w:rPr>
          <w:rFonts w:ascii="Arial" w:eastAsia="宋体" w:hAnsi="Arial" w:cs="Arial"/>
          <w:kern w:val="0"/>
          <w:sz w:val="20"/>
          <w:szCs w:val="20"/>
        </w:rPr>
        <w:t>14-</w:t>
      </w:r>
      <w:r w:rsidRPr="004C77C2">
        <w:rPr>
          <w:rFonts w:ascii="Arial" w:eastAsia="宋体" w:hAnsi="Arial" w:cs="Arial"/>
          <w:kern w:val="0"/>
          <w:sz w:val="20"/>
          <w:szCs w:val="20"/>
        </w:rPr>
        <w:t>羟基柔红霉素、</w:t>
      </w:r>
      <w:r w:rsidRPr="004C77C2">
        <w:rPr>
          <w:rFonts w:ascii="Arial" w:eastAsia="宋体" w:hAnsi="Arial" w:cs="Arial"/>
          <w:kern w:val="0"/>
          <w:sz w:val="20"/>
          <w:szCs w:val="20"/>
        </w:rPr>
        <w:t>14-</w:t>
      </w:r>
      <w:r w:rsidRPr="004C77C2">
        <w:rPr>
          <w:rFonts w:ascii="Arial" w:eastAsia="宋体" w:hAnsi="Arial" w:cs="Arial"/>
          <w:kern w:val="0"/>
          <w:sz w:val="20"/>
          <w:szCs w:val="20"/>
        </w:rPr>
        <w:t>羟基正定霉素、</w:t>
      </w:r>
      <w:r w:rsidRPr="004C77C2">
        <w:rPr>
          <w:rFonts w:ascii="Arial" w:eastAsia="宋体" w:hAnsi="Arial" w:cs="Arial"/>
          <w:kern w:val="0"/>
          <w:sz w:val="20"/>
          <w:szCs w:val="20"/>
        </w:rPr>
        <w:t>14-</w:t>
      </w:r>
      <w:r w:rsidRPr="004C77C2">
        <w:rPr>
          <w:rFonts w:ascii="Arial" w:eastAsia="宋体" w:hAnsi="Arial" w:cs="Arial"/>
          <w:kern w:val="0"/>
          <w:sz w:val="20"/>
          <w:szCs w:val="20"/>
        </w:rPr>
        <w:t>羟柔红霉素、</w:t>
      </w:r>
      <w:r w:rsidRPr="004C77C2">
        <w:rPr>
          <w:rFonts w:ascii="Arial" w:eastAsia="宋体" w:hAnsi="Arial" w:cs="Arial"/>
          <w:kern w:val="0"/>
          <w:sz w:val="20"/>
          <w:szCs w:val="20"/>
        </w:rPr>
        <w:t>14-</w:t>
      </w:r>
      <w:r w:rsidRPr="004C77C2">
        <w:rPr>
          <w:rFonts w:ascii="Arial" w:eastAsia="宋体" w:hAnsi="Arial" w:cs="Arial"/>
          <w:kern w:val="0"/>
          <w:sz w:val="20"/>
          <w:szCs w:val="20"/>
        </w:rPr>
        <w:t>羟正定霉素、阿得里亚霉素、阿霉素、多索柔比星、羟基红比霉素、羟基柔红霉素、威力阿霉素、亚德理亚霉素、亚法里亚霉素、</w:t>
      </w:r>
      <w:r w:rsidRPr="004C77C2">
        <w:rPr>
          <w:rFonts w:ascii="Arial" w:eastAsia="宋体" w:hAnsi="Arial" w:cs="Arial"/>
          <w:kern w:val="0"/>
          <w:sz w:val="20"/>
          <w:szCs w:val="20"/>
        </w:rPr>
        <w:t>14-Hydroxydaunomycin</w:t>
      </w:r>
      <w:r w:rsidRPr="004C77C2">
        <w:rPr>
          <w:rFonts w:ascii="Arial" w:eastAsia="宋体" w:hAnsi="Arial" w:cs="Arial"/>
          <w:kern w:val="0"/>
          <w:sz w:val="20"/>
          <w:szCs w:val="20"/>
        </w:rPr>
        <w:t>、</w:t>
      </w:r>
      <w:r w:rsidRPr="004C77C2">
        <w:rPr>
          <w:rFonts w:ascii="Arial" w:eastAsia="宋体" w:hAnsi="Arial" w:cs="Arial"/>
          <w:kern w:val="0"/>
          <w:sz w:val="20"/>
          <w:szCs w:val="20"/>
        </w:rPr>
        <w:t>Adriacin</w:t>
      </w:r>
      <w:r w:rsidRPr="004C77C2">
        <w:rPr>
          <w:rFonts w:ascii="Arial" w:eastAsia="宋体" w:hAnsi="Arial" w:cs="Arial"/>
          <w:kern w:val="0"/>
          <w:sz w:val="20"/>
          <w:szCs w:val="20"/>
        </w:rPr>
        <w:t>、</w:t>
      </w:r>
      <w:r w:rsidRPr="004C77C2">
        <w:rPr>
          <w:rFonts w:ascii="Arial" w:eastAsia="宋体" w:hAnsi="Arial" w:cs="Arial"/>
          <w:kern w:val="0"/>
          <w:sz w:val="20"/>
          <w:szCs w:val="20"/>
        </w:rPr>
        <w:t>Adriblastin</w:t>
      </w:r>
      <w:r w:rsidRPr="004C77C2">
        <w:rPr>
          <w:rFonts w:ascii="Arial" w:eastAsia="宋体" w:hAnsi="Arial" w:cs="Arial"/>
          <w:kern w:val="0"/>
          <w:sz w:val="20"/>
          <w:szCs w:val="20"/>
        </w:rPr>
        <w:t>、</w:t>
      </w:r>
      <w:r w:rsidRPr="004C77C2">
        <w:rPr>
          <w:rFonts w:ascii="Arial" w:eastAsia="宋体" w:hAnsi="Arial" w:cs="Arial"/>
          <w:kern w:val="0"/>
          <w:sz w:val="20"/>
          <w:szCs w:val="20"/>
        </w:rPr>
        <w:t>Adriblastina</w:t>
      </w:r>
      <w:r w:rsidRPr="004C77C2">
        <w:rPr>
          <w:rFonts w:ascii="Arial" w:eastAsia="宋体" w:hAnsi="Arial" w:cs="Arial"/>
          <w:kern w:val="0"/>
          <w:sz w:val="20"/>
          <w:szCs w:val="20"/>
        </w:rPr>
        <w:t>、</w:t>
      </w:r>
      <w:r w:rsidRPr="004C77C2">
        <w:rPr>
          <w:rFonts w:ascii="Arial" w:eastAsia="宋体" w:hAnsi="Arial" w:cs="Arial"/>
          <w:kern w:val="0"/>
          <w:sz w:val="20"/>
          <w:szCs w:val="20"/>
        </w:rPr>
        <w:t>Doxorubicinum</w:t>
      </w:r>
      <w:r w:rsidRPr="004C77C2">
        <w:rPr>
          <w:rFonts w:ascii="Arial" w:eastAsia="宋体" w:hAnsi="Arial" w:cs="Arial"/>
          <w:kern w:val="0"/>
          <w:sz w:val="20"/>
          <w:szCs w:val="20"/>
        </w:rPr>
        <w:t>、</w:t>
      </w:r>
      <w:r w:rsidRPr="004C77C2">
        <w:rPr>
          <w:rFonts w:ascii="Arial" w:eastAsia="宋体" w:hAnsi="Arial" w:cs="Arial"/>
          <w:kern w:val="0"/>
          <w:sz w:val="20"/>
          <w:szCs w:val="20"/>
        </w:rPr>
        <w:t>Rubex</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【药理分类】</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肿瘤用药</w:t>
      </w:r>
      <w:r w:rsidRPr="004C77C2">
        <w:rPr>
          <w:rFonts w:ascii="Arial" w:eastAsia="宋体" w:hAnsi="Arial" w:cs="Arial"/>
          <w:kern w:val="0"/>
          <w:sz w:val="20"/>
          <w:szCs w:val="20"/>
        </w:rPr>
        <w:t>&gt;&gt;</w:t>
      </w:r>
      <w:r w:rsidRPr="004C77C2">
        <w:rPr>
          <w:rFonts w:ascii="Arial" w:eastAsia="宋体" w:hAnsi="Arial" w:cs="Arial"/>
          <w:kern w:val="0"/>
          <w:sz w:val="20"/>
          <w:szCs w:val="20"/>
        </w:rPr>
        <w:t>抗肿瘤药</w:t>
      </w:r>
      <w:r w:rsidRPr="004C77C2">
        <w:rPr>
          <w:rFonts w:ascii="Arial" w:eastAsia="宋体" w:hAnsi="Arial" w:cs="Arial"/>
          <w:kern w:val="0"/>
          <w:sz w:val="20"/>
          <w:szCs w:val="20"/>
        </w:rPr>
        <w:t>&gt;&gt;</w:t>
      </w:r>
      <w:r w:rsidRPr="004C77C2">
        <w:rPr>
          <w:rFonts w:ascii="Arial" w:eastAsia="宋体" w:hAnsi="Arial" w:cs="Arial"/>
          <w:kern w:val="0"/>
          <w:sz w:val="20"/>
          <w:szCs w:val="20"/>
        </w:rPr>
        <w:t>干扰转录过程和阻止</w:t>
      </w:r>
      <w:r w:rsidRPr="004C77C2">
        <w:rPr>
          <w:rFonts w:ascii="Arial" w:eastAsia="宋体" w:hAnsi="Arial" w:cs="Arial"/>
          <w:kern w:val="0"/>
          <w:sz w:val="20"/>
          <w:szCs w:val="20"/>
        </w:rPr>
        <w:t>RNA</w:t>
      </w:r>
      <w:r w:rsidRPr="004C77C2">
        <w:rPr>
          <w:rFonts w:ascii="Arial" w:eastAsia="宋体" w:hAnsi="Arial" w:cs="Arial"/>
          <w:kern w:val="0"/>
          <w:sz w:val="20"/>
          <w:szCs w:val="20"/>
        </w:rPr>
        <w:t>合成的药物</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【临床应用】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CFDA</w:t>
      </w:r>
      <w:r w:rsidRPr="004C77C2">
        <w:rPr>
          <w:rFonts w:ascii="Arial" w:eastAsia="宋体" w:hAnsi="Arial" w:cs="Arial"/>
          <w:b/>
          <w:bCs/>
          <w:kern w:val="0"/>
          <w:sz w:val="20"/>
          <w:szCs w:val="20"/>
        </w:rPr>
        <w:t>说明书适应症</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用于治疗急性白血病</w:t>
      </w:r>
      <w:r w:rsidRPr="004C77C2">
        <w:rPr>
          <w:rFonts w:ascii="Arial" w:eastAsia="宋体" w:hAnsi="Arial" w:cs="Arial"/>
          <w:kern w:val="0"/>
          <w:sz w:val="20"/>
          <w:szCs w:val="20"/>
        </w:rPr>
        <w:t>(</w:t>
      </w:r>
      <w:r w:rsidRPr="004C77C2">
        <w:rPr>
          <w:rFonts w:ascii="Arial" w:eastAsia="宋体" w:hAnsi="Arial" w:cs="Arial"/>
          <w:kern w:val="0"/>
          <w:sz w:val="20"/>
          <w:szCs w:val="20"/>
        </w:rPr>
        <w:t>淋巴细胞性和髓细胞性</w:t>
      </w:r>
      <w:r w:rsidRPr="004C77C2">
        <w:rPr>
          <w:rFonts w:ascii="Arial" w:eastAsia="宋体" w:hAnsi="Arial" w:cs="Arial"/>
          <w:kern w:val="0"/>
          <w:sz w:val="20"/>
          <w:szCs w:val="20"/>
        </w:rPr>
        <w:t>)</w:t>
      </w:r>
      <w:r w:rsidRPr="004C77C2">
        <w:rPr>
          <w:rFonts w:ascii="Arial" w:eastAsia="宋体" w:hAnsi="Arial" w:cs="Arial"/>
          <w:kern w:val="0"/>
          <w:sz w:val="20"/>
          <w:szCs w:val="20"/>
        </w:rPr>
        <w:t>、恶性淋巴瘤、乳腺癌、肺癌</w:t>
      </w:r>
      <w:r w:rsidRPr="004C77C2">
        <w:rPr>
          <w:rFonts w:ascii="Arial" w:eastAsia="宋体" w:hAnsi="Arial" w:cs="Arial"/>
          <w:kern w:val="0"/>
          <w:sz w:val="20"/>
          <w:szCs w:val="20"/>
        </w:rPr>
        <w:t>(</w:t>
      </w:r>
      <w:r w:rsidRPr="004C77C2">
        <w:rPr>
          <w:rFonts w:ascii="Arial" w:eastAsia="宋体" w:hAnsi="Arial" w:cs="Arial"/>
          <w:kern w:val="0"/>
          <w:sz w:val="20"/>
          <w:szCs w:val="20"/>
        </w:rPr>
        <w:t>小细胞和非小细胞肺癌</w:t>
      </w:r>
      <w:r w:rsidRPr="004C77C2">
        <w:rPr>
          <w:rFonts w:ascii="Arial" w:eastAsia="宋体" w:hAnsi="Arial" w:cs="Arial"/>
          <w:kern w:val="0"/>
          <w:sz w:val="20"/>
          <w:szCs w:val="20"/>
        </w:rPr>
        <w:t>)</w:t>
      </w:r>
      <w:r w:rsidRPr="004C77C2">
        <w:rPr>
          <w:rFonts w:ascii="Arial" w:eastAsia="宋体" w:hAnsi="Arial" w:cs="Arial"/>
          <w:kern w:val="0"/>
          <w:sz w:val="20"/>
          <w:szCs w:val="20"/>
        </w:rPr>
        <w:t>、卵巢癌、骨及软组织肉瘤、肾母细胞瘤、神经母细胞瘤、膀胱癌、甲状腺癌、前列腺癌、头颈部鳞癌、睾丸癌、胃癌、肝癌等。</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lastRenderedPageBreak/>
        <w:t>其他临床应用参考</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用于获得性免疫缺陷综合征</w:t>
      </w:r>
      <w:r w:rsidRPr="004C77C2">
        <w:rPr>
          <w:rFonts w:ascii="Arial" w:eastAsia="宋体" w:hAnsi="Arial" w:cs="Arial"/>
          <w:kern w:val="0"/>
          <w:sz w:val="20"/>
          <w:szCs w:val="20"/>
        </w:rPr>
        <w:t>(AIDS)</w:t>
      </w:r>
      <w:r w:rsidRPr="004C77C2">
        <w:rPr>
          <w:rFonts w:ascii="Arial" w:eastAsia="宋体" w:hAnsi="Arial" w:cs="Arial"/>
          <w:kern w:val="0"/>
          <w:sz w:val="20"/>
          <w:szCs w:val="20"/>
        </w:rPr>
        <w:t>相关的晚期卡波西肉瘤、慢性淋巴细胞白血病、多发性骨髓瘤、晚期尤因肉瘤。</w:t>
      </w:r>
      <w:r w:rsidRPr="004C77C2">
        <w:rPr>
          <w:rFonts w:ascii="Arial" w:eastAsia="宋体" w:hAnsi="Arial" w:cs="Arial"/>
          <w:kern w:val="0"/>
          <w:sz w:val="20"/>
          <w:szCs w:val="20"/>
        </w:rPr>
        <w:t>(FDA</w:t>
      </w:r>
      <w:r w:rsidRPr="004C77C2">
        <w:rPr>
          <w:rFonts w:ascii="Arial" w:eastAsia="宋体" w:hAnsi="Arial" w:cs="Arial"/>
          <w:kern w:val="0"/>
          <w:sz w:val="20"/>
          <w:szCs w:val="20"/>
        </w:rPr>
        <w:t>批准适应症</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用于子宫内膜癌、子宫肉瘤、晚期胸腺恶性肿瘤。</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【用法与用量】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成人</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常规剂量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急性白血病</w:t>
      </w:r>
      <w:r w:rsidRPr="004C77C2">
        <w:rPr>
          <w:rFonts w:ascii="Arial" w:eastAsia="宋体" w:hAnsi="Arial" w:cs="Arial"/>
          <w:kern w:val="0"/>
          <w:sz w:val="20"/>
          <w:szCs w:val="20"/>
        </w:rPr>
        <w:t>(</w:t>
      </w:r>
      <w:r w:rsidRPr="004C77C2">
        <w:rPr>
          <w:rFonts w:ascii="Arial" w:eastAsia="宋体" w:hAnsi="Arial" w:cs="Arial"/>
          <w:kern w:val="0"/>
          <w:sz w:val="20"/>
          <w:szCs w:val="20"/>
        </w:rPr>
        <w:t>淋巴细胞性和髓细胞性</w:t>
      </w:r>
      <w:r w:rsidRPr="004C77C2">
        <w:rPr>
          <w:rFonts w:ascii="Arial" w:eastAsia="宋体" w:hAnsi="Arial" w:cs="Arial"/>
          <w:kern w:val="0"/>
          <w:sz w:val="20"/>
          <w:szCs w:val="20"/>
        </w:rPr>
        <w:t>)</w:t>
      </w:r>
      <w:r w:rsidRPr="004C77C2">
        <w:rPr>
          <w:rFonts w:ascii="Arial" w:eastAsia="宋体" w:hAnsi="Arial" w:cs="Arial"/>
          <w:kern w:val="0"/>
          <w:sz w:val="20"/>
          <w:szCs w:val="20"/>
        </w:rPr>
        <w:t>、恶性淋巴瘤、乳腺癌、肺癌</w:t>
      </w:r>
      <w:r w:rsidRPr="004C77C2">
        <w:rPr>
          <w:rFonts w:ascii="Arial" w:eastAsia="宋体" w:hAnsi="Arial" w:cs="Arial"/>
          <w:kern w:val="0"/>
          <w:sz w:val="20"/>
          <w:szCs w:val="20"/>
        </w:rPr>
        <w:t>(</w:t>
      </w:r>
      <w:r w:rsidRPr="004C77C2">
        <w:rPr>
          <w:rFonts w:ascii="Arial" w:eastAsia="宋体" w:hAnsi="Arial" w:cs="Arial"/>
          <w:kern w:val="0"/>
          <w:sz w:val="20"/>
          <w:szCs w:val="20"/>
        </w:rPr>
        <w:t>小细胞和非小细胞肺癌</w:t>
      </w:r>
      <w:r w:rsidRPr="004C77C2">
        <w:rPr>
          <w:rFonts w:ascii="Arial" w:eastAsia="宋体" w:hAnsi="Arial" w:cs="Arial"/>
          <w:kern w:val="0"/>
          <w:sz w:val="20"/>
          <w:szCs w:val="20"/>
        </w:rPr>
        <w:t>)</w:t>
      </w:r>
      <w:r w:rsidRPr="004C77C2">
        <w:rPr>
          <w:rFonts w:ascii="Arial" w:eastAsia="宋体" w:hAnsi="Arial" w:cs="Arial"/>
          <w:kern w:val="0"/>
          <w:sz w:val="20"/>
          <w:szCs w:val="20"/>
        </w:rPr>
        <w:t>、卵巢癌、骨及软组织肉瘤、肾母细胞瘤、神经母细胞瘤、膀胱癌、甲状腺癌、前列腺癌、头颈部鳞癌、睾丸癌、胃癌、肝癌等</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静脉滴注</w:t>
      </w:r>
      <w:r w:rsidRPr="004C77C2">
        <w:rPr>
          <w:rFonts w:ascii="Arial" w:eastAsia="宋体" w:hAnsi="Arial" w:cs="Arial"/>
          <w:kern w:val="0"/>
          <w:sz w:val="20"/>
          <w:szCs w:val="20"/>
        </w:rPr>
        <w:t xml:space="preserve">  (1)</w:t>
      </w:r>
      <w:r w:rsidRPr="004C77C2">
        <w:rPr>
          <w:rFonts w:ascii="Arial" w:eastAsia="宋体" w:hAnsi="Arial" w:cs="Arial"/>
          <w:kern w:val="0"/>
          <w:sz w:val="20"/>
          <w:szCs w:val="20"/>
        </w:rPr>
        <w:t>单药治疗：一次</w:t>
      </w:r>
      <w:r w:rsidRPr="004C77C2">
        <w:rPr>
          <w:rFonts w:ascii="Arial" w:eastAsia="宋体" w:hAnsi="Arial" w:cs="Arial"/>
          <w:kern w:val="0"/>
          <w:sz w:val="20"/>
          <w:szCs w:val="20"/>
        </w:rPr>
        <w:t>50-60mg/m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3-4</w:t>
      </w:r>
      <w:r w:rsidRPr="004C77C2">
        <w:rPr>
          <w:rFonts w:ascii="Arial" w:eastAsia="宋体" w:hAnsi="Arial" w:cs="Arial"/>
          <w:kern w:val="0"/>
          <w:sz w:val="20"/>
          <w:szCs w:val="20"/>
        </w:rPr>
        <w:t>周</w:t>
      </w:r>
      <w:r w:rsidRPr="004C77C2">
        <w:rPr>
          <w:rFonts w:ascii="Arial" w:eastAsia="宋体" w:hAnsi="Arial" w:cs="Arial"/>
          <w:kern w:val="0"/>
          <w:sz w:val="20"/>
          <w:szCs w:val="20"/>
        </w:rPr>
        <w:t>1</w:t>
      </w:r>
      <w:r w:rsidRPr="004C77C2">
        <w:rPr>
          <w:rFonts w:ascii="Arial" w:eastAsia="宋体" w:hAnsi="Arial" w:cs="Arial"/>
          <w:kern w:val="0"/>
          <w:sz w:val="20"/>
          <w:szCs w:val="20"/>
        </w:rPr>
        <w:t>次；或一日</w:t>
      </w:r>
      <w:r w:rsidRPr="004C77C2">
        <w:rPr>
          <w:rFonts w:ascii="Arial" w:eastAsia="宋体" w:hAnsi="Arial" w:cs="Arial"/>
          <w:kern w:val="0"/>
          <w:sz w:val="20"/>
          <w:szCs w:val="20"/>
        </w:rPr>
        <w:t>20mg/m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，连用</w:t>
      </w:r>
      <w:r w:rsidRPr="004C77C2">
        <w:rPr>
          <w:rFonts w:ascii="Arial" w:eastAsia="宋体" w:hAnsi="Arial" w:cs="Arial"/>
          <w:kern w:val="0"/>
          <w:sz w:val="20"/>
          <w:szCs w:val="20"/>
        </w:rPr>
        <w:t>3</w:t>
      </w:r>
      <w:r w:rsidRPr="004C77C2">
        <w:rPr>
          <w:rFonts w:ascii="Arial" w:eastAsia="宋体" w:hAnsi="Arial" w:cs="Arial"/>
          <w:kern w:val="0"/>
          <w:sz w:val="20"/>
          <w:szCs w:val="20"/>
        </w:rPr>
        <w:t>日，停用</w:t>
      </w:r>
      <w:r w:rsidRPr="004C77C2">
        <w:rPr>
          <w:rFonts w:ascii="Arial" w:eastAsia="宋体" w:hAnsi="Arial" w:cs="Arial"/>
          <w:kern w:val="0"/>
          <w:sz w:val="20"/>
          <w:szCs w:val="20"/>
        </w:rPr>
        <w:t>2-3</w:t>
      </w:r>
      <w:r w:rsidRPr="004C77C2">
        <w:rPr>
          <w:rFonts w:ascii="Arial" w:eastAsia="宋体" w:hAnsi="Arial" w:cs="Arial"/>
          <w:kern w:val="0"/>
          <w:sz w:val="20"/>
          <w:szCs w:val="20"/>
        </w:rPr>
        <w:t>周后重复。</w:t>
      </w:r>
      <w:r w:rsidRPr="004C77C2">
        <w:rPr>
          <w:rFonts w:ascii="Arial" w:eastAsia="宋体" w:hAnsi="Arial" w:cs="Arial"/>
          <w:kern w:val="0"/>
          <w:sz w:val="20"/>
          <w:szCs w:val="20"/>
        </w:rPr>
        <w:t>(2)</w:t>
      </w:r>
      <w:r w:rsidRPr="004C77C2">
        <w:rPr>
          <w:rFonts w:ascii="Arial" w:eastAsia="宋体" w:hAnsi="Arial" w:cs="Arial"/>
          <w:kern w:val="0"/>
          <w:sz w:val="20"/>
          <w:szCs w:val="20"/>
        </w:rPr>
        <w:t>联合用药：一次</w:t>
      </w:r>
      <w:r w:rsidRPr="004C77C2">
        <w:rPr>
          <w:rFonts w:ascii="Arial" w:eastAsia="宋体" w:hAnsi="Arial" w:cs="Arial"/>
          <w:kern w:val="0"/>
          <w:sz w:val="20"/>
          <w:szCs w:val="20"/>
        </w:rPr>
        <w:t>40mg/m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3</w:t>
      </w:r>
      <w:r w:rsidRPr="004C77C2">
        <w:rPr>
          <w:rFonts w:ascii="Arial" w:eastAsia="宋体" w:hAnsi="Arial" w:cs="Arial"/>
          <w:kern w:val="0"/>
          <w:sz w:val="20"/>
          <w:szCs w:val="20"/>
        </w:rPr>
        <w:t>周</w:t>
      </w:r>
      <w:r w:rsidRPr="004C77C2">
        <w:rPr>
          <w:rFonts w:ascii="Arial" w:eastAsia="宋体" w:hAnsi="Arial" w:cs="Arial"/>
          <w:kern w:val="0"/>
          <w:sz w:val="20"/>
          <w:szCs w:val="20"/>
        </w:rPr>
        <w:t>1</w:t>
      </w:r>
      <w:r w:rsidRPr="004C77C2">
        <w:rPr>
          <w:rFonts w:ascii="Arial" w:eastAsia="宋体" w:hAnsi="Arial" w:cs="Arial"/>
          <w:kern w:val="0"/>
          <w:sz w:val="20"/>
          <w:szCs w:val="20"/>
        </w:rPr>
        <w:t>次。或一次</w:t>
      </w:r>
      <w:r w:rsidRPr="004C77C2">
        <w:rPr>
          <w:rFonts w:ascii="Arial" w:eastAsia="宋体" w:hAnsi="Arial" w:cs="Arial"/>
          <w:kern w:val="0"/>
          <w:sz w:val="20"/>
          <w:szCs w:val="20"/>
        </w:rPr>
        <w:t>25mg/m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，每周</w:t>
      </w:r>
      <w:r w:rsidRPr="004C77C2">
        <w:rPr>
          <w:rFonts w:ascii="Arial" w:eastAsia="宋体" w:hAnsi="Arial" w:cs="Arial"/>
          <w:kern w:val="0"/>
          <w:sz w:val="20"/>
          <w:szCs w:val="20"/>
        </w:rPr>
        <w:t>1</w:t>
      </w:r>
      <w:r w:rsidRPr="004C77C2">
        <w:rPr>
          <w:rFonts w:ascii="Arial" w:eastAsia="宋体" w:hAnsi="Arial" w:cs="Arial"/>
          <w:kern w:val="0"/>
          <w:sz w:val="20"/>
          <w:szCs w:val="20"/>
        </w:rPr>
        <w:t>次，连用</w:t>
      </w:r>
      <w:r w:rsidRPr="004C77C2">
        <w:rPr>
          <w:rFonts w:ascii="Arial" w:eastAsia="宋体" w:hAnsi="Arial" w:cs="Arial"/>
          <w:kern w:val="0"/>
          <w:sz w:val="20"/>
          <w:szCs w:val="20"/>
        </w:rPr>
        <w:t>2</w:t>
      </w:r>
      <w:r w:rsidRPr="004C77C2">
        <w:rPr>
          <w:rFonts w:ascii="Arial" w:eastAsia="宋体" w:hAnsi="Arial" w:cs="Arial"/>
          <w:kern w:val="0"/>
          <w:sz w:val="20"/>
          <w:szCs w:val="20"/>
        </w:rPr>
        <w:t>周，每</w:t>
      </w:r>
      <w:r w:rsidRPr="004C77C2">
        <w:rPr>
          <w:rFonts w:ascii="Arial" w:eastAsia="宋体" w:hAnsi="Arial" w:cs="Arial"/>
          <w:kern w:val="0"/>
          <w:sz w:val="20"/>
          <w:szCs w:val="20"/>
        </w:rPr>
        <w:t>3</w:t>
      </w:r>
      <w:r w:rsidRPr="004C77C2">
        <w:rPr>
          <w:rFonts w:ascii="Arial" w:eastAsia="宋体" w:hAnsi="Arial" w:cs="Arial"/>
          <w:kern w:val="0"/>
          <w:sz w:val="20"/>
          <w:szCs w:val="20"/>
        </w:rPr>
        <w:t>周重复</w:t>
      </w:r>
      <w:r w:rsidRPr="004C77C2">
        <w:rPr>
          <w:rFonts w:ascii="Arial" w:eastAsia="宋体" w:hAnsi="Arial" w:cs="Arial"/>
          <w:kern w:val="0"/>
          <w:sz w:val="20"/>
          <w:szCs w:val="20"/>
        </w:rPr>
        <w:t>1</w:t>
      </w:r>
      <w:r w:rsidRPr="004C77C2">
        <w:rPr>
          <w:rFonts w:ascii="Arial" w:eastAsia="宋体" w:hAnsi="Arial" w:cs="Arial"/>
          <w:kern w:val="0"/>
          <w:sz w:val="20"/>
          <w:szCs w:val="20"/>
        </w:rPr>
        <w:t>次。总剂量不宜超过</w:t>
      </w:r>
      <w:r w:rsidRPr="004C77C2">
        <w:rPr>
          <w:rFonts w:ascii="Arial" w:eastAsia="宋体" w:hAnsi="Arial" w:cs="Arial"/>
          <w:kern w:val="0"/>
          <w:sz w:val="20"/>
          <w:szCs w:val="20"/>
        </w:rPr>
        <w:t>400mg/m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静脉冲入</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同</w:t>
      </w:r>
      <w:r w:rsidRPr="004C77C2">
        <w:rPr>
          <w:rFonts w:ascii="Arial" w:eastAsia="宋体" w:hAnsi="Arial" w:cs="Arial"/>
          <w:kern w:val="0"/>
          <w:sz w:val="20"/>
          <w:szCs w:val="20"/>
        </w:rPr>
        <w:t>“</w:t>
      </w:r>
      <w:r w:rsidRPr="004C77C2">
        <w:rPr>
          <w:rFonts w:ascii="Arial" w:eastAsia="宋体" w:hAnsi="Arial" w:cs="Arial"/>
          <w:kern w:val="0"/>
          <w:sz w:val="20"/>
          <w:szCs w:val="20"/>
        </w:rPr>
        <w:t>静脉滴注</w:t>
      </w:r>
      <w:r w:rsidRPr="004C77C2">
        <w:rPr>
          <w:rFonts w:ascii="Arial" w:eastAsia="宋体" w:hAnsi="Arial" w:cs="Arial"/>
          <w:kern w:val="0"/>
          <w:sz w:val="20"/>
          <w:szCs w:val="20"/>
        </w:rPr>
        <w:t>”</w:t>
      </w:r>
      <w:r w:rsidRPr="004C77C2">
        <w:rPr>
          <w:rFonts w:ascii="Arial" w:eastAsia="宋体" w:hAnsi="Arial" w:cs="Arial"/>
          <w:kern w:val="0"/>
          <w:sz w:val="20"/>
          <w:szCs w:val="20"/>
        </w:rPr>
        <w:t>项。</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动脉注射</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同</w:t>
      </w:r>
      <w:r w:rsidRPr="004C77C2">
        <w:rPr>
          <w:rFonts w:ascii="Arial" w:eastAsia="宋体" w:hAnsi="Arial" w:cs="Arial"/>
          <w:kern w:val="0"/>
          <w:sz w:val="20"/>
          <w:szCs w:val="20"/>
        </w:rPr>
        <w:t>“</w:t>
      </w:r>
      <w:r w:rsidRPr="004C77C2">
        <w:rPr>
          <w:rFonts w:ascii="Arial" w:eastAsia="宋体" w:hAnsi="Arial" w:cs="Arial"/>
          <w:kern w:val="0"/>
          <w:sz w:val="20"/>
          <w:szCs w:val="20"/>
        </w:rPr>
        <w:t>静脉滴注</w:t>
      </w:r>
      <w:r w:rsidRPr="004C77C2">
        <w:rPr>
          <w:rFonts w:ascii="Arial" w:eastAsia="宋体" w:hAnsi="Arial" w:cs="Arial"/>
          <w:kern w:val="0"/>
          <w:sz w:val="20"/>
          <w:szCs w:val="20"/>
        </w:rPr>
        <w:t>”</w:t>
      </w:r>
      <w:r w:rsidRPr="004C77C2">
        <w:rPr>
          <w:rFonts w:ascii="Arial" w:eastAsia="宋体" w:hAnsi="Arial" w:cs="Arial"/>
          <w:kern w:val="0"/>
          <w:sz w:val="20"/>
          <w:szCs w:val="20"/>
        </w:rPr>
        <w:t>项。</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肝功能不全时剂量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有肝功能不全者，用药剂量应酌减。血清胆红素为</w:t>
      </w:r>
      <w:r w:rsidRPr="004C77C2">
        <w:rPr>
          <w:rFonts w:ascii="Arial" w:eastAsia="宋体" w:hAnsi="Arial" w:cs="Arial"/>
          <w:kern w:val="0"/>
          <w:sz w:val="20"/>
          <w:szCs w:val="20"/>
        </w:rPr>
        <w:t>1.2-3mg/dl</w:t>
      </w:r>
      <w:r w:rsidRPr="004C77C2">
        <w:rPr>
          <w:rFonts w:ascii="Arial" w:eastAsia="宋体" w:hAnsi="Arial" w:cs="Arial"/>
          <w:kern w:val="0"/>
          <w:sz w:val="20"/>
          <w:szCs w:val="20"/>
        </w:rPr>
        <w:t>时，使用常规剂量的</w:t>
      </w:r>
      <w:r w:rsidRPr="004C77C2">
        <w:rPr>
          <w:rFonts w:ascii="Arial" w:eastAsia="宋体" w:hAnsi="Arial" w:cs="Arial"/>
          <w:kern w:val="0"/>
          <w:sz w:val="20"/>
          <w:szCs w:val="20"/>
        </w:rPr>
        <w:t>50%</w:t>
      </w:r>
      <w:r w:rsidRPr="004C77C2">
        <w:rPr>
          <w:rFonts w:ascii="Arial" w:eastAsia="宋体" w:hAnsi="Arial" w:cs="Arial"/>
          <w:kern w:val="0"/>
          <w:sz w:val="20"/>
          <w:szCs w:val="20"/>
        </w:rPr>
        <w:t>；血胆红素为大于</w:t>
      </w:r>
      <w:r w:rsidRPr="004C77C2">
        <w:rPr>
          <w:rFonts w:ascii="Arial" w:eastAsia="宋体" w:hAnsi="Arial" w:cs="Arial"/>
          <w:kern w:val="0"/>
          <w:sz w:val="20"/>
          <w:szCs w:val="20"/>
        </w:rPr>
        <w:t>3mg/dl</w:t>
      </w:r>
      <w:r w:rsidRPr="004C77C2">
        <w:rPr>
          <w:rFonts w:ascii="Arial" w:eastAsia="宋体" w:hAnsi="Arial" w:cs="Arial"/>
          <w:kern w:val="0"/>
          <w:sz w:val="20"/>
          <w:szCs w:val="20"/>
        </w:rPr>
        <w:t>，使用常规剂量的</w:t>
      </w:r>
      <w:r w:rsidRPr="004C77C2">
        <w:rPr>
          <w:rFonts w:ascii="Arial" w:eastAsia="宋体" w:hAnsi="Arial" w:cs="Arial"/>
          <w:kern w:val="0"/>
          <w:sz w:val="20"/>
          <w:szCs w:val="20"/>
        </w:rPr>
        <w:t>25%</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儿童</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常规剂量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急性白血病</w:t>
      </w:r>
      <w:r w:rsidRPr="004C77C2">
        <w:rPr>
          <w:rFonts w:ascii="Arial" w:eastAsia="宋体" w:hAnsi="Arial" w:cs="Arial"/>
          <w:kern w:val="0"/>
          <w:sz w:val="20"/>
          <w:szCs w:val="20"/>
        </w:rPr>
        <w:t>(</w:t>
      </w:r>
      <w:r w:rsidRPr="004C77C2">
        <w:rPr>
          <w:rFonts w:ascii="Arial" w:eastAsia="宋体" w:hAnsi="Arial" w:cs="Arial"/>
          <w:kern w:val="0"/>
          <w:sz w:val="20"/>
          <w:szCs w:val="20"/>
        </w:rPr>
        <w:t>淋巴细胞性和髓细胞性</w:t>
      </w:r>
      <w:r w:rsidRPr="004C77C2">
        <w:rPr>
          <w:rFonts w:ascii="Arial" w:eastAsia="宋体" w:hAnsi="Arial" w:cs="Arial"/>
          <w:kern w:val="0"/>
          <w:sz w:val="20"/>
          <w:szCs w:val="20"/>
        </w:rPr>
        <w:t>)</w:t>
      </w:r>
      <w:r w:rsidRPr="004C77C2">
        <w:rPr>
          <w:rFonts w:ascii="Arial" w:eastAsia="宋体" w:hAnsi="Arial" w:cs="Arial"/>
          <w:kern w:val="0"/>
          <w:sz w:val="20"/>
          <w:szCs w:val="20"/>
        </w:rPr>
        <w:t>、恶性淋巴瘤、乳腺癌、支气管肺癌</w:t>
      </w:r>
      <w:r w:rsidRPr="004C77C2">
        <w:rPr>
          <w:rFonts w:ascii="Arial" w:eastAsia="宋体" w:hAnsi="Arial" w:cs="Arial"/>
          <w:kern w:val="0"/>
          <w:sz w:val="20"/>
          <w:szCs w:val="20"/>
        </w:rPr>
        <w:t>(</w:t>
      </w:r>
      <w:r w:rsidRPr="004C77C2">
        <w:rPr>
          <w:rFonts w:ascii="Arial" w:eastAsia="宋体" w:hAnsi="Arial" w:cs="Arial"/>
          <w:kern w:val="0"/>
          <w:sz w:val="20"/>
          <w:szCs w:val="20"/>
        </w:rPr>
        <w:t>未分化小细胞型</w:t>
      </w:r>
      <w:r w:rsidRPr="004C77C2">
        <w:rPr>
          <w:rFonts w:ascii="Arial" w:eastAsia="宋体" w:hAnsi="Arial" w:cs="Arial"/>
          <w:kern w:val="0"/>
          <w:sz w:val="20"/>
          <w:szCs w:val="20"/>
        </w:rPr>
        <w:t>)</w:t>
      </w:r>
      <w:r w:rsidRPr="004C77C2">
        <w:rPr>
          <w:rFonts w:ascii="Arial" w:eastAsia="宋体" w:hAnsi="Arial" w:cs="Arial"/>
          <w:kern w:val="0"/>
          <w:sz w:val="20"/>
          <w:szCs w:val="20"/>
        </w:rPr>
        <w:t>、卵巢癌、骨及软组织肉瘤、肾母细胞瘤、神经母细胞瘤、膀胱癌、甲状腺癌、前列腺癌、头颈部鳞癌、睾丸癌、胃癌、肝癌等</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静脉注射</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一日</w:t>
      </w:r>
      <w:r w:rsidRPr="004C77C2">
        <w:rPr>
          <w:rFonts w:ascii="Arial" w:eastAsia="宋体" w:hAnsi="Arial" w:cs="Arial"/>
          <w:kern w:val="0"/>
          <w:sz w:val="20"/>
          <w:szCs w:val="20"/>
        </w:rPr>
        <w:t>20-25mg/m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，连用</w:t>
      </w:r>
      <w:r w:rsidRPr="004C77C2">
        <w:rPr>
          <w:rFonts w:ascii="Arial" w:eastAsia="宋体" w:hAnsi="Arial" w:cs="Arial"/>
          <w:kern w:val="0"/>
          <w:sz w:val="20"/>
          <w:szCs w:val="20"/>
        </w:rPr>
        <w:t>3</w:t>
      </w:r>
      <w:r w:rsidRPr="004C77C2">
        <w:rPr>
          <w:rFonts w:ascii="Arial" w:eastAsia="宋体" w:hAnsi="Arial" w:cs="Arial"/>
          <w:kern w:val="0"/>
          <w:sz w:val="20"/>
          <w:szCs w:val="20"/>
        </w:rPr>
        <w:t>日。</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【国外用法用量参考】</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lastRenderedPageBreak/>
        <w:t>成人</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常规剂量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急性淋巴细胞白血病、急性髓细胞白血病、获得性免疫缺陷综合征</w:t>
      </w:r>
      <w:r w:rsidRPr="004C77C2">
        <w:rPr>
          <w:rFonts w:ascii="Arial" w:eastAsia="宋体" w:hAnsi="Arial" w:cs="Arial"/>
          <w:kern w:val="0"/>
          <w:sz w:val="20"/>
          <w:szCs w:val="20"/>
        </w:rPr>
        <w:t>(AIDS)</w:t>
      </w:r>
      <w:r w:rsidRPr="004C77C2">
        <w:rPr>
          <w:rFonts w:ascii="Arial" w:eastAsia="宋体" w:hAnsi="Arial" w:cs="Arial"/>
          <w:kern w:val="0"/>
          <w:sz w:val="20"/>
          <w:szCs w:val="20"/>
        </w:rPr>
        <w:t>相关的晚期卡波西肉瘤、晚期乳腺癌、晚期肿瘤、晚期胃癌、慢性淋巴细胞白血病、晚期尤因肉瘤、晚期霍奇金淋巴瘤、晚期甲状腺癌、晚期肾母细胞瘤、神经母细胞瘤、晚期非霍奇金淋巴瘤、晚期非小细胞肺癌、晚期骨肉瘤、晚期卵巢癌、晚期小细胞肺癌、晚期膀胱移行细胞癌</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(1)</w:t>
      </w:r>
      <w:r w:rsidRPr="004C77C2">
        <w:rPr>
          <w:rFonts w:ascii="Arial" w:eastAsia="宋体" w:hAnsi="Arial" w:cs="Arial"/>
          <w:kern w:val="0"/>
          <w:sz w:val="20"/>
          <w:szCs w:val="20"/>
        </w:rPr>
        <w:t>单药治疗：一次</w:t>
      </w:r>
      <w:r w:rsidRPr="004C77C2">
        <w:rPr>
          <w:rFonts w:ascii="Arial" w:eastAsia="宋体" w:hAnsi="Arial" w:cs="Arial"/>
          <w:kern w:val="0"/>
          <w:sz w:val="20"/>
          <w:szCs w:val="20"/>
        </w:rPr>
        <w:t>60-75mg/m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(2)</w:t>
      </w:r>
      <w:r w:rsidRPr="004C77C2">
        <w:rPr>
          <w:rFonts w:ascii="Arial" w:eastAsia="宋体" w:hAnsi="Arial" w:cs="Arial"/>
          <w:kern w:val="0"/>
          <w:sz w:val="20"/>
          <w:szCs w:val="20"/>
        </w:rPr>
        <w:t>与其他化疗药物合用：一次</w:t>
      </w:r>
      <w:r w:rsidRPr="004C77C2">
        <w:rPr>
          <w:rFonts w:ascii="Arial" w:eastAsia="宋体" w:hAnsi="Arial" w:cs="Arial"/>
          <w:kern w:val="0"/>
          <w:sz w:val="20"/>
          <w:szCs w:val="20"/>
        </w:rPr>
        <w:t>40-60mg/m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21-28</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乳腺癌腋淋巴结阳性者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一次</w:t>
      </w:r>
      <w:r w:rsidRPr="004C77C2">
        <w:rPr>
          <w:rFonts w:ascii="Arial" w:eastAsia="宋体" w:hAnsi="Arial" w:cs="Arial"/>
          <w:kern w:val="0"/>
          <w:sz w:val="20"/>
          <w:szCs w:val="20"/>
        </w:rPr>
        <w:t>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，联合应用环磷酰胺一次</w:t>
      </w:r>
      <w:r w:rsidRPr="004C77C2">
        <w:rPr>
          <w:rFonts w:ascii="Arial" w:eastAsia="宋体" w:hAnsi="Arial" w:cs="Arial"/>
          <w:kern w:val="0"/>
          <w:sz w:val="20"/>
          <w:szCs w:val="20"/>
        </w:rPr>
        <w:t>600mg/m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次，用药</w:t>
      </w:r>
      <w:r w:rsidRPr="004C77C2">
        <w:rPr>
          <w:rFonts w:ascii="Arial" w:eastAsia="宋体" w:hAnsi="Arial" w:cs="Arial"/>
          <w:kern w:val="0"/>
          <w:sz w:val="20"/>
          <w:szCs w:val="20"/>
        </w:rPr>
        <w:t>4</w:t>
      </w:r>
      <w:r w:rsidRPr="004C77C2">
        <w:rPr>
          <w:rFonts w:ascii="Arial" w:eastAsia="宋体" w:hAnsi="Arial" w:cs="Arial"/>
          <w:kern w:val="0"/>
          <w:sz w:val="20"/>
          <w:szCs w:val="20"/>
        </w:rPr>
        <w:t>个疗程。</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晚期软组织肉瘤</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(1)</w:t>
      </w:r>
      <w:r w:rsidRPr="004C77C2">
        <w:rPr>
          <w:rFonts w:ascii="Arial" w:eastAsia="宋体" w:hAnsi="Arial" w:cs="Arial"/>
          <w:kern w:val="0"/>
          <w:sz w:val="20"/>
          <w:szCs w:val="20"/>
        </w:rPr>
        <w:t>单药治疗：一次</w:t>
      </w:r>
      <w:r w:rsidRPr="004C77C2">
        <w:rPr>
          <w:rFonts w:ascii="Arial" w:eastAsia="宋体" w:hAnsi="Arial" w:cs="Arial"/>
          <w:kern w:val="0"/>
          <w:sz w:val="20"/>
          <w:szCs w:val="20"/>
        </w:rPr>
        <w:t>60-75mg/m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(2)</w:t>
      </w:r>
      <w:r w:rsidRPr="004C77C2">
        <w:rPr>
          <w:rFonts w:ascii="Arial" w:eastAsia="宋体" w:hAnsi="Arial" w:cs="Arial"/>
          <w:kern w:val="0"/>
          <w:sz w:val="20"/>
          <w:szCs w:val="20"/>
        </w:rPr>
        <w:t>与其他化疗药物合用：一次</w:t>
      </w:r>
      <w:r w:rsidRPr="004C77C2">
        <w:rPr>
          <w:rFonts w:ascii="Arial" w:eastAsia="宋体" w:hAnsi="Arial" w:cs="Arial"/>
          <w:kern w:val="0"/>
          <w:sz w:val="20"/>
          <w:szCs w:val="20"/>
        </w:rPr>
        <w:t>40-60mg/m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21-28</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(3)AD</w:t>
      </w:r>
      <w:r w:rsidRPr="004C77C2">
        <w:rPr>
          <w:rFonts w:ascii="Arial" w:eastAsia="宋体" w:hAnsi="Arial" w:cs="Arial"/>
          <w:kern w:val="0"/>
          <w:sz w:val="20"/>
          <w:szCs w:val="20"/>
        </w:rPr>
        <w:t>方案：本药</w:t>
      </w:r>
      <w:r w:rsidRPr="004C77C2">
        <w:rPr>
          <w:rFonts w:ascii="Arial" w:eastAsia="宋体" w:hAnsi="Arial" w:cs="Arial"/>
          <w:kern w:val="0"/>
          <w:sz w:val="20"/>
          <w:szCs w:val="20"/>
        </w:rPr>
        <w:t>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，联合达卡巴嗪</w:t>
      </w:r>
      <w:r w:rsidRPr="004C77C2">
        <w:rPr>
          <w:rFonts w:ascii="Arial" w:eastAsia="宋体" w:hAnsi="Arial" w:cs="Arial"/>
          <w:kern w:val="0"/>
          <w:sz w:val="20"/>
          <w:szCs w:val="20"/>
        </w:rPr>
        <w:t>1g/m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，混合或分开持续静脉滴注</w:t>
      </w:r>
      <w:r w:rsidRPr="004C77C2">
        <w:rPr>
          <w:rFonts w:ascii="Arial" w:eastAsia="宋体" w:hAnsi="Arial" w:cs="Arial"/>
          <w:kern w:val="0"/>
          <w:sz w:val="20"/>
          <w:szCs w:val="20"/>
        </w:rPr>
        <w:t>4</w:t>
      </w:r>
      <w:r w:rsidRPr="004C77C2">
        <w:rPr>
          <w:rFonts w:ascii="Arial" w:eastAsia="宋体" w:hAnsi="Arial" w:cs="Arial"/>
          <w:kern w:val="0"/>
          <w:sz w:val="20"/>
          <w:szCs w:val="20"/>
        </w:rPr>
        <w:t>日，若耐受可每</w:t>
      </w:r>
      <w:r w:rsidRPr="004C77C2">
        <w:rPr>
          <w:rFonts w:ascii="Arial" w:eastAsia="宋体" w:hAnsi="Arial" w:cs="Arial"/>
          <w:kern w:val="0"/>
          <w:sz w:val="20"/>
          <w:szCs w:val="20"/>
        </w:rPr>
        <w:t>21</w:t>
      </w:r>
      <w:r w:rsidRPr="004C77C2">
        <w:rPr>
          <w:rFonts w:ascii="Arial" w:eastAsia="宋体" w:hAnsi="Arial" w:cs="Arial"/>
          <w:kern w:val="0"/>
          <w:sz w:val="20"/>
          <w:szCs w:val="20"/>
        </w:rPr>
        <w:t>日用药</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(4)MAID</w:t>
      </w:r>
      <w:r w:rsidRPr="004C77C2">
        <w:rPr>
          <w:rFonts w:ascii="Arial" w:eastAsia="宋体" w:hAnsi="Arial" w:cs="Arial"/>
          <w:kern w:val="0"/>
          <w:sz w:val="20"/>
          <w:szCs w:val="20"/>
        </w:rPr>
        <w:t>方案：本药</w:t>
      </w:r>
      <w:r w:rsidRPr="004C77C2">
        <w:rPr>
          <w:rFonts w:ascii="Arial" w:eastAsia="宋体" w:hAnsi="Arial" w:cs="Arial"/>
          <w:kern w:val="0"/>
          <w:sz w:val="20"/>
          <w:szCs w:val="20"/>
        </w:rPr>
        <w:t>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，联合达卡巴嗪</w:t>
      </w:r>
      <w:r w:rsidRPr="004C77C2">
        <w:rPr>
          <w:rFonts w:ascii="Arial" w:eastAsia="宋体" w:hAnsi="Arial" w:cs="Arial"/>
          <w:kern w:val="0"/>
          <w:sz w:val="20"/>
          <w:szCs w:val="20"/>
        </w:rPr>
        <w:t>1g/m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，混合或分开持续静脉滴注</w:t>
      </w:r>
      <w:r w:rsidRPr="004C77C2">
        <w:rPr>
          <w:rFonts w:ascii="Arial" w:eastAsia="宋体" w:hAnsi="Arial" w:cs="Arial"/>
          <w:kern w:val="0"/>
          <w:sz w:val="20"/>
          <w:szCs w:val="20"/>
        </w:rPr>
        <w:t>4</w:t>
      </w:r>
      <w:r w:rsidRPr="004C77C2">
        <w:rPr>
          <w:rFonts w:ascii="Arial" w:eastAsia="宋体" w:hAnsi="Arial" w:cs="Arial"/>
          <w:kern w:val="0"/>
          <w:sz w:val="20"/>
          <w:szCs w:val="20"/>
        </w:rPr>
        <w:t>日；异环磷酰胺</w:t>
      </w:r>
      <w:r w:rsidRPr="004C77C2">
        <w:rPr>
          <w:rFonts w:ascii="Arial" w:eastAsia="宋体" w:hAnsi="Arial" w:cs="Arial"/>
          <w:kern w:val="0"/>
          <w:sz w:val="20"/>
          <w:szCs w:val="20"/>
        </w:rPr>
        <w:t>6g/m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，美司钠</w:t>
      </w:r>
      <w:r w:rsidRPr="004C77C2">
        <w:rPr>
          <w:rFonts w:ascii="Arial" w:eastAsia="宋体" w:hAnsi="Arial" w:cs="Arial"/>
          <w:kern w:val="0"/>
          <w:sz w:val="20"/>
          <w:szCs w:val="20"/>
        </w:rPr>
        <w:t>10g/m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，混合或分开持续静脉滴注</w:t>
      </w:r>
      <w:r w:rsidRPr="004C77C2">
        <w:rPr>
          <w:rFonts w:ascii="Arial" w:eastAsia="宋体" w:hAnsi="Arial" w:cs="Arial"/>
          <w:kern w:val="0"/>
          <w:sz w:val="20"/>
          <w:szCs w:val="20"/>
        </w:rPr>
        <w:t>3</w:t>
      </w:r>
      <w:r w:rsidRPr="004C77C2">
        <w:rPr>
          <w:rFonts w:ascii="Arial" w:eastAsia="宋体" w:hAnsi="Arial" w:cs="Arial"/>
          <w:kern w:val="0"/>
          <w:sz w:val="20"/>
          <w:szCs w:val="20"/>
        </w:rPr>
        <w:t>日</w:t>
      </w:r>
      <w:r w:rsidRPr="004C77C2">
        <w:rPr>
          <w:rFonts w:ascii="Arial" w:eastAsia="宋体" w:hAnsi="Arial" w:cs="Arial"/>
          <w:kern w:val="0"/>
          <w:sz w:val="20"/>
          <w:szCs w:val="20"/>
        </w:rPr>
        <w:t>(</w:t>
      </w:r>
      <w:r w:rsidRPr="004C77C2">
        <w:rPr>
          <w:rFonts w:ascii="Arial" w:eastAsia="宋体" w:hAnsi="Arial" w:cs="Arial"/>
          <w:kern w:val="0"/>
          <w:sz w:val="20"/>
          <w:szCs w:val="20"/>
        </w:rPr>
        <w:t>异环磷酰胺</w:t>
      </w:r>
      <w:r w:rsidRPr="004C77C2">
        <w:rPr>
          <w:rFonts w:ascii="Arial" w:eastAsia="宋体" w:hAnsi="Arial" w:cs="Arial"/>
          <w:kern w:val="0"/>
          <w:sz w:val="20"/>
          <w:szCs w:val="20"/>
        </w:rPr>
        <w:t>)</w:t>
      </w:r>
      <w:r w:rsidRPr="004C77C2">
        <w:rPr>
          <w:rFonts w:ascii="Arial" w:eastAsia="宋体" w:hAnsi="Arial" w:cs="Arial"/>
          <w:kern w:val="0"/>
          <w:sz w:val="20"/>
          <w:szCs w:val="20"/>
        </w:rPr>
        <w:t>和</w:t>
      </w:r>
      <w:r w:rsidRPr="004C77C2">
        <w:rPr>
          <w:rFonts w:ascii="Arial" w:eastAsia="宋体" w:hAnsi="Arial" w:cs="Arial"/>
          <w:kern w:val="0"/>
          <w:sz w:val="20"/>
          <w:szCs w:val="20"/>
        </w:rPr>
        <w:t>4</w:t>
      </w:r>
      <w:r w:rsidRPr="004C77C2">
        <w:rPr>
          <w:rFonts w:ascii="Arial" w:eastAsia="宋体" w:hAnsi="Arial" w:cs="Arial"/>
          <w:kern w:val="0"/>
          <w:sz w:val="20"/>
          <w:szCs w:val="20"/>
        </w:rPr>
        <w:t>日</w:t>
      </w:r>
      <w:r w:rsidRPr="004C77C2">
        <w:rPr>
          <w:rFonts w:ascii="Arial" w:eastAsia="宋体" w:hAnsi="Arial" w:cs="Arial"/>
          <w:kern w:val="0"/>
          <w:sz w:val="20"/>
          <w:szCs w:val="20"/>
        </w:rPr>
        <w:t>(</w:t>
      </w:r>
      <w:r w:rsidRPr="004C77C2">
        <w:rPr>
          <w:rFonts w:ascii="Arial" w:eastAsia="宋体" w:hAnsi="Arial" w:cs="Arial"/>
          <w:kern w:val="0"/>
          <w:sz w:val="20"/>
          <w:szCs w:val="20"/>
        </w:rPr>
        <w:t>美司钠</w:t>
      </w:r>
      <w:r w:rsidRPr="004C77C2">
        <w:rPr>
          <w:rFonts w:ascii="Arial" w:eastAsia="宋体" w:hAnsi="Arial" w:cs="Arial"/>
          <w:kern w:val="0"/>
          <w:sz w:val="20"/>
          <w:szCs w:val="20"/>
        </w:rPr>
        <w:t>)</w:t>
      </w:r>
      <w:r w:rsidRPr="004C77C2">
        <w:rPr>
          <w:rFonts w:ascii="Arial" w:eastAsia="宋体" w:hAnsi="Arial" w:cs="Arial"/>
          <w:kern w:val="0"/>
          <w:sz w:val="20"/>
          <w:szCs w:val="20"/>
        </w:rPr>
        <w:t>，若耐受可每</w:t>
      </w:r>
      <w:r w:rsidRPr="004C77C2">
        <w:rPr>
          <w:rFonts w:ascii="Arial" w:eastAsia="宋体" w:hAnsi="Arial" w:cs="Arial"/>
          <w:kern w:val="0"/>
          <w:sz w:val="20"/>
          <w:szCs w:val="20"/>
        </w:rPr>
        <w:t>21</w:t>
      </w:r>
      <w:r w:rsidRPr="004C77C2">
        <w:rPr>
          <w:rFonts w:ascii="Arial" w:eastAsia="宋体" w:hAnsi="Arial" w:cs="Arial"/>
          <w:kern w:val="0"/>
          <w:sz w:val="20"/>
          <w:szCs w:val="20"/>
        </w:rPr>
        <w:t>日用药</w:t>
      </w:r>
      <w:r w:rsidRPr="004C77C2">
        <w:rPr>
          <w:rFonts w:ascii="Arial" w:eastAsia="宋体" w:hAnsi="Arial" w:cs="Arial"/>
          <w:kern w:val="0"/>
          <w:sz w:val="20"/>
          <w:szCs w:val="20"/>
        </w:rPr>
        <w:t>1</w:t>
      </w:r>
      <w:r w:rsidRPr="004C77C2">
        <w:rPr>
          <w:rFonts w:ascii="Arial" w:eastAsia="宋体" w:hAnsi="Arial" w:cs="Arial"/>
          <w:kern w:val="0"/>
          <w:sz w:val="20"/>
          <w:szCs w:val="20"/>
        </w:rPr>
        <w:t>次。或本药</w:t>
      </w:r>
      <w:r w:rsidRPr="004C77C2">
        <w:rPr>
          <w:rFonts w:ascii="Arial" w:eastAsia="宋体" w:hAnsi="Arial" w:cs="Arial"/>
          <w:kern w:val="0"/>
          <w:sz w:val="20"/>
          <w:szCs w:val="20"/>
        </w:rPr>
        <w:t>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，联合达卡巴嗪</w:t>
      </w:r>
      <w:r w:rsidRPr="004C77C2">
        <w:rPr>
          <w:rFonts w:ascii="Arial" w:eastAsia="宋体" w:hAnsi="Arial" w:cs="Arial"/>
          <w:kern w:val="0"/>
          <w:sz w:val="20"/>
          <w:szCs w:val="20"/>
        </w:rPr>
        <w:t>900mg/m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，经中心静脉混合持续静脉滴注</w:t>
      </w:r>
      <w:r w:rsidRPr="004C77C2">
        <w:rPr>
          <w:rFonts w:ascii="Arial" w:eastAsia="宋体" w:hAnsi="Arial" w:cs="Arial"/>
          <w:kern w:val="0"/>
          <w:sz w:val="20"/>
          <w:szCs w:val="20"/>
        </w:rPr>
        <w:t>3</w:t>
      </w:r>
      <w:r w:rsidRPr="004C77C2">
        <w:rPr>
          <w:rFonts w:ascii="Arial" w:eastAsia="宋体" w:hAnsi="Arial" w:cs="Arial"/>
          <w:kern w:val="0"/>
          <w:sz w:val="20"/>
          <w:szCs w:val="20"/>
        </w:rPr>
        <w:t>日；异环磷酰胺</w:t>
      </w:r>
      <w:r w:rsidRPr="004C77C2">
        <w:rPr>
          <w:rFonts w:ascii="Arial" w:eastAsia="宋体" w:hAnsi="Arial" w:cs="Arial"/>
          <w:kern w:val="0"/>
          <w:sz w:val="20"/>
          <w:szCs w:val="20"/>
        </w:rPr>
        <w:t>7.5g/m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，美司钠</w:t>
      </w:r>
      <w:r w:rsidRPr="004C77C2">
        <w:rPr>
          <w:rFonts w:ascii="Arial" w:eastAsia="宋体" w:hAnsi="Arial" w:cs="Arial"/>
          <w:kern w:val="0"/>
          <w:sz w:val="20"/>
          <w:szCs w:val="20"/>
        </w:rPr>
        <w:t>10g/m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，通过外周静脉血管混合或分开持续静脉滴注</w:t>
      </w:r>
      <w:r w:rsidRPr="004C77C2">
        <w:rPr>
          <w:rFonts w:ascii="Arial" w:eastAsia="宋体" w:hAnsi="Arial" w:cs="Arial"/>
          <w:kern w:val="0"/>
          <w:sz w:val="20"/>
          <w:szCs w:val="20"/>
        </w:rPr>
        <w:t>3</w:t>
      </w:r>
      <w:r w:rsidRPr="004C77C2">
        <w:rPr>
          <w:rFonts w:ascii="Arial" w:eastAsia="宋体" w:hAnsi="Arial" w:cs="Arial"/>
          <w:kern w:val="0"/>
          <w:sz w:val="20"/>
          <w:szCs w:val="20"/>
        </w:rPr>
        <w:t>日</w:t>
      </w:r>
      <w:r w:rsidRPr="004C77C2">
        <w:rPr>
          <w:rFonts w:ascii="Arial" w:eastAsia="宋体" w:hAnsi="Arial" w:cs="Arial"/>
          <w:kern w:val="0"/>
          <w:sz w:val="20"/>
          <w:szCs w:val="20"/>
        </w:rPr>
        <w:t>(</w:t>
      </w:r>
      <w:r w:rsidRPr="004C77C2">
        <w:rPr>
          <w:rFonts w:ascii="Arial" w:eastAsia="宋体" w:hAnsi="Arial" w:cs="Arial"/>
          <w:kern w:val="0"/>
          <w:sz w:val="20"/>
          <w:szCs w:val="20"/>
        </w:rPr>
        <w:t>异环磷酰胺</w:t>
      </w:r>
      <w:r w:rsidRPr="004C77C2">
        <w:rPr>
          <w:rFonts w:ascii="Arial" w:eastAsia="宋体" w:hAnsi="Arial" w:cs="Arial"/>
          <w:kern w:val="0"/>
          <w:sz w:val="20"/>
          <w:szCs w:val="20"/>
        </w:rPr>
        <w:t>)</w:t>
      </w:r>
      <w:r w:rsidRPr="004C77C2">
        <w:rPr>
          <w:rFonts w:ascii="Arial" w:eastAsia="宋体" w:hAnsi="Arial" w:cs="Arial"/>
          <w:kern w:val="0"/>
          <w:sz w:val="20"/>
          <w:szCs w:val="20"/>
        </w:rPr>
        <w:t>和</w:t>
      </w:r>
      <w:r w:rsidRPr="004C77C2">
        <w:rPr>
          <w:rFonts w:ascii="Arial" w:eastAsia="宋体" w:hAnsi="Arial" w:cs="Arial"/>
          <w:kern w:val="0"/>
          <w:sz w:val="20"/>
          <w:szCs w:val="20"/>
        </w:rPr>
        <w:t>4</w:t>
      </w:r>
      <w:r w:rsidRPr="004C77C2">
        <w:rPr>
          <w:rFonts w:ascii="Arial" w:eastAsia="宋体" w:hAnsi="Arial" w:cs="Arial"/>
          <w:kern w:val="0"/>
          <w:sz w:val="20"/>
          <w:szCs w:val="20"/>
        </w:rPr>
        <w:t>日</w:t>
      </w:r>
      <w:r w:rsidRPr="004C77C2">
        <w:rPr>
          <w:rFonts w:ascii="Arial" w:eastAsia="宋体" w:hAnsi="Arial" w:cs="Arial"/>
          <w:kern w:val="0"/>
          <w:sz w:val="20"/>
          <w:szCs w:val="20"/>
        </w:rPr>
        <w:t>(</w:t>
      </w:r>
      <w:r w:rsidRPr="004C77C2">
        <w:rPr>
          <w:rFonts w:ascii="Arial" w:eastAsia="宋体" w:hAnsi="Arial" w:cs="Arial"/>
          <w:kern w:val="0"/>
          <w:sz w:val="20"/>
          <w:szCs w:val="20"/>
        </w:rPr>
        <w:t>美司钠</w:t>
      </w:r>
      <w:r w:rsidRPr="004C77C2">
        <w:rPr>
          <w:rFonts w:ascii="Arial" w:eastAsia="宋体" w:hAnsi="Arial" w:cs="Arial"/>
          <w:kern w:val="0"/>
          <w:sz w:val="20"/>
          <w:szCs w:val="20"/>
        </w:rPr>
        <w:t>)</w:t>
      </w:r>
      <w:r w:rsidRPr="004C77C2">
        <w:rPr>
          <w:rFonts w:ascii="Arial" w:eastAsia="宋体" w:hAnsi="Arial" w:cs="Arial"/>
          <w:kern w:val="0"/>
          <w:sz w:val="20"/>
          <w:szCs w:val="20"/>
        </w:rPr>
        <w:t>，若耐受可每</w:t>
      </w:r>
      <w:r w:rsidRPr="004C77C2">
        <w:rPr>
          <w:rFonts w:ascii="Arial" w:eastAsia="宋体" w:hAnsi="Arial" w:cs="Arial"/>
          <w:kern w:val="0"/>
          <w:sz w:val="20"/>
          <w:szCs w:val="20"/>
        </w:rPr>
        <w:t>21</w:t>
      </w:r>
      <w:r w:rsidRPr="004C77C2">
        <w:rPr>
          <w:rFonts w:ascii="Arial" w:eastAsia="宋体" w:hAnsi="Arial" w:cs="Arial"/>
          <w:kern w:val="0"/>
          <w:sz w:val="20"/>
          <w:szCs w:val="20"/>
        </w:rPr>
        <w:t>日用药</w:t>
      </w:r>
      <w:r w:rsidRPr="004C77C2">
        <w:rPr>
          <w:rFonts w:ascii="Arial" w:eastAsia="宋体" w:hAnsi="Arial" w:cs="Arial"/>
          <w:kern w:val="0"/>
          <w:sz w:val="20"/>
          <w:szCs w:val="20"/>
        </w:rPr>
        <w:t>1</w:t>
      </w:r>
      <w:r w:rsidRPr="004C77C2">
        <w:rPr>
          <w:rFonts w:ascii="Arial" w:eastAsia="宋体" w:hAnsi="Arial" w:cs="Arial"/>
          <w:kern w:val="0"/>
          <w:sz w:val="20"/>
          <w:szCs w:val="20"/>
        </w:rPr>
        <w:t>次。</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多发性骨髓瘤</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第</w:t>
      </w:r>
      <w:r w:rsidRPr="004C77C2">
        <w:rPr>
          <w:rFonts w:ascii="Arial" w:eastAsia="宋体" w:hAnsi="Arial" w:cs="Arial"/>
          <w:kern w:val="0"/>
          <w:sz w:val="20"/>
          <w:szCs w:val="20"/>
        </w:rPr>
        <w:t>1-4</w:t>
      </w:r>
      <w:r w:rsidRPr="004C77C2">
        <w:rPr>
          <w:rFonts w:ascii="Arial" w:eastAsia="宋体" w:hAnsi="Arial" w:cs="Arial"/>
          <w:kern w:val="0"/>
          <w:sz w:val="20"/>
          <w:szCs w:val="20"/>
        </w:rPr>
        <w:t>日持续静脉滴注本药一日</w:t>
      </w:r>
      <w:r w:rsidRPr="004C77C2">
        <w:rPr>
          <w:rFonts w:ascii="Arial" w:eastAsia="宋体" w:hAnsi="Arial" w:cs="Arial"/>
          <w:kern w:val="0"/>
          <w:sz w:val="20"/>
          <w:szCs w:val="20"/>
        </w:rPr>
        <w:t>9mg/m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，并联合持续静脉滴注长春新碱一日</w:t>
      </w:r>
      <w:r w:rsidRPr="004C77C2">
        <w:rPr>
          <w:rFonts w:ascii="Arial" w:eastAsia="宋体" w:hAnsi="Arial" w:cs="Arial"/>
          <w:kern w:val="0"/>
          <w:sz w:val="20"/>
          <w:szCs w:val="20"/>
        </w:rPr>
        <w:t>0.4mg</w:t>
      </w:r>
      <w:r w:rsidRPr="004C77C2">
        <w:rPr>
          <w:rFonts w:ascii="Arial" w:eastAsia="宋体" w:hAnsi="Arial" w:cs="Arial"/>
          <w:kern w:val="0"/>
          <w:sz w:val="20"/>
          <w:szCs w:val="20"/>
        </w:rPr>
        <w:t>。并于每疗程的第</w:t>
      </w:r>
      <w:r w:rsidRPr="004C77C2">
        <w:rPr>
          <w:rFonts w:ascii="Arial" w:eastAsia="宋体" w:hAnsi="Arial" w:cs="Arial"/>
          <w:kern w:val="0"/>
          <w:sz w:val="20"/>
          <w:szCs w:val="20"/>
        </w:rPr>
        <w:t>1-4</w:t>
      </w:r>
      <w:r w:rsidRPr="004C77C2">
        <w:rPr>
          <w:rFonts w:ascii="Arial" w:eastAsia="宋体" w:hAnsi="Arial" w:cs="Arial"/>
          <w:kern w:val="0"/>
          <w:sz w:val="20"/>
          <w:szCs w:val="20"/>
        </w:rPr>
        <w:t>、</w:t>
      </w:r>
      <w:r w:rsidRPr="004C77C2">
        <w:rPr>
          <w:rFonts w:ascii="Arial" w:eastAsia="宋体" w:hAnsi="Arial" w:cs="Arial"/>
          <w:kern w:val="0"/>
          <w:sz w:val="20"/>
          <w:szCs w:val="20"/>
        </w:rPr>
        <w:t>9-12</w:t>
      </w:r>
      <w:r w:rsidRPr="004C77C2">
        <w:rPr>
          <w:rFonts w:ascii="Arial" w:eastAsia="宋体" w:hAnsi="Arial" w:cs="Arial"/>
          <w:kern w:val="0"/>
          <w:sz w:val="20"/>
          <w:szCs w:val="20"/>
        </w:rPr>
        <w:t>、</w:t>
      </w:r>
      <w:r w:rsidRPr="004C77C2">
        <w:rPr>
          <w:rFonts w:ascii="Arial" w:eastAsia="宋体" w:hAnsi="Arial" w:cs="Arial"/>
          <w:kern w:val="0"/>
          <w:sz w:val="20"/>
          <w:szCs w:val="20"/>
        </w:rPr>
        <w:t>17-20</w:t>
      </w:r>
      <w:r w:rsidRPr="004C77C2">
        <w:rPr>
          <w:rFonts w:ascii="Arial" w:eastAsia="宋体" w:hAnsi="Arial" w:cs="Arial"/>
          <w:kern w:val="0"/>
          <w:sz w:val="20"/>
          <w:szCs w:val="20"/>
        </w:rPr>
        <w:t>日的早晨口服地塞米松</w:t>
      </w:r>
      <w:r w:rsidRPr="004C77C2">
        <w:rPr>
          <w:rFonts w:ascii="Arial" w:eastAsia="宋体" w:hAnsi="Arial" w:cs="Arial"/>
          <w:kern w:val="0"/>
          <w:sz w:val="20"/>
          <w:szCs w:val="20"/>
        </w:rPr>
        <w:t>40mg</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子宫内膜癌</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(1)AP</w:t>
      </w:r>
      <w:r w:rsidRPr="004C77C2">
        <w:rPr>
          <w:rFonts w:ascii="Arial" w:eastAsia="宋体" w:hAnsi="Arial" w:cs="Arial"/>
          <w:kern w:val="0"/>
          <w:sz w:val="20"/>
          <w:szCs w:val="20"/>
        </w:rPr>
        <w:t>方案：本药一次</w:t>
      </w:r>
      <w:r w:rsidRPr="004C77C2">
        <w:rPr>
          <w:rFonts w:ascii="Arial" w:eastAsia="宋体" w:hAnsi="Arial" w:cs="Arial"/>
          <w:kern w:val="0"/>
          <w:sz w:val="20"/>
          <w:szCs w:val="20"/>
        </w:rPr>
        <w:t>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，联合顺铂一次</w:t>
      </w:r>
      <w:r w:rsidRPr="004C77C2">
        <w:rPr>
          <w:rFonts w:ascii="Arial" w:eastAsia="宋体" w:hAnsi="Arial" w:cs="Arial"/>
          <w:kern w:val="0"/>
          <w:sz w:val="20"/>
          <w:szCs w:val="20"/>
        </w:rPr>
        <w:t>50mg/m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日给药</w:t>
      </w:r>
      <w:r w:rsidRPr="004C77C2">
        <w:rPr>
          <w:rFonts w:ascii="Arial" w:eastAsia="宋体" w:hAnsi="Arial" w:cs="Arial"/>
          <w:kern w:val="0"/>
          <w:sz w:val="20"/>
          <w:szCs w:val="20"/>
        </w:rPr>
        <w:t>1</w:t>
      </w:r>
      <w:r w:rsidRPr="004C77C2">
        <w:rPr>
          <w:rFonts w:ascii="Arial" w:eastAsia="宋体" w:hAnsi="Arial" w:cs="Arial"/>
          <w:kern w:val="0"/>
          <w:sz w:val="20"/>
          <w:szCs w:val="20"/>
        </w:rPr>
        <w:t>次，若患者耐受应给药直至疾病进展，共用药</w:t>
      </w:r>
      <w:r w:rsidRPr="004C77C2">
        <w:rPr>
          <w:rFonts w:ascii="Arial" w:eastAsia="宋体" w:hAnsi="Arial" w:cs="Arial"/>
          <w:kern w:val="0"/>
          <w:sz w:val="20"/>
          <w:szCs w:val="20"/>
        </w:rPr>
        <w:t>7</w:t>
      </w:r>
      <w:r w:rsidRPr="004C77C2">
        <w:rPr>
          <w:rFonts w:ascii="Arial" w:eastAsia="宋体" w:hAnsi="Arial" w:cs="Arial"/>
          <w:kern w:val="0"/>
          <w:sz w:val="20"/>
          <w:szCs w:val="20"/>
        </w:rPr>
        <w:t>个疗程。先前接受过盆腔放疗或年龄大于</w:t>
      </w:r>
      <w:r w:rsidRPr="004C77C2">
        <w:rPr>
          <w:rFonts w:ascii="Arial" w:eastAsia="宋体" w:hAnsi="Arial" w:cs="Arial"/>
          <w:kern w:val="0"/>
          <w:sz w:val="20"/>
          <w:szCs w:val="20"/>
        </w:rPr>
        <w:t>65</w:t>
      </w:r>
      <w:r w:rsidRPr="004C77C2">
        <w:rPr>
          <w:rFonts w:ascii="Arial" w:eastAsia="宋体" w:hAnsi="Arial" w:cs="Arial"/>
          <w:kern w:val="0"/>
          <w:sz w:val="20"/>
          <w:szCs w:val="20"/>
        </w:rPr>
        <w:t>岁的患者本药剂量应调整为一次</w:t>
      </w:r>
      <w:r w:rsidRPr="004C77C2">
        <w:rPr>
          <w:rFonts w:ascii="Arial" w:eastAsia="宋体" w:hAnsi="Arial" w:cs="Arial"/>
          <w:kern w:val="0"/>
          <w:sz w:val="20"/>
          <w:szCs w:val="20"/>
        </w:rPr>
        <w:t>45mg/m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w:t>
      </w:r>
      <w:r w:rsidRPr="004C77C2">
        <w:rPr>
          <w:rFonts w:ascii="Arial" w:eastAsia="宋体" w:hAnsi="Arial" w:cs="Arial"/>
          <w:kern w:val="0"/>
          <w:sz w:val="20"/>
          <w:szCs w:val="20"/>
        </w:rPr>
        <w:t>(2)TAP</w:t>
      </w:r>
      <w:r w:rsidRPr="004C77C2">
        <w:rPr>
          <w:rFonts w:ascii="Arial" w:eastAsia="宋体" w:hAnsi="Arial" w:cs="Arial"/>
          <w:kern w:val="0"/>
          <w:sz w:val="20"/>
          <w:szCs w:val="20"/>
        </w:rPr>
        <w:t>方案：第</w:t>
      </w:r>
      <w:r w:rsidRPr="004C77C2">
        <w:rPr>
          <w:rFonts w:ascii="Arial" w:eastAsia="宋体" w:hAnsi="Arial" w:cs="Arial"/>
          <w:kern w:val="0"/>
          <w:sz w:val="20"/>
          <w:szCs w:val="20"/>
        </w:rPr>
        <w:t>1</w:t>
      </w:r>
      <w:r w:rsidRPr="004C77C2">
        <w:rPr>
          <w:rFonts w:ascii="Arial" w:eastAsia="宋体" w:hAnsi="Arial" w:cs="Arial"/>
          <w:kern w:val="0"/>
          <w:sz w:val="20"/>
          <w:szCs w:val="20"/>
        </w:rPr>
        <w:t>日给予本药</w:t>
      </w:r>
      <w:r w:rsidRPr="004C77C2">
        <w:rPr>
          <w:rFonts w:ascii="Arial" w:eastAsia="宋体" w:hAnsi="Arial" w:cs="Arial"/>
          <w:kern w:val="0"/>
          <w:sz w:val="20"/>
          <w:szCs w:val="20"/>
        </w:rPr>
        <w:t>45mg/m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，联合应用顺</w:t>
      </w:r>
      <w:r w:rsidRPr="004C77C2">
        <w:rPr>
          <w:rFonts w:ascii="Arial" w:eastAsia="宋体" w:hAnsi="Arial" w:cs="Arial"/>
          <w:kern w:val="0"/>
          <w:sz w:val="20"/>
          <w:szCs w:val="20"/>
        </w:rPr>
        <w:lastRenderedPageBreak/>
        <w:t>铂</w:t>
      </w:r>
      <w:r w:rsidRPr="004C77C2">
        <w:rPr>
          <w:rFonts w:ascii="Arial" w:eastAsia="宋体" w:hAnsi="Arial" w:cs="Arial"/>
          <w:kern w:val="0"/>
          <w:sz w:val="20"/>
          <w:szCs w:val="20"/>
        </w:rPr>
        <w:t>50mg/m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；第</w:t>
      </w:r>
      <w:r w:rsidRPr="004C77C2">
        <w:rPr>
          <w:rFonts w:ascii="Arial" w:eastAsia="宋体" w:hAnsi="Arial" w:cs="Arial"/>
          <w:kern w:val="0"/>
          <w:sz w:val="20"/>
          <w:szCs w:val="20"/>
        </w:rPr>
        <w:t>2</w:t>
      </w:r>
      <w:r w:rsidRPr="004C77C2">
        <w:rPr>
          <w:rFonts w:ascii="Arial" w:eastAsia="宋体" w:hAnsi="Arial" w:cs="Arial"/>
          <w:kern w:val="0"/>
          <w:sz w:val="20"/>
          <w:szCs w:val="20"/>
        </w:rPr>
        <w:t>日给予紫杉醇</w:t>
      </w:r>
      <w:r w:rsidRPr="004C77C2">
        <w:rPr>
          <w:rFonts w:ascii="Arial" w:eastAsia="宋体" w:hAnsi="Arial" w:cs="Arial"/>
          <w:kern w:val="0"/>
          <w:sz w:val="20"/>
          <w:szCs w:val="20"/>
        </w:rPr>
        <w:t>160mg/m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；第</w:t>
      </w:r>
      <w:r w:rsidRPr="004C77C2">
        <w:rPr>
          <w:rFonts w:ascii="Arial" w:eastAsia="宋体" w:hAnsi="Arial" w:cs="Arial"/>
          <w:kern w:val="0"/>
          <w:sz w:val="20"/>
          <w:szCs w:val="20"/>
        </w:rPr>
        <w:t>3-12</w:t>
      </w:r>
      <w:r w:rsidRPr="004C77C2">
        <w:rPr>
          <w:rFonts w:ascii="Arial" w:eastAsia="宋体" w:hAnsi="Arial" w:cs="Arial"/>
          <w:kern w:val="0"/>
          <w:sz w:val="20"/>
          <w:szCs w:val="20"/>
        </w:rPr>
        <w:t>日皮下注射非格司亭一日</w:t>
      </w:r>
      <w:r w:rsidRPr="004C77C2">
        <w:rPr>
          <w:rFonts w:ascii="Arial" w:eastAsia="宋体" w:hAnsi="Arial" w:cs="Arial"/>
          <w:kern w:val="0"/>
          <w:sz w:val="20"/>
          <w:szCs w:val="20"/>
        </w:rPr>
        <w:t>5μg/kg</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日给药</w:t>
      </w:r>
      <w:r w:rsidRPr="004C77C2">
        <w:rPr>
          <w:rFonts w:ascii="Arial" w:eastAsia="宋体" w:hAnsi="Arial" w:cs="Arial"/>
          <w:kern w:val="0"/>
          <w:sz w:val="20"/>
          <w:szCs w:val="20"/>
        </w:rPr>
        <w:t>1</w:t>
      </w:r>
      <w:r w:rsidRPr="004C77C2">
        <w:rPr>
          <w:rFonts w:ascii="Arial" w:eastAsia="宋体" w:hAnsi="Arial" w:cs="Arial"/>
          <w:kern w:val="0"/>
          <w:sz w:val="20"/>
          <w:szCs w:val="20"/>
        </w:rPr>
        <w:t>次，若患者耐受应给药直至疾病进展，共用药</w:t>
      </w:r>
      <w:r w:rsidRPr="004C77C2">
        <w:rPr>
          <w:rFonts w:ascii="Arial" w:eastAsia="宋体" w:hAnsi="Arial" w:cs="Arial"/>
          <w:kern w:val="0"/>
          <w:sz w:val="20"/>
          <w:szCs w:val="20"/>
        </w:rPr>
        <w:t>7</w:t>
      </w:r>
      <w:r w:rsidRPr="004C77C2">
        <w:rPr>
          <w:rFonts w:ascii="Arial" w:eastAsia="宋体" w:hAnsi="Arial" w:cs="Arial"/>
          <w:kern w:val="0"/>
          <w:sz w:val="20"/>
          <w:szCs w:val="20"/>
        </w:rPr>
        <w:t>个疗程。</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晚期胸腺恶性肿瘤</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(1)ADOC</w:t>
      </w:r>
      <w:r w:rsidRPr="004C77C2">
        <w:rPr>
          <w:rFonts w:ascii="Arial" w:eastAsia="宋体" w:hAnsi="Arial" w:cs="Arial"/>
          <w:kern w:val="0"/>
          <w:sz w:val="20"/>
          <w:szCs w:val="20"/>
        </w:rPr>
        <w:t>方案：第</w:t>
      </w:r>
      <w:r w:rsidRPr="004C77C2">
        <w:rPr>
          <w:rFonts w:ascii="Arial" w:eastAsia="宋体" w:hAnsi="Arial" w:cs="Arial"/>
          <w:kern w:val="0"/>
          <w:sz w:val="20"/>
          <w:szCs w:val="20"/>
        </w:rPr>
        <w:t>1</w:t>
      </w:r>
      <w:r w:rsidRPr="004C77C2">
        <w:rPr>
          <w:rFonts w:ascii="Arial" w:eastAsia="宋体" w:hAnsi="Arial" w:cs="Arial"/>
          <w:kern w:val="0"/>
          <w:sz w:val="20"/>
          <w:szCs w:val="20"/>
        </w:rPr>
        <w:t>日给予顺铂</w:t>
      </w:r>
      <w:r w:rsidRPr="004C77C2">
        <w:rPr>
          <w:rFonts w:ascii="Arial" w:eastAsia="宋体" w:hAnsi="Arial" w:cs="Arial"/>
          <w:kern w:val="0"/>
          <w:sz w:val="20"/>
          <w:szCs w:val="20"/>
        </w:rPr>
        <w:t>50mg/m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、本药</w:t>
      </w:r>
      <w:r w:rsidRPr="004C77C2">
        <w:rPr>
          <w:rFonts w:ascii="Arial" w:eastAsia="宋体" w:hAnsi="Arial" w:cs="Arial"/>
          <w:kern w:val="0"/>
          <w:sz w:val="20"/>
          <w:szCs w:val="20"/>
        </w:rPr>
        <w:t>40mg/m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，第</w:t>
      </w:r>
      <w:r w:rsidRPr="004C77C2">
        <w:rPr>
          <w:rFonts w:ascii="Arial" w:eastAsia="宋体" w:hAnsi="Arial" w:cs="Arial"/>
          <w:kern w:val="0"/>
          <w:sz w:val="20"/>
          <w:szCs w:val="20"/>
        </w:rPr>
        <w:t>3</w:t>
      </w:r>
      <w:r w:rsidRPr="004C77C2">
        <w:rPr>
          <w:rFonts w:ascii="Arial" w:eastAsia="宋体" w:hAnsi="Arial" w:cs="Arial"/>
          <w:kern w:val="0"/>
          <w:sz w:val="20"/>
          <w:szCs w:val="20"/>
        </w:rPr>
        <w:t>日给予长春新碱</w:t>
      </w:r>
      <w:r w:rsidRPr="004C77C2">
        <w:rPr>
          <w:rFonts w:ascii="Arial" w:eastAsia="宋体" w:hAnsi="Arial" w:cs="Arial"/>
          <w:kern w:val="0"/>
          <w:sz w:val="20"/>
          <w:szCs w:val="20"/>
        </w:rPr>
        <w:t>0.6mg/m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，第</w:t>
      </w:r>
      <w:r w:rsidRPr="004C77C2">
        <w:rPr>
          <w:rFonts w:ascii="Arial" w:eastAsia="宋体" w:hAnsi="Arial" w:cs="Arial"/>
          <w:kern w:val="0"/>
          <w:sz w:val="20"/>
          <w:szCs w:val="20"/>
        </w:rPr>
        <w:t>4</w:t>
      </w:r>
      <w:r w:rsidRPr="004C77C2">
        <w:rPr>
          <w:rFonts w:ascii="Arial" w:eastAsia="宋体" w:hAnsi="Arial" w:cs="Arial"/>
          <w:kern w:val="0"/>
          <w:sz w:val="20"/>
          <w:szCs w:val="20"/>
        </w:rPr>
        <w:t>日给予环磷酰胺</w:t>
      </w:r>
      <w:r w:rsidRPr="004C77C2">
        <w:rPr>
          <w:rFonts w:ascii="Arial" w:eastAsia="宋体" w:hAnsi="Arial" w:cs="Arial"/>
          <w:kern w:val="0"/>
          <w:sz w:val="20"/>
          <w:szCs w:val="20"/>
        </w:rPr>
        <w:t>700mg/m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3</w:t>
      </w:r>
      <w:r w:rsidRPr="004C77C2">
        <w:rPr>
          <w:rFonts w:ascii="Arial" w:eastAsia="宋体" w:hAnsi="Arial" w:cs="Arial"/>
          <w:kern w:val="0"/>
          <w:sz w:val="20"/>
          <w:szCs w:val="20"/>
        </w:rPr>
        <w:t>周重复给药</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(2)PAC</w:t>
      </w:r>
      <w:r w:rsidRPr="004C77C2">
        <w:rPr>
          <w:rFonts w:ascii="Arial" w:eastAsia="宋体" w:hAnsi="Arial" w:cs="Arial"/>
          <w:kern w:val="0"/>
          <w:sz w:val="20"/>
          <w:szCs w:val="20"/>
        </w:rPr>
        <w:t>方案：顺铂一次</w:t>
      </w:r>
      <w:r w:rsidRPr="004C77C2">
        <w:rPr>
          <w:rFonts w:ascii="Arial" w:eastAsia="宋体" w:hAnsi="Arial" w:cs="Arial"/>
          <w:kern w:val="0"/>
          <w:sz w:val="20"/>
          <w:szCs w:val="20"/>
        </w:rPr>
        <w:t>50mg/m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，静脉滴注</w:t>
      </w:r>
      <w:r w:rsidRPr="004C77C2">
        <w:rPr>
          <w:rFonts w:ascii="Arial" w:eastAsia="宋体" w:hAnsi="Arial" w:cs="Arial"/>
          <w:kern w:val="0"/>
          <w:sz w:val="20"/>
          <w:szCs w:val="20"/>
        </w:rPr>
        <w:t>1</w:t>
      </w:r>
      <w:r w:rsidRPr="004C77C2">
        <w:rPr>
          <w:rFonts w:ascii="Arial" w:eastAsia="宋体" w:hAnsi="Arial" w:cs="Arial"/>
          <w:kern w:val="0"/>
          <w:sz w:val="20"/>
          <w:szCs w:val="20"/>
        </w:rPr>
        <w:t>小时，本药一次</w:t>
      </w:r>
      <w:r w:rsidRPr="004C77C2">
        <w:rPr>
          <w:rFonts w:ascii="Arial" w:eastAsia="宋体" w:hAnsi="Arial" w:cs="Arial"/>
          <w:kern w:val="0"/>
          <w:sz w:val="20"/>
          <w:szCs w:val="20"/>
        </w:rPr>
        <w:t>50mg/m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，环磷酰胺一次</w:t>
      </w:r>
      <w:r w:rsidRPr="004C77C2">
        <w:rPr>
          <w:rFonts w:ascii="Arial" w:eastAsia="宋体" w:hAnsi="Arial" w:cs="Arial"/>
          <w:kern w:val="0"/>
          <w:sz w:val="20"/>
          <w:szCs w:val="20"/>
        </w:rPr>
        <w:t>500mg/m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日重复用药</w:t>
      </w:r>
      <w:r w:rsidRPr="004C77C2">
        <w:rPr>
          <w:rFonts w:ascii="Arial" w:eastAsia="宋体" w:hAnsi="Arial" w:cs="Arial"/>
          <w:kern w:val="0"/>
          <w:sz w:val="20"/>
          <w:szCs w:val="20"/>
        </w:rPr>
        <w:t>1</w:t>
      </w:r>
      <w:r w:rsidRPr="004C77C2">
        <w:rPr>
          <w:rFonts w:ascii="Arial" w:eastAsia="宋体" w:hAnsi="Arial" w:cs="Arial"/>
          <w:kern w:val="0"/>
          <w:sz w:val="20"/>
          <w:szCs w:val="20"/>
        </w:rPr>
        <w:t>次，连用</w:t>
      </w:r>
      <w:r w:rsidRPr="004C77C2">
        <w:rPr>
          <w:rFonts w:ascii="Arial" w:eastAsia="宋体" w:hAnsi="Arial" w:cs="Arial"/>
          <w:kern w:val="0"/>
          <w:sz w:val="20"/>
          <w:szCs w:val="20"/>
        </w:rPr>
        <w:t>8</w:t>
      </w:r>
      <w:r w:rsidRPr="004C77C2">
        <w:rPr>
          <w:rFonts w:ascii="Arial" w:eastAsia="宋体" w:hAnsi="Arial" w:cs="Arial"/>
          <w:kern w:val="0"/>
          <w:sz w:val="20"/>
          <w:szCs w:val="20"/>
        </w:rPr>
        <w:t>个疗程。</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肾功能不全时剂量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肾功能不全者无需调整剂量。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肝功能不全时剂量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血清胆红素水平为</w:t>
      </w:r>
      <w:r w:rsidRPr="004C77C2">
        <w:rPr>
          <w:rFonts w:ascii="Arial" w:eastAsia="宋体" w:hAnsi="Arial" w:cs="Arial"/>
          <w:kern w:val="0"/>
          <w:sz w:val="20"/>
          <w:szCs w:val="20"/>
        </w:rPr>
        <w:t>1.2-3.0mg/dL</w:t>
      </w:r>
      <w:r w:rsidRPr="004C77C2">
        <w:rPr>
          <w:rFonts w:ascii="Arial" w:eastAsia="宋体" w:hAnsi="Arial" w:cs="Arial"/>
          <w:kern w:val="0"/>
          <w:sz w:val="20"/>
          <w:szCs w:val="20"/>
        </w:rPr>
        <w:t>者，应减量</w:t>
      </w:r>
      <w:r w:rsidRPr="004C77C2">
        <w:rPr>
          <w:rFonts w:ascii="Arial" w:eastAsia="宋体" w:hAnsi="Arial" w:cs="Arial"/>
          <w:kern w:val="0"/>
          <w:sz w:val="20"/>
          <w:szCs w:val="20"/>
        </w:rPr>
        <w:t>50%</w:t>
      </w:r>
      <w:r w:rsidRPr="004C77C2">
        <w:rPr>
          <w:rFonts w:ascii="Arial" w:eastAsia="宋体" w:hAnsi="Arial" w:cs="Arial"/>
          <w:kern w:val="0"/>
          <w:sz w:val="20"/>
          <w:szCs w:val="20"/>
        </w:rPr>
        <w:t>；血清胆红素水平为</w:t>
      </w:r>
      <w:r w:rsidRPr="004C77C2">
        <w:rPr>
          <w:rFonts w:ascii="Arial" w:eastAsia="宋体" w:hAnsi="Arial" w:cs="Arial"/>
          <w:kern w:val="0"/>
          <w:sz w:val="20"/>
          <w:szCs w:val="20"/>
        </w:rPr>
        <w:t>3.1-5.0mg/dL</w:t>
      </w:r>
      <w:r w:rsidRPr="004C77C2">
        <w:rPr>
          <w:rFonts w:ascii="Arial" w:eastAsia="宋体" w:hAnsi="Arial" w:cs="Arial"/>
          <w:kern w:val="0"/>
          <w:sz w:val="20"/>
          <w:szCs w:val="20"/>
        </w:rPr>
        <w:t>者，应减量</w:t>
      </w:r>
      <w:r w:rsidRPr="004C77C2">
        <w:rPr>
          <w:rFonts w:ascii="Arial" w:eastAsia="宋体" w:hAnsi="Arial" w:cs="Arial"/>
          <w:kern w:val="0"/>
          <w:sz w:val="20"/>
          <w:szCs w:val="20"/>
        </w:rPr>
        <w:t>75%</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老年人剂量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无需依据年龄调整剂量，但由于年老造成骨髓储备不足者使用单药治疗时应使用剂量范围</w:t>
      </w:r>
      <w:r w:rsidRPr="004C77C2">
        <w:rPr>
          <w:rFonts w:ascii="Arial" w:eastAsia="宋体" w:hAnsi="Arial" w:cs="Arial"/>
          <w:kern w:val="0"/>
          <w:sz w:val="20"/>
          <w:szCs w:val="20"/>
        </w:rPr>
        <w:t>(60-75mg/m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w:t>
      </w:r>
      <w:r w:rsidRPr="004C77C2">
        <w:rPr>
          <w:rFonts w:ascii="Arial" w:eastAsia="宋体" w:hAnsi="Arial" w:cs="Arial"/>
          <w:kern w:val="0"/>
          <w:sz w:val="20"/>
          <w:szCs w:val="20"/>
        </w:rPr>
        <w:t>的低值。</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其他疾病时剂量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用于出现中性粒细胞减少性发热或感染的乳腺癌腋淋巴结阳性者时，应减量至本药起始剂量的</w:t>
      </w:r>
      <w:r w:rsidRPr="004C77C2">
        <w:rPr>
          <w:rFonts w:ascii="Arial" w:eastAsia="宋体" w:hAnsi="Arial" w:cs="Arial"/>
          <w:kern w:val="0"/>
          <w:sz w:val="20"/>
          <w:szCs w:val="20"/>
        </w:rPr>
        <w:t>75%</w:t>
      </w:r>
      <w:r w:rsidRPr="004C77C2">
        <w:rPr>
          <w:rFonts w:ascii="Arial" w:eastAsia="宋体" w:hAnsi="Arial" w:cs="Arial"/>
          <w:kern w:val="0"/>
          <w:sz w:val="20"/>
          <w:szCs w:val="20"/>
        </w:rPr>
        <w:t>，同时推荐此类患者合并使用环磷酰胺。待绝对中性粒细胞计数大于或等于</w:t>
      </w:r>
      <w:r w:rsidRPr="004C77C2">
        <w:rPr>
          <w:rFonts w:ascii="Arial" w:eastAsia="宋体" w:hAnsi="Arial" w:cs="Arial"/>
          <w:kern w:val="0"/>
          <w:sz w:val="20"/>
          <w:szCs w:val="20"/>
        </w:rPr>
        <w:t>1×10</w:t>
      </w:r>
      <w:r w:rsidRPr="004C77C2">
        <w:rPr>
          <w:rFonts w:ascii="Arial" w:eastAsia="宋体" w:hAnsi="Arial" w:cs="Arial"/>
          <w:kern w:val="0"/>
          <w:sz w:val="20"/>
          <w:szCs w:val="20"/>
          <w:vertAlign w:val="superscript"/>
        </w:rPr>
        <w:t>9</w:t>
      </w:r>
      <w:r w:rsidRPr="004C77C2">
        <w:rPr>
          <w:rFonts w:ascii="Arial" w:eastAsia="宋体" w:hAnsi="Arial" w:cs="Arial"/>
          <w:kern w:val="0"/>
          <w:sz w:val="20"/>
          <w:szCs w:val="20"/>
        </w:rPr>
        <w:t>/L</w:t>
      </w:r>
      <w:r w:rsidRPr="004C77C2">
        <w:rPr>
          <w:rFonts w:ascii="Arial" w:eastAsia="宋体" w:hAnsi="Arial" w:cs="Arial"/>
          <w:kern w:val="0"/>
          <w:sz w:val="20"/>
          <w:szCs w:val="20"/>
        </w:rPr>
        <w:t>，血小板计数大于或等于</w:t>
      </w:r>
      <w:r w:rsidRPr="004C77C2">
        <w:rPr>
          <w:rFonts w:ascii="Arial" w:eastAsia="宋体" w:hAnsi="Arial" w:cs="Arial"/>
          <w:kern w:val="0"/>
          <w:sz w:val="20"/>
          <w:szCs w:val="20"/>
        </w:rPr>
        <w:t>100×10</w:t>
      </w:r>
      <w:r w:rsidRPr="004C77C2">
        <w:rPr>
          <w:rFonts w:ascii="Arial" w:eastAsia="宋体" w:hAnsi="Arial" w:cs="Arial"/>
          <w:kern w:val="0"/>
          <w:sz w:val="20"/>
          <w:szCs w:val="20"/>
          <w:vertAlign w:val="superscript"/>
        </w:rPr>
        <w:t>9</w:t>
      </w:r>
      <w:r w:rsidRPr="004C77C2">
        <w:rPr>
          <w:rFonts w:ascii="Arial" w:eastAsia="宋体" w:hAnsi="Arial" w:cs="Arial"/>
          <w:kern w:val="0"/>
          <w:sz w:val="20"/>
          <w:szCs w:val="20"/>
        </w:rPr>
        <w:t>/L</w:t>
      </w:r>
      <w:r w:rsidRPr="004C77C2">
        <w:rPr>
          <w:rFonts w:ascii="Arial" w:eastAsia="宋体" w:hAnsi="Arial" w:cs="Arial"/>
          <w:kern w:val="0"/>
          <w:sz w:val="20"/>
          <w:szCs w:val="20"/>
        </w:rPr>
        <w:t>，且非血液学毒性已解除时，方可给予下一疗程剂量。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儿童</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常规剂量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w:t>
      </w:r>
      <w:r w:rsidRPr="004C77C2">
        <w:rPr>
          <w:rFonts w:ascii="Arial" w:eastAsia="宋体" w:hAnsi="Arial" w:cs="Arial"/>
          <w:kern w:val="0"/>
          <w:sz w:val="20"/>
          <w:szCs w:val="20"/>
        </w:rPr>
        <w:t>急性淋巴细胞白血病、急性髓细胞白血病、</w:t>
      </w:r>
      <w:r w:rsidRPr="004C77C2">
        <w:rPr>
          <w:rFonts w:ascii="Arial" w:eastAsia="宋体" w:hAnsi="Arial" w:cs="Arial"/>
          <w:kern w:val="0"/>
          <w:sz w:val="20"/>
          <w:szCs w:val="20"/>
        </w:rPr>
        <w:t>AIDS</w:t>
      </w:r>
      <w:r w:rsidRPr="004C77C2">
        <w:rPr>
          <w:rFonts w:ascii="Arial" w:eastAsia="宋体" w:hAnsi="Arial" w:cs="Arial"/>
          <w:kern w:val="0"/>
          <w:sz w:val="20"/>
          <w:szCs w:val="20"/>
        </w:rPr>
        <w:t>相关的晚期卡波西肉瘤、晚期乳腺癌、晚期肿瘤、晚期胃癌、慢性淋巴细胞白血病、晚期尤因肉瘤、晚期霍奇金淋巴瘤、晚期甲状腺癌、晚期套细胞淋巴瘤、晚期蕈样真菌病、晚期肾母细胞瘤、神经母细胞瘤、晚期非霍奇金淋巴</w:t>
      </w:r>
      <w:r w:rsidRPr="004C77C2">
        <w:rPr>
          <w:rFonts w:ascii="Arial" w:eastAsia="宋体" w:hAnsi="Arial" w:cs="Arial"/>
          <w:kern w:val="0"/>
          <w:sz w:val="20"/>
          <w:szCs w:val="20"/>
        </w:rPr>
        <w:lastRenderedPageBreak/>
        <w:t>瘤、晚期非小细胞肺癌、晚期骨肉瘤、晚期卵巢癌、晚期软组织肉瘤、晚期小细胞肺癌、晚期膀胱移行细胞癌</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静脉给药</w:t>
      </w:r>
      <w:r w:rsidRPr="004C77C2">
        <w:rPr>
          <w:rFonts w:ascii="Arial" w:eastAsia="宋体" w:hAnsi="Arial" w:cs="Arial"/>
          <w:kern w:val="0"/>
          <w:sz w:val="20"/>
          <w:szCs w:val="20"/>
        </w:rPr>
        <w:t xml:space="preserve">  (1)</w:t>
      </w:r>
      <w:r w:rsidRPr="004C77C2">
        <w:rPr>
          <w:rFonts w:ascii="Arial" w:eastAsia="宋体" w:hAnsi="Arial" w:cs="Arial"/>
          <w:kern w:val="0"/>
          <w:sz w:val="20"/>
          <w:szCs w:val="20"/>
        </w:rPr>
        <w:t>单药治疗：一次</w:t>
      </w:r>
      <w:r w:rsidRPr="004C77C2">
        <w:rPr>
          <w:rFonts w:ascii="Arial" w:eastAsia="宋体" w:hAnsi="Arial" w:cs="Arial"/>
          <w:kern w:val="0"/>
          <w:sz w:val="20"/>
          <w:szCs w:val="20"/>
        </w:rPr>
        <w:t>60-75mg/m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(2)</w:t>
      </w:r>
      <w:r w:rsidRPr="004C77C2">
        <w:rPr>
          <w:rFonts w:ascii="Arial" w:eastAsia="宋体" w:hAnsi="Arial" w:cs="Arial"/>
          <w:kern w:val="0"/>
          <w:sz w:val="20"/>
          <w:szCs w:val="20"/>
        </w:rPr>
        <w:t>与其他化疗药物合用：一次</w:t>
      </w:r>
      <w:r w:rsidRPr="004C77C2">
        <w:rPr>
          <w:rFonts w:ascii="Arial" w:eastAsia="宋体" w:hAnsi="Arial" w:cs="Arial"/>
          <w:kern w:val="0"/>
          <w:sz w:val="20"/>
          <w:szCs w:val="20"/>
        </w:rPr>
        <w:t>40-60mg/m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，每</w:t>
      </w:r>
      <w:r w:rsidRPr="004C77C2">
        <w:rPr>
          <w:rFonts w:ascii="Arial" w:eastAsia="宋体" w:hAnsi="Arial" w:cs="Arial"/>
          <w:kern w:val="0"/>
          <w:sz w:val="20"/>
          <w:szCs w:val="20"/>
        </w:rPr>
        <w:t>21-28</w:t>
      </w:r>
      <w:r w:rsidRPr="004C77C2">
        <w:rPr>
          <w:rFonts w:ascii="Arial" w:eastAsia="宋体" w:hAnsi="Arial" w:cs="Arial"/>
          <w:kern w:val="0"/>
          <w:sz w:val="20"/>
          <w:szCs w:val="20"/>
        </w:rPr>
        <w:t>日</w:t>
      </w:r>
      <w:r w:rsidRPr="004C77C2">
        <w:rPr>
          <w:rFonts w:ascii="Arial" w:eastAsia="宋体" w:hAnsi="Arial" w:cs="Arial"/>
          <w:kern w:val="0"/>
          <w:sz w:val="20"/>
          <w:szCs w:val="20"/>
        </w:rPr>
        <w:t>1</w:t>
      </w:r>
      <w:r w:rsidRPr="004C77C2">
        <w:rPr>
          <w:rFonts w:ascii="Arial" w:eastAsia="宋体" w:hAnsi="Arial" w:cs="Arial"/>
          <w:kern w:val="0"/>
          <w:sz w:val="20"/>
          <w:szCs w:val="20"/>
        </w:rPr>
        <w:t>次。</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肾功能不全时剂量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重度肾功能不全</w:t>
      </w:r>
      <w:r w:rsidRPr="004C77C2">
        <w:rPr>
          <w:rFonts w:ascii="Arial" w:eastAsia="宋体" w:hAnsi="Arial" w:cs="Arial"/>
          <w:kern w:val="0"/>
          <w:sz w:val="20"/>
          <w:szCs w:val="20"/>
        </w:rPr>
        <w:t>[</w:t>
      </w:r>
      <w:r w:rsidRPr="004C77C2">
        <w:rPr>
          <w:rFonts w:ascii="Arial" w:eastAsia="宋体" w:hAnsi="Arial" w:cs="Arial"/>
          <w:kern w:val="0"/>
          <w:sz w:val="20"/>
          <w:szCs w:val="20"/>
        </w:rPr>
        <w:t>肾小球滤过率</w:t>
      </w:r>
      <w:r w:rsidRPr="004C77C2">
        <w:rPr>
          <w:rFonts w:ascii="Arial" w:eastAsia="宋体" w:hAnsi="Arial" w:cs="Arial"/>
          <w:kern w:val="0"/>
          <w:sz w:val="20"/>
          <w:szCs w:val="20"/>
        </w:rPr>
        <w:t>(GFR)</w:t>
      </w:r>
      <w:r w:rsidRPr="004C77C2">
        <w:rPr>
          <w:rFonts w:ascii="Arial" w:eastAsia="宋体" w:hAnsi="Arial" w:cs="Arial"/>
          <w:kern w:val="0"/>
          <w:sz w:val="20"/>
          <w:szCs w:val="20"/>
        </w:rPr>
        <w:t>＜</w:t>
      </w:r>
      <w:r w:rsidRPr="004C77C2">
        <w:rPr>
          <w:rFonts w:ascii="Arial" w:eastAsia="宋体" w:hAnsi="Arial" w:cs="Arial"/>
          <w:kern w:val="0"/>
          <w:sz w:val="20"/>
          <w:szCs w:val="20"/>
        </w:rPr>
        <w:t>10ml/min]</w:t>
      </w:r>
      <w:r w:rsidRPr="004C77C2">
        <w:rPr>
          <w:rFonts w:ascii="Arial" w:eastAsia="宋体" w:hAnsi="Arial" w:cs="Arial"/>
          <w:kern w:val="0"/>
          <w:sz w:val="20"/>
          <w:szCs w:val="20"/>
        </w:rPr>
        <w:t>者应减量至原剂量的</w:t>
      </w:r>
      <w:r w:rsidRPr="004C77C2">
        <w:rPr>
          <w:rFonts w:ascii="Arial" w:eastAsia="宋体" w:hAnsi="Arial" w:cs="Arial"/>
          <w:kern w:val="0"/>
          <w:sz w:val="20"/>
          <w:szCs w:val="20"/>
        </w:rPr>
        <w:t>75%</w:t>
      </w:r>
      <w:r w:rsidRPr="004C77C2">
        <w:rPr>
          <w:rFonts w:ascii="Arial" w:eastAsia="宋体" w:hAnsi="Arial" w:cs="Arial"/>
          <w:kern w:val="0"/>
          <w:sz w:val="20"/>
          <w:szCs w:val="20"/>
        </w:rPr>
        <w:t>，轻至中度肾功能不全</w:t>
      </w:r>
      <w:r w:rsidRPr="004C77C2">
        <w:rPr>
          <w:rFonts w:ascii="Arial" w:eastAsia="宋体" w:hAnsi="Arial" w:cs="Arial"/>
          <w:kern w:val="0"/>
          <w:sz w:val="20"/>
          <w:szCs w:val="20"/>
        </w:rPr>
        <w:t>(GFR</w:t>
      </w:r>
      <w:r w:rsidRPr="004C77C2">
        <w:rPr>
          <w:rFonts w:ascii="Arial" w:eastAsia="宋体" w:hAnsi="Arial" w:cs="Arial"/>
          <w:kern w:val="0"/>
          <w:sz w:val="20"/>
          <w:szCs w:val="20"/>
        </w:rPr>
        <w:t>＞</w:t>
      </w:r>
      <w:r w:rsidRPr="004C77C2">
        <w:rPr>
          <w:rFonts w:ascii="Arial" w:eastAsia="宋体" w:hAnsi="Arial" w:cs="Arial"/>
          <w:kern w:val="0"/>
          <w:sz w:val="20"/>
          <w:szCs w:val="20"/>
        </w:rPr>
        <w:t>10ml/min)</w:t>
      </w:r>
      <w:r w:rsidRPr="004C77C2">
        <w:rPr>
          <w:rFonts w:ascii="Arial" w:eastAsia="宋体" w:hAnsi="Arial" w:cs="Arial"/>
          <w:kern w:val="0"/>
          <w:sz w:val="20"/>
          <w:szCs w:val="20"/>
        </w:rPr>
        <w:t>者无需调整剂量。另有资料认为，肾功能不全患者无需调整剂量。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肝功能不全时剂量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血清胆红素水平为</w:t>
      </w:r>
      <w:r w:rsidRPr="004C77C2">
        <w:rPr>
          <w:rFonts w:ascii="Arial" w:eastAsia="宋体" w:hAnsi="Arial" w:cs="Arial"/>
          <w:kern w:val="0"/>
          <w:sz w:val="20"/>
          <w:szCs w:val="20"/>
        </w:rPr>
        <w:t>1.2-3.0mg/dL</w:t>
      </w:r>
      <w:r w:rsidRPr="004C77C2">
        <w:rPr>
          <w:rFonts w:ascii="Arial" w:eastAsia="宋体" w:hAnsi="Arial" w:cs="Arial"/>
          <w:kern w:val="0"/>
          <w:sz w:val="20"/>
          <w:szCs w:val="20"/>
        </w:rPr>
        <w:t>者，应减量</w:t>
      </w:r>
      <w:r w:rsidRPr="004C77C2">
        <w:rPr>
          <w:rFonts w:ascii="Arial" w:eastAsia="宋体" w:hAnsi="Arial" w:cs="Arial"/>
          <w:kern w:val="0"/>
          <w:sz w:val="20"/>
          <w:szCs w:val="20"/>
        </w:rPr>
        <w:t>50%</w:t>
      </w:r>
      <w:r w:rsidRPr="004C77C2">
        <w:rPr>
          <w:rFonts w:ascii="Arial" w:eastAsia="宋体" w:hAnsi="Arial" w:cs="Arial"/>
          <w:kern w:val="0"/>
          <w:sz w:val="20"/>
          <w:szCs w:val="20"/>
        </w:rPr>
        <w:t>；血清胆红素水平为</w:t>
      </w:r>
      <w:r w:rsidRPr="004C77C2">
        <w:rPr>
          <w:rFonts w:ascii="Arial" w:eastAsia="宋体" w:hAnsi="Arial" w:cs="Arial"/>
          <w:kern w:val="0"/>
          <w:sz w:val="20"/>
          <w:szCs w:val="20"/>
        </w:rPr>
        <w:t>3.1-5.0mg/dL</w:t>
      </w:r>
      <w:r w:rsidRPr="004C77C2">
        <w:rPr>
          <w:rFonts w:ascii="Arial" w:eastAsia="宋体" w:hAnsi="Arial" w:cs="Arial"/>
          <w:kern w:val="0"/>
          <w:sz w:val="20"/>
          <w:szCs w:val="20"/>
        </w:rPr>
        <w:t>者，应减量</w:t>
      </w:r>
      <w:r w:rsidRPr="004C77C2">
        <w:rPr>
          <w:rFonts w:ascii="Arial" w:eastAsia="宋体" w:hAnsi="Arial" w:cs="Arial"/>
          <w:kern w:val="0"/>
          <w:sz w:val="20"/>
          <w:szCs w:val="20"/>
        </w:rPr>
        <w:t>75%</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【给药说明】</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给药方式说明</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本药不能鞘内注射，可通过浆膜腔内给药和膀胱灌注。当肿瘤已穿透膀胱壁、泌尿道感染或导管插入困难时</w:t>
      </w:r>
      <w:r w:rsidRPr="004C77C2">
        <w:rPr>
          <w:rFonts w:ascii="Arial" w:eastAsia="宋体" w:hAnsi="Arial" w:cs="Arial"/>
          <w:kern w:val="0"/>
          <w:sz w:val="20"/>
          <w:szCs w:val="20"/>
        </w:rPr>
        <w:t>(</w:t>
      </w:r>
      <w:r w:rsidRPr="004C77C2">
        <w:rPr>
          <w:rFonts w:ascii="Arial" w:eastAsia="宋体" w:hAnsi="Arial" w:cs="Arial"/>
          <w:kern w:val="0"/>
          <w:sz w:val="20"/>
          <w:szCs w:val="20"/>
        </w:rPr>
        <w:t>如巨大的膀胱内肿瘤</w:t>
      </w:r>
      <w:r w:rsidRPr="004C77C2">
        <w:rPr>
          <w:rFonts w:ascii="Arial" w:eastAsia="宋体" w:hAnsi="Arial" w:cs="Arial"/>
          <w:kern w:val="0"/>
          <w:sz w:val="20"/>
          <w:szCs w:val="20"/>
        </w:rPr>
        <w:t>)</w:t>
      </w:r>
      <w:r w:rsidRPr="004C77C2">
        <w:rPr>
          <w:rFonts w:ascii="Arial" w:eastAsia="宋体" w:hAnsi="Arial" w:cs="Arial"/>
          <w:kern w:val="0"/>
          <w:sz w:val="20"/>
          <w:szCs w:val="20"/>
        </w:rPr>
        <w:t>，均不能经膀胱灌注给药。</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注射液的配制</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配制速溶型药液时，操作者应穿防护服，戴护目镜、一次性手套和面罩，在指定区域</w:t>
      </w:r>
      <w:r w:rsidRPr="004C77C2">
        <w:rPr>
          <w:rFonts w:ascii="Arial" w:eastAsia="宋体" w:hAnsi="Arial" w:cs="Arial"/>
          <w:kern w:val="0"/>
          <w:sz w:val="20"/>
          <w:szCs w:val="20"/>
        </w:rPr>
        <w:t>(</w:t>
      </w:r>
      <w:r w:rsidRPr="004C77C2">
        <w:rPr>
          <w:rFonts w:ascii="Arial" w:eastAsia="宋体" w:hAnsi="Arial" w:cs="Arial"/>
          <w:kern w:val="0"/>
          <w:sz w:val="20"/>
          <w:szCs w:val="20"/>
        </w:rPr>
        <w:t>在层流系统下更佳</w:t>
      </w:r>
      <w:r w:rsidRPr="004C77C2">
        <w:rPr>
          <w:rFonts w:ascii="Arial" w:eastAsia="宋体" w:hAnsi="Arial" w:cs="Arial"/>
          <w:kern w:val="0"/>
          <w:sz w:val="20"/>
          <w:szCs w:val="20"/>
        </w:rPr>
        <w:t>)</w:t>
      </w:r>
      <w:r w:rsidRPr="004C77C2">
        <w:rPr>
          <w:rFonts w:ascii="Arial" w:eastAsia="宋体" w:hAnsi="Arial" w:cs="Arial"/>
          <w:kern w:val="0"/>
          <w:sz w:val="20"/>
          <w:szCs w:val="20"/>
        </w:rPr>
        <w:t>内配制，工作台表面应铺一次性塑料垫和吸纸。配制药液时须避免吸入药液气雾。所有用于配制药液的材料用后应置于标有</w:t>
      </w:r>
      <w:r w:rsidRPr="004C77C2">
        <w:rPr>
          <w:rFonts w:ascii="Arial" w:eastAsia="宋体" w:hAnsi="Arial" w:cs="Arial"/>
          <w:kern w:val="0"/>
          <w:sz w:val="20"/>
          <w:szCs w:val="20"/>
        </w:rPr>
        <w:t>“</w:t>
      </w:r>
      <w:r w:rsidRPr="004C77C2">
        <w:rPr>
          <w:rFonts w:ascii="Arial" w:eastAsia="宋体" w:hAnsi="Arial" w:cs="Arial"/>
          <w:kern w:val="0"/>
          <w:sz w:val="20"/>
          <w:szCs w:val="20"/>
        </w:rPr>
        <w:t>高度危险</w:t>
      </w:r>
      <w:r w:rsidRPr="004C77C2">
        <w:rPr>
          <w:rFonts w:ascii="Arial" w:eastAsia="宋体" w:hAnsi="Arial" w:cs="Arial"/>
          <w:kern w:val="0"/>
          <w:sz w:val="20"/>
          <w:szCs w:val="20"/>
        </w:rPr>
        <w:t>”</w:t>
      </w:r>
      <w:r w:rsidRPr="004C77C2">
        <w:rPr>
          <w:rFonts w:ascii="Arial" w:eastAsia="宋体" w:hAnsi="Arial" w:cs="Arial"/>
          <w:kern w:val="0"/>
          <w:sz w:val="20"/>
          <w:szCs w:val="20"/>
        </w:rPr>
        <w:t>的废弃袋内供高温焚烧。</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【禁忌症】</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对本药及其他蒽环类抗生素过敏者。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心、肺功能失代偿者。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明显感染或发热者。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4.</w:t>
      </w:r>
      <w:r w:rsidRPr="004C77C2">
        <w:rPr>
          <w:rFonts w:ascii="Arial" w:eastAsia="宋体" w:hAnsi="Arial" w:cs="Arial"/>
          <w:kern w:val="0"/>
          <w:sz w:val="20"/>
          <w:szCs w:val="20"/>
        </w:rPr>
        <w:t>恶病质者。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5.</w:t>
      </w:r>
      <w:r w:rsidRPr="004C77C2">
        <w:rPr>
          <w:rFonts w:ascii="Arial" w:eastAsia="宋体" w:hAnsi="Arial" w:cs="Arial"/>
          <w:kern w:val="0"/>
          <w:sz w:val="20"/>
          <w:szCs w:val="20"/>
        </w:rPr>
        <w:t>胃肠道梗阻者。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6.</w:t>
      </w:r>
      <w:r w:rsidRPr="004C77C2">
        <w:rPr>
          <w:rFonts w:ascii="Arial" w:eastAsia="宋体" w:hAnsi="Arial" w:cs="Arial"/>
          <w:kern w:val="0"/>
          <w:sz w:val="20"/>
          <w:szCs w:val="20"/>
        </w:rPr>
        <w:t>明显黄疸或明显肝功能损害者。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lastRenderedPageBreak/>
        <w:t>7.</w:t>
      </w:r>
      <w:r w:rsidRPr="004C77C2">
        <w:rPr>
          <w:rFonts w:ascii="Arial" w:eastAsia="宋体" w:hAnsi="Arial" w:cs="Arial"/>
          <w:kern w:val="0"/>
          <w:sz w:val="20"/>
          <w:szCs w:val="20"/>
        </w:rPr>
        <w:t>水痘或带状疱疹患者。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8.</w:t>
      </w:r>
      <w:r w:rsidRPr="004C77C2">
        <w:rPr>
          <w:rFonts w:ascii="Arial" w:eastAsia="宋体" w:hAnsi="Arial" w:cs="Arial"/>
          <w:kern w:val="0"/>
          <w:sz w:val="20"/>
          <w:szCs w:val="20"/>
        </w:rPr>
        <w:t>既往放疗或化疗后造成严重骨髓抑制者。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9.</w:t>
      </w:r>
      <w:r w:rsidRPr="004C77C2">
        <w:rPr>
          <w:rFonts w:ascii="Arial" w:eastAsia="宋体" w:hAnsi="Arial" w:cs="Arial"/>
          <w:kern w:val="0"/>
          <w:sz w:val="20"/>
          <w:szCs w:val="20"/>
        </w:rPr>
        <w:t>失水、电解质或酸碱平衡失调者。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10.</w:t>
      </w:r>
      <w:r w:rsidRPr="004C77C2">
        <w:rPr>
          <w:rFonts w:ascii="Arial" w:eastAsia="宋体" w:hAnsi="Arial" w:cs="Arial"/>
          <w:kern w:val="0"/>
          <w:sz w:val="20"/>
          <w:szCs w:val="20"/>
        </w:rPr>
        <w:t>白细胞计数低于</w:t>
      </w:r>
      <w:r w:rsidRPr="004C77C2">
        <w:rPr>
          <w:rFonts w:ascii="Arial" w:eastAsia="宋体" w:hAnsi="Arial" w:cs="Arial"/>
          <w:kern w:val="0"/>
          <w:sz w:val="20"/>
          <w:szCs w:val="20"/>
        </w:rPr>
        <w:t>3.5×10</w:t>
      </w:r>
      <w:r w:rsidRPr="004C77C2">
        <w:rPr>
          <w:rFonts w:ascii="Arial" w:eastAsia="宋体" w:hAnsi="Arial" w:cs="Arial"/>
          <w:kern w:val="0"/>
          <w:sz w:val="20"/>
          <w:szCs w:val="20"/>
          <w:vertAlign w:val="superscript"/>
        </w:rPr>
        <w:t>9</w:t>
      </w:r>
      <w:r w:rsidRPr="004C77C2">
        <w:rPr>
          <w:rFonts w:ascii="Arial" w:eastAsia="宋体" w:hAnsi="Arial" w:cs="Arial"/>
          <w:kern w:val="0"/>
          <w:sz w:val="20"/>
          <w:szCs w:val="20"/>
        </w:rPr>
        <w:t>/L</w:t>
      </w:r>
      <w:r w:rsidRPr="004C77C2">
        <w:rPr>
          <w:rFonts w:ascii="Arial" w:eastAsia="宋体" w:hAnsi="Arial" w:cs="Arial"/>
          <w:kern w:val="0"/>
          <w:sz w:val="20"/>
          <w:szCs w:val="20"/>
        </w:rPr>
        <w:t>或血小板计数低于</w:t>
      </w:r>
      <w:r w:rsidRPr="004C77C2">
        <w:rPr>
          <w:rFonts w:ascii="Arial" w:eastAsia="宋体" w:hAnsi="Arial" w:cs="Arial"/>
          <w:kern w:val="0"/>
          <w:sz w:val="20"/>
          <w:szCs w:val="20"/>
        </w:rPr>
        <w:t>50×10</w:t>
      </w:r>
      <w:r w:rsidRPr="004C77C2">
        <w:rPr>
          <w:rFonts w:ascii="Arial" w:eastAsia="宋体" w:hAnsi="Arial" w:cs="Arial"/>
          <w:kern w:val="0"/>
          <w:sz w:val="20"/>
          <w:szCs w:val="20"/>
          <w:vertAlign w:val="superscript"/>
        </w:rPr>
        <w:t>9</w:t>
      </w:r>
      <w:r w:rsidRPr="004C77C2">
        <w:rPr>
          <w:rFonts w:ascii="Arial" w:eastAsia="宋体" w:hAnsi="Arial" w:cs="Arial"/>
          <w:kern w:val="0"/>
          <w:sz w:val="20"/>
          <w:szCs w:val="20"/>
        </w:rPr>
        <w:t>/L</w:t>
      </w:r>
      <w:r w:rsidRPr="004C77C2">
        <w:rPr>
          <w:rFonts w:ascii="Arial" w:eastAsia="宋体" w:hAnsi="Arial" w:cs="Arial"/>
          <w:kern w:val="0"/>
          <w:sz w:val="20"/>
          <w:szCs w:val="20"/>
        </w:rPr>
        <w:t>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11.</w:t>
      </w:r>
      <w:r w:rsidRPr="004C77C2">
        <w:rPr>
          <w:rFonts w:ascii="Arial" w:eastAsia="宋体" w:hAnsi="Arial" w:cs="Arial"/>
          <w:kern w:val="0"/>
          <w:sz w:val="20"/>
          <w:szCs w:val="20"/>
        </w:rPr>
        <w:t>严重心律失常者</w:t>
      </w:r>
      <w:r w:rsidRPr="004C77C2">
        <w:rPr>
          <w:rFonts w:ascii="Arial" w:eastAsia="宋体" w:hAnsi="Arial" w:cs="Arial"/>
          <w:kern w:val="0"/>
          <w:sz w:val="20"/>
          <w:szCs w:val="20"/>
        </w:rPr>
        <w:t>(</w:t>
      </w:r>
      <w:r w:rsidRPr="004C77C2">
        <w:rPr>
          <w:rFonts w:ascii="Arial" w:eastAsia="宋体" w:hAnsi="Arial" w:cs="Arial"/>
          <w:kern w:val="0"/>
          <w:sz w:val="20"/>
          <w:szCs w:val="20"/>
        </w:rPr>
        <w:t>国外资料</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12.</w:t>
      </w:r>
      <w:r w:rsidRPr="004C77C2">
        <w:rPr>
          <w:rFonts w:ascii="Arial" w:eastAsia="宋体" w:hAnsi="Arial" w:cs="Arial"/>
          <w:kern w:val="0"/>
          <w:sz w:val="20"/>
          <w:szCs w:val="20"/>
        </w:rPr>
        <w:t>近期患心肌梗死患者</w:t>
      </w:r>
      <w:r w:rsidRPr="004C77C2">
        <w:rPr>
          <w:rFonts w:ascii="Arial" w:eastAsia="宋体" w:hAnsi="Arial" w:cs="Arial"/>
          <w:kern w:val="0"/>
          <w:sz w:val="20"/>
          <w:szCs w:val="20"/>
        </w:rPr>
        <w:t>(</w:t>
      </w:r>
      <w:r w:rsidRPr="004C77C2">
        <w:rPr>
          <w:rFonts w:ascii="Arial" w:eastAsia="宋体" w:hAnsi="Arial" w:cs="Arial"/>
          <w:kern w:val="0"/>
          <w:sz w:val="20"/>
          <w:szCs w:val="20"/>
        </w:rPr>
        <w:t>国外资料</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13.</w:t>
      </w:r>
      <w:r w:rsidRPr="004C77C2">
        <w:rPr>
          <w:rFonts w:ascii="Arial" w:eastAsia="宋体" w:hAnsi="Arial" w:cs="Arial"/>
          <w:kern w:val="0"/>
          <w:sz w:val="20"/>
          <w:szCs w:val="20"/>
        </w:rPr>
        <w:t>中性粒细胞计数小于</w:t>
      </w:r>
      <w:r w:rsidRPr="004C77C2">
        <w:rPr>
          <w:rFonts w:ascii="Arial" w:eastAsia="宋体" w:hAnsi="Arial" w:cs="Arial"/>
          <w:kern w:val="0"/>
          <w:sz w:val="20"/>
          <w:szCs w:val="20"/>
        </w:rPr>
        <w:t>1.5×10</w:t>
      </w:r>
      <w:r w:rsidRPr="004C77C2">
        <w:rPr>
          <w:rFonts w:ascii="Arial" w:eastAsia="宋体" w:hAnsi="Arial" w:cs="Arial"/>
          <w:kern w:val="0"/>
          <w:sz w:val="20"/>
          <w:szCs w:val="20"/>
          <w:vertAlign w:val="superscript"/>
        </w:rPr>
        <w:t>9</w:t>
      </w:r>
      <w:r w:rsidRPr="004C77C2">
        <w:rPr>
          <w:rFonts w:ascii="Arial" w:eastAsia="宋体" w:hAnsi="Arial" w:cs="Arial"/>
          <w:kern w:val="0"/>
          <w:sz w:val="20"/>
          <w:szCs w:val="20"/>
        </w:rPr>
        <w:t>/L</w:t>
      </w:r>
      <w:r w:rsidRPr="004C77C2">
        <w:rPr>
          <w:rFonts w:ascii="Arial" w:eastAsia="宋体" w:hAnsi="Arial" w:cs="Arial"/>
          <w:kern w:val="0"/>
          <w:sz w:val="20"/>
          <w:szCs w:val="20"/>
        </w:rPr>
        <w:t>者</w:t>
      </w:r>
      <w:r w:rsidRPr="004C77C2">
        <w:rPr>
          <w:rFonts w:ascii="Arial" w:eastAsia="宋体" w:hAnsi="Arial" w:cs="Arial"/>
          <w:kern w:val="0"/>
          <w:sz w:val="20"/>
          <w:szCs w:val="20"/>
        </w:rPr>
        <w:t>(</w:t>
      </w:r>
      <w:r w:rsidRPr="004C77C2">
        <w:rPr>
          <w:rFonts w:ascii="Arial" w:eastAsia="宋体" w:hAnsi="Arial" w:cs="Arial"/>
          <w:kern w:val="0"/>
          <w:sz w:val="20"/>
          <w:szCs w:val="20"/>
        </w:rPr>
        <w:t>国外资料</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14.</w:t>
      </w:r>
      <w:r w:rsidRPr="004C77C2">
        <w:rPr>
          <w:rFonts w:ascii="Arial" w:eastAsia="宋体" w:hAnsi="Arial" w:cs="Arial"/>
          <w:kern w:val="0"/>
          <w:sz w:val="20"/>
          <w:szCs w:val="20"/>
        </w:rPr>
        <w:t>妊娠期妇女。</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15.</w:t>
      </w:r>
      <w:r w:rsidRPr="004C77C2">
        <w:rPr>
          <w:rFonts w:ascii="Arial" w:eastAsia="宋体" w:hAnsi="Arial" w:cs="Arial"/>
          <w:kern w:val="0"/>
          <w:sz w:val="20"/>
          <w:szCs w:val="20"/>
        </w:rPr>
        <w:t>哺乳期妇女。</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【慎用】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有心脏病史者。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肝损害患者</w:t>
      </w:r>
      <w:r w:rsidRPr="004C77C2">
        <w:rPr>
          <w:rFonts w:ascii="Arial" w:eastAsia="宋体" w:hAnsi="Arial" w:cs="Arial"/>
          <w:kern w:val="0"/>
          <w:sz w:val="20"/>
          <w:szCs w:val="20"/>
        </w:rPr>
        <w:t>(</w:t>
      </w:r>
      <w:r w:rsidRPr="004C77C2">
        <w:rPr>
          <w:rFonts w:ascii="Arial" w:eastAsia="宋体" w:hAnsi="Arial" w:cs="Arial"/>
          <w:kern w:val="0"/>
          <w:sz w:val="20"/>
          <w:szCs w:val="20"/>
        </w:rPr>
        <w:t>用药后其毒性可能增加</w:t>
      </w:r>
      <w:r w:rsidRPr="004C77C2">
        <w:rPr>
          <w:rFonts w:ascii="Arial" w:eastAsia="宋体" w:hAnsi="Arial" w:cs="Arial"/>
          <w:kern w:val="0"/>
          <w:sz w:val="20"/>
          <w:szCs w:val="20"/>
        </w:rPr>
        <w:t>)(</w:t>
      </w:r>
      <w:r w:rsidRPr="004C77C2">
        <w:rPr>
          <w:rFonts w:ascii="Arial" w:eastAsia="宋体" w:hAnsi="Arial" w:cs="Arial"/>
          <w:kern w:val="0"/>
          <w:sz w:val="20"/>
          <w:szCs w:val="20"/>
        </w:rPr>
        <w:t>国外资料</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正接受放疗的患者</w:t>
      </w:r>
      <w:r w:rsidRPr="004C77C2">
        <w:rPr>
          <w:rFonts w:ascii="Arial" w:eastAsia="宋体" w:hAnsi="Arial" w:cs="Arial"/>
          <w:kern w:val="0"/>
          <w:sz w:val="20"/>
          <w:szCs w:val="20"/>
        </w:rPr>
        <w:t>(</w:t>
      </w:r>
      <w:r w:rsidRPr="004C77C2">
        <w:rPr>
          <w:rFonts w:ascii="Arial" w:eastAsia="宋体" w:hAnsi="Arial" w:cs="Arial"/>
          <w:kern w:val="0"/>
          <w:sz w:val="20"/>
          <w:szCs w:val="20"/>
        </w:rPr>
        <w:t>国外资料</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4. 2</w:t>
      </w:r>
      <w:r w:rsidRPr="004C77C2">
        <w:rPr>
          <w:rFonts w:ascii="Arial" w:eastAsia="宋体" w:hAnsi="Arial" w:cs="Arial"/>
          <w:kern w:val="0"/>
          <w:sz w:val="20"/>
          <w:szCs w:val="20"/>
        </w:rPr>
        <w:t>岁以下儿童。</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5.</w:t>
      </w:r>
      <w:r w:rsidRPr="004C77C2">
        <w:rPr>
          <w:rFonts w:ascii="Arial" w:eastAsia="宋体" w:hAnsi="Arial" w:cs="Arial"/>
          <w:kern w:val="0"/>
          <w:sz w:val="20"/>
          <w:szCs w:val="20"/>
        </w:rPr>
        <w:t>老年患者。</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【特殊人群】</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儿童</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儿童用药可发生迟发性心脏毒性，导致儿童青春期生长障碍，也可导致性腺损害，故</w:t>
      </w:r>
      <w:r w:rsidRPr="004C77C2">
        <w:rPr>
          <w:rFonts w:ascii="Arial" w:eastAsia="宋体" w:hAnsi="Arial" w:cs="Arial"/>
          <w:kern w:val="0"/>
          <w:sz w:val="20"/>
          <w:szCs w:val="20"/>
        </w:rPr>
        <w:t>2</w:t>
      </w:r>
      <w:r w:rsidRPr="004C77C2">
        <w:rPr>
          <w:rFonts w:ascii="Arial" w:eastAsia="宋体" w:hAnsi="Arial" w:cs="Arial"/>
          <w:kern w:val="0"/>
          <w:sz w:val="20"/>
          <w:szCs w:val="20"/>
        </w:rPr>
        <w:t>岁以下儿童慎用。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老人</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老年患者慎用。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妊娠期妇女</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本药能透过胎盘，妊娠期妇女用药后，有导致流产的可能。本药对胎儿的毒性反应有时可于数年后才出现。妊娠期妇女禁用本药。</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lastRenderedPageBreak/>
        <w:t>2.</w:t>
      </w:r>
      <w:r w:rsidRPr="004C77C2">
        <w:rPr>
          <w:rFonts w:ascii="Arial" w:eastAsia="宋体" w:hAnsi="Arial" w:cs="Arial"/>
          <w:kern w:val="0"/>
          <w:sz w:val="20"/>
          <w:szCs w:val="20"/>
        </w:rPr>
        <w:t>美国食品药品管理局</w:t>
      </w:r>
      <w:r w:rsidRPr="004C77C2">
        <w:rPr>
          <w:rFonts w:ascii="Arial" w:eastAsia="宋体" w:hAnsi="Arial" w:cs="Arial"/>
          <w:kern w:val="0"/>
          <w:sz w:val="20"/>
          <w:szCs w:val="20"/>
        </w:rPr>
        <w:t>(FDA)</w:t>
      </w:r>
      <w:r w:rsidRPr="004C77C2">
        <w:rPr>
          <w:rFonts w:ascii="Arial" w:eastAsia="宋体" w:hAnsi="Arial" w:cs="Arial"/>
          <w:kern w:val="0"/>
          <w:sz w:val="20"/>
          <w:szCs w:val="20"/>
        </w:rPr>
        <w:t>对本药的妊娠安全性分级为</w:t>
      </w:r>
      <w:r w:rsidRPr="004C77C2">
        <w:rPr>
          <w:rFonts w:ascii="Arial" w:eastAsia="宋体" w:hAnsi="Arial" w:cs="Arial"/>
          <w:kern w:val="0"/>
          <w:sz w:val="20"/>
          <w:szCs w:val="20"/>
        </w:rPr>
        <w:t>D</w:t>
      </w:r>
      <w:r w:rsidRPr="004C77C2">
        <w:rPr>
          <w:rFonts w:ascii="Arial" w:eastAsia="宋体" w:hAnsi="Arial" w:cs="Arial"/>
          <w:kern w:val="0"/>
          <w:sz w:val="20"/>
          <w:szCs w:val="20"/>
        </w:rPr>
        <w:t>级。</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哺乳期妇女</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哺乳期妇女禁用本药。</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【不良反应】</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心血管系统</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主要为心脏毒性，可出现一过性心电图改变，表现为室上性心动过速、室性期前收缩及</w:t>
      </w:r>
      <w:r w:rsidRPr="004C77C2">
        <w:rPr>
          <w:rFonts w:ascii="Arial" w:eastAsia="宋体" w:hAnsi="Arial" w:cs="Arial"/>
          <w:kern w:val="0"/>
          <w:sz w:val="20"/>
          <w:szCs w:val="20"/>
        </w:rPr>
        <w:t>ST-T</w:t>
      </w:r>
      <w:r w:rsidRPr="004C77C2">
        <w:rPr>
          <w:rFonts w:ascii="Arial" w:eastAsia="宋体" w:hAnsi="Arial" w:cs="Arial"/>
          <w:kern w:val="0"/>
          <w:sz w:val="20"/>
          <w:szCs w:val="20"/>
        </w:rPr>
        <w:t>改变，一般不影响治疗。少数患者可出现延迟性进行性心肌病变，表现为急性充血性心力衰竭，与累积剂量密切相关，大多出现在总量大于</w:t>
      </w:r>
      <w:r w:rsidRPr="004C77C2">
        <w:rPr>
          <w:rFonts w:ascii="Arial" w:eastAsia="宋体" w:hAnsi="Arial" w:cs="Arial"/>
          <w:kern w:val="0"/>
          <w:sz w:val="20"/>
          <w:szCs w:val="20"/>
        </w:rPr>
        <w:t>400mg/m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的患者，这些情况偶尔可突然发生而常规心电图无异常迹象，本药引起的心脏病变多出现在停药后</w:t>
      </w:r>
      <w:r w:rsidRPr="004C77C2">
        <w:rPr>
          <w:rFonts w:ascii="Arial" w:eastAsia="宋体" w:hAnsi="Arial" w:cs="Arial"/>
          <w:kern w:val="0"/>
          <w:sz w:val="20"/>
          <w:szCs w:val="20"/>
        </w:rPr>
        <w:t>1-6</w:t>
      </w:r>
      <w:r w:rsidRPr="004C77C2">
        <w:rPr>
          <w:rFonts w:ascii="Arial" w:eastAsia="宋体" w:hAnsi="Arial" w:cs="Arial"/>
          <w:kern w:val="0"/>
          <w:sz w:val="20"/>
          <w:szCs w:val="20"/>
        </w:rPr>
        <w:t>个月，心脏毒性可因联合应用其他药物加重。</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肌肉骨骼系统</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白血病和恶性淋巴瘤患者用药</w:t>
      </w:r>
      <w:r w:rsidRPr="004C77C2">
        <w:rPr>
          <w:rFonts w:ascii="Arial" w:eastAsia="宋体" w:hAnsi="Arial" w:cs="Arial"/>
          <w:kern w:val="0"/>
          <w:sz w:val="20"/>
          <w:szCs w:val="20"/>
        </w:rPr>
        <w:t>(</w:t>
      </w:r>
      <w:r w:rsidRPr="004C77C2">
        <w:rPr>
          <w:rFonts w:ascii="Arial" w:eastAsia="宋体" w:hAnsi="Arial" w:cs="Arial"/>
          <w:kern w:val="0"/>
          <w:sz w:val="20"/>
          <w:szCs w:val="20"/>
        </w:rPr>
        <w:t>特别是初次使用</w:t>
      </w:r>
      <w:r w:rsidRPr="004C77C2">
        <w:rPr>
          <w:rFonts w:ascii="Arial" w:eastAsia="宋体" w:hAnsi="Arial" w:cs="Arial"/>
          <w:kern w:val="0"/>
          <w:sz w:val="20"/>
          <w:szCs w:val="20"/>
        </w:rPr>
        <w:t>)</w:t>
      </w:r>
      <w:r w:rsidRPr="004C77C2">
        <w:rPr>
          <w:rFonts w:ascii="Arial" w:eastAsia="宋体" w:hAnsi="Arial" w:cs="Arial"/>
          <w:kern w:val="0"/>
          <w:sz w:val="20"/>
          <w:szCs w:val="20"/>
        </w:rPr>
        <w:t>时，肿瘤细胞大量破坏，引起血尿酸增高，可导致关节疼痛。</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泌尿生殖系统</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本药可引起男性生殖腺功能失常。少见蛋白尿。白血病和恶性淋巴瘤患者用药</w:t>
      </w:r>
      <w:r w:rsidRPr="004C77C2">
        <w:rPr>
          <w:rFonts w:ascii="Arial" w:eastAsia="宋体" w:hAnsi="Arial" w:cs="Arial"/>
          <w:kern w:val="0"/>
          <w:sz w:val="20"/>
          <w:szCs w:val="20"/>
        </w:rPr>
        <w:t>(</w:t>
      </w:r>
      <w:r w:rsidRPr="004C77C2">
        <w:rPr>
          <w:rFonts w:ascii="Arial" w:eastAsia="宋体" w:hAnsi="Arial" w:cs="Arial"/>
          <w:kern w:val="0"/>
          <w:sz w:val="20"/>
          <w:szCs w:val="20"/>
        </w:rPr>
        <w:t>特别是初次使用</w:t>
      </w:r>
      <w:r w:rsidRPr="004C77C2">
        <w:rPr>
          <w:rFonts w:ascii="Arial" w:eastAsia="宋体" w:hAnsi="Arial" w:cs="Arial"/>
          <w:kern w:val="0"/>
          <w:sz w:val="20"/>
          <w:szCs w:val="20"/>
        </w:rPr>
        <w:t>)</w:t>
      </w:r>
      <w:r w:rsidRPr="004C77C2">
        <w:rPr>
          <w:rFonts w:ascii="Arial" w:eastAsia="宋体" w:hAnsi="Arial" w:cs="Arial"/>
          <w:kern w:val="0"/>
          <w:sz w:val="20"/>
          <w:szCs w:val="20"/>
        </w:rPr>
        <w:t>时，肿瘤细胞大量破坏，引起血尿酸增高，可导致肾功能损害。</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4.</w:t>
      </w:r>
      <w:r w:rsidRPr="004C77C2">
        <w:rPr>
          <w:rFonts w:ascii="Arial" w:eastAsia="宋体" w:hAnsi="Arial" w:cs="Arial"/>
          <w:kern w:val="0"/>
          <w:sz w:val="20"/>
          <w:szCs w:val="20"/>
        </w:rPr>
        <w:t>肝脏</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少见肝功能异常。</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5.</w:t>
      </w:r>
      <w:r w:rsidRPr="004C77C2">
        <w:rPr>
          <w:rFonts w:ascii="Arial" w:eastAsia="宋体" w:hAnsi="Arial" w:cs="Arial"/>
          <w:kern w:val="0"/>
          <w:sz w:val="20"/>
          <w:szCs w:val="20"/>
        </w:rPr>
        <w:t>胃肠道</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可见食欲减退、恶心、呕吐、口腔黏膜红斑、口腔溃疡、食管炎、胃炎。</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6.</w:t>
      </w:r>
      <w:r w:rsidRPr="004C77C2">
        <w:rPr>
          <w:rFonts w:ascii="Arial" w:eastAsia="宋体" w:hAnsi="Arial" w:cs="Arial"/>
          <w:kern w:val="0"/>
          <w:sz w:val="20"/>
          <w:szCs w:val="20"/>
        </w:rPr>
        <w:t>血液</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常见骨髓抑制</w:t>
      </w:r>
      <w:r w:rsidRPr="004C77C2">
        <w:rPr>
          <w:rFonts w:ascii="Arial" w:eastAsia="宋体" w:hAnsi="Arial" w:cs="Arial"/>
          <w:kern w:val="0"/>
          <w:sz w:val="20"/>
          <w:szCs w:val="20"/>
        </w:rPr>
        <w:t>(</w:t>
      </w:r>
      <w:r w:rsidRPr="004C77C2">
        <w:rPr>
          <w:rFonts w:ascii="Arial" w:eastAsia="宋体" w:hAnsi="Arial" w:cs="Arial"/>
          <w:kern w:val="0"/>
          <w:sz w:val="20"/>
          <w:szCs w:val="20"/>
        </w:rPr>
        <w:t>白细胞于用药后</w:t>
      </w:r>
      <w:r w:rsidRPr="004C77C2">
        <w:rPr>
          <w:rFonts w:ascii="Arial" w:eastAsia="宋体" w:hAnsi="Arial" w:cs="Arial"/>
          <w:kern w:val="0"/>
          <w:sz w:val="20"/>
          <w:szCs w:val="20"/>
        </w:rPr>
        <w:t>10-14</w:t>
      </w:r>
      <w:r w:rsidRPr="004C77C2">
        <w:rPr>
          <w:rFonts w:ascii="Arial" w:eastAsia="宋体" w:hAnsi="Arial" w:cs="Arial"/>
          <w:kern w:val="0"/>
          <w:sz w:val="20"/>
          <w:szCs w:val="20"/>
        </w:rPr>
        <w:t>日下降至最低点，大多在停药</w:t>
      </w:r>
      <w:r w:rsidRPr="004C77C2">
        <w:rPr>
          <w:rFonts w:ascii="Arial" w:eastAsia="宋体" w:hAnsi="Arial" w:cs="Arial"/>
          <w:kern w:val="0"/>
          <w:sz w:val="20"/>
          <w:szCs w:val="20"/>
        </w:rPr>
        <w:t>3</w:t>
      </w:r>
      <w:r w:rsidRPr="004C77C2">
        <w:rPr>
          <w:rFonts w:ascii="Arial" w:eastAsia="宋体" w:hAnsi="Arial" w:cs="Arial"/>
          <w:kern w:val="0"/>
          <w:sz w:val="20"/>
          <w:szCs w:val="20"/>
        </w:rPr>
        <w:t>周后逐渐恢复至正常水平，贫血和血小板减少一般不严重</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7.</w:t>
      </w:r>
      <w:r w:rsidRPr="004C77C2">
        <w:rPr>
          <w:rFonts w:ascii="Arial" w:eastAsia="宋体" w:hAnsi="Arial" w:cs="Arial"/>
          <w:kern w:val="0"/>
          <w:sz w:val="20"/>
          <w:szCs w:val="20"/>
        </w:rPr>
        <w:t>皮肤</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常见脱发</w:t>
      </w:r>
      <w:r w:rsidRPr="004C77C2">
        <w:rPr>
          <w:rFonts w:ascii="Arial" w:eastAsia="宋体" w:hAnsi="Arial" w:cs="Arial"/>
          <w:kern w:val="0"/>
          <w:sz w:val="20"/>
          <w:szCs w:val="20"/>
        </w:rPr>
        <w:t>(</w:t>
      </w:r>
      <w:r w:rsidRPr="004C77C2">
        <w:rPr>
          <w:rFonts w:ascii="Arial" w:eastAsia="宋体" w:hAnsi="Arial" w:cs="Arial"/>
          <w:kern w:val="0"/>
          <w:sz w:val="20"/>
          <w:szCs w:val="20"/>
        </w:rPr>
        <w:t>见于</w:t>
      </w:r>
      <w:r w:rsidRPr="004C77C2">
        <w:rPr>
          <w:rFonts w:ascii="Arial" w:eastAsia="宋体" w:hAnsi="Arial" w:cs="Arial"/>
          <w:kern w:val="0"/>
          <w:sz w:val="20"/>
          <w:szCs w:val="20"/>
        </w:rPr>
        <w:t>90%</w:t>
      </w:r>
      <w:r w:rsidRPr="004C77C2">
        <w:rPr>
          <w:rFonts w:ascii="Arial" w:eastAsia="宋体" w:hAnsi="Arial" w:cs="Arial"/>
          <w:kern w:val="0"/>
          <w:sz w:val="20"/>
          <w:szCs w:val="20"/>
        </w:rPr>
        <w:t>的患者</w:t>
      </w:r>
      <w:r w:rsidRPr="004C77C2">
        <w:rPr>
          <w:rFonts w:ascii="Arial" w:eastAsia="宋体" w:hAnsi="Arial" w:cs="Arial"/>
          <w:kern w:val="0"/>
          <w:sz w:val="20"/>
          <w:szCs w:val="20"/>
        </w:rPr>
        <w:t>)</w:t>
      </w:r>
      <w:r w:rsidRPr="004C77C2">
        <w:rPr>
          <w:rFonts w:ascii="Arial" w:eastAsia="宋体" w:hAnsi="Arial" w:cs="Arial"/>
          <w:kern w:val="0"/>
          <w:sz w:val="20"/>
          <w:szCs w:val="20"/>
        </w:rPr>
        <w:t>。少数患者可见出血性红斑、原放疗区出现皮肤发红。个别患者出现荨麻疹、甲床部位色素沉着、指甲松离、皮肤褶痕。</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8.</w:t>
      </w:r>
      <w:r w:rsidRPr="004C77C2">
        <w:rPr>
          <w:rFonts w:ascii="Arial" w:eastAsia="宋体" w:hAnsi="Arial" w:cs="Arial"/>
          <w:kern w:val="0"/>
          <w:sz w:val="20"/>
          <w:szCs w:val="20"/>
        </w:rPr>
        <w:t>眼</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个别患者出现结膜炎、流泪。</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9.</w:t>
      </w:r>
      <w:r w:rsidRPr="004C77C2">
        <w:rPr>
          <w:rFonts w:ascii="Arial" w:eastAsia="宋体" w:hAnsi="Arial" w:cs="Arial"/>
          <w:kern w:val="0"/>
          <w:sz w:val="20"/>
          <w:szCs w:val="20"/>
        </w:rPr>
        <w:t>过敏反应</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个别患者可出现过敏反应。</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10.</w:t>
      </w:r>
      <w:r w:rsidRPr="004C77C2">
        <w:rPr>
          <w:rFonts w:ascii="Arial" w:eastAsia="宋体" w:hAnsi="Arial" w:cs="Arial"/>
          <w:kern w:val="0"/>
          <w:sz w:val="20"/>
          <w:szCs w:val="20"/>
        </w:rPr>
        <w:t>其他</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药物浓度过高可引起静脉炎，给药时药液外渗可引起组织溃烂和坏死。少数患者有发热。</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【药物相互作用】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药物</w:t>
      </w:r>
      <w:r w:rsidRPr="004C77C2">
        <w:rPr>
          <w:rFonts w:ascii="Arial" w:eastAsia="宋体" w:hAnsi="Arial" w:cs="Arial"/>
          <w:b/>
          <w:bCs/>
          <w:kern w:val="0"/>
          <w:sz w:val="20"/>
          <w:szCs w:val="20"/>
        </w:rPr>
        <w:t>-</w:t>
      </w:r>
      <w:r w:rsidRPr="004C77C2">
        <w:rPr>
          <w:rFonts w:ascii="Arial" w:eastAsia="宋体" w:hAnsi="Arial" w:cs="Arial"/>
          <w:b/>
          <w:bCs/>
          <w:kern w:val="0"/>
          <w:sz w:val="20"/>
          <w:szCs w:val="20"/>
        </w:rPr>
        <w:t>药物相互作用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链佐星：</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lastRenderedPageBreak/>
        <w:t>结果：合用可使本药半衰期延长。</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处理：合用时本药剂量应酌减。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可能导致肝功能损害的药物：</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结果：合用可增加本药的肝毒性。</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环磷酰胺、氟尿嘧啶、甲氨蝶呤、顺铂、亚硝脲类药物：</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结果：合用有不同程度的协同作用。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4.</w:t>
      </w:r>
      <w:r w:rsidRPr="004C77C2">
        <w:rPr>
          <w:rFonts w:ascii="Arial" w:eastAsia="宋体" w:hAnsi="Arial" w:cs="Arial"/>
          <w:kern w:val="0"/>
          <w:sz w:val="20"/>
          <w:szCs w:val="20"/>
        </w:rPr>
        <w:t>阿糖胞苷：</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结果：合用可导致坏死性结肠炎。</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【注意事项】</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用药警示</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痛风患者用药时，应增加别嘌呤醇的用量。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过去曾用过足量多柔比星、柔红霉素或表柔比星者禁用本药。既往接受过纵隔放疗者，本药的单剂量和总累积量均应酌减。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若皮肤或眼睛不慎接触本药，应立即用大量清水、肥皂水或碳酸氢钠溶液冲洗。</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4.</w:t>
      </w:r>
      <w:r w:rsidRPr="004C77C2">
        <w:rPr>
          <w:rFonts w:ascii="Arial" w:eastAsia="宋体" w:hAnsi="Arial" w:cs="Arial"/>
          <w:kern w:val="0"/>
          <w:sz w:val="20"/>
          <w:szCs w:val="20"/>
        </w:rPr>
        <w:t>注射时如药液漏出血管外，应尽量抽出局部渗药，并立即局部注射</w:t>
      </w:r>
      <w:r w:rsidRPr="004C77C2">
        <w:rPr>
          <w:rFonts w:ascii="Arial" w:eastAsia="宋体" w:hAnsi="Arial" w:cs="Arial"/>
          <w:kern w:val="0"/>
          <w:sz w:val="20"/>
          <w:szCs w:val="20"/>
        </w:rPr>
        <w:t>50-100mg</w:t>
      </w:r>
      <w:r w:rsidRPr="004C77C2">
        <w:rPr>
          <w:rFonts w:ascii="Arial" w:eastAsia="宋体" w:hAnsi="Arial" w:cs="Arial"/>
          <w:kern w:val="0"/>
          <w:sz w:val="20"/>
          <w:szCs w:val="20"/>
        </w:rPr>
        <w:t>氢化可的松。</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5.</w:t>
      </w:r>
      <w:r w:rsidRPr="004C77C2">
        <w:rPr>
          <w:rFonts w:ascii="Arial" w:eastAsia="宋体" w:hAnsi="Arial" w:cs="Arial"/>
          <w:kern w:val="0"/>
          <w:sz w:val="20"/>
          <w:szCs w:val="20"/>
        </w:rPr>
        <w:t>治疗期间应嘱患者多饮水，以减少高尿酸血症的可能。</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6.</w:t>
      </w:r>
      <w:r w:rsidRPr="004C77C2">
        <w:rPr>
          <w:rFonts w:ascii="Arial" w:eastAsia="宋体" w:hAnsi="Arial" w:cs="Arial"/>
          <w:kern w:val="0"/>
          <w:sz w:val="20"/>
          <w:szCs w:val="20"/>
        </w:rPr>
        <w:t>用药后</w:t>
      </w:r>
      <w:r w:rsidRPr="004C77C2">
        <w:rPr>
          <w:rFonts w:ascii="Arial" w:eastAsia="宋体" w:hAnsi="Arial" w:cs="Arial"/>
          <w:kern w:val="0"/>
          <w:sz w:val="20"/>
          <w:szCs w:val="20"/>
        </w:rPr>
        <w:t>1-2</w:t>
      </w:r>
      <w:r w:rsidRPr="004C77C2">
        <w:rPr>
          <w:rFonts w:ascii="Arial" w:eastAsia="宋体" w:hAnsi="Arial" w:cs="Arial"/>
          <w:kern w:val="0"/>
          <w:sz w:val="20"/>
          <w:szCs w:val="20"/>
        </w:rPr>
        <w:t>日内可出现红色尿，一般在</w:t>
      </w:r>
      <w:r w:rsidRPr="004C77C2">
        <w:rPr>
          <w:rFonts w:ascii="Arial" w:eastAsia="宋体" w:hAnsi="Arial" w:cs="Arial"/>
          <w:kern w:val="0"/>
          <w:sz w:val="20"/>
          <w:szCs w:val="20"/>
        </w:rPr>
        <w:t>2</w:t>
      </w:r>
      <w:r w:rsidRPr="004C77C2">
        <w:rPr>
          <w:rFonts w:ascii="Arial" w:eastAsia="宋体" w:hAnsi="Arial" w:cs="Arial"/>
          <w:kern w:val="0"/>
          <w:sz w:val="20"/>
          <w:szCs w:val="20"/>
        </w:rPr>
        <w:t>日后消失。</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7.</w:t>
      </w:r>
      <w:r w:rsidRPr="004C77C2">
        <w:rPr>
          <w:rFonts w:ascii="Arial" w:eastAsia="宋体" w:hAnsi="Arial" w:cs="Arial"/>
          <w:kern w:val="0"/>
          <w:sz w:val="20"/>
          <w:szCs w:val="20"/>
        </w:rPr>
        <w:t>快速增加本药剂量至</w:t>
      </w:r>
      <w:r w:rsidRPr="004C77C2">
        <w:rPr>
          <w:rFonts w:ascii="Arial" w:eastAsia="宋体" w:hAnsi="Arial" w:cs="Arial"/>
          <w:kern w:val="0"/>
          <w:sz w:val="20"/>
          <w:szCs w:val="20"/>
        </w:rPr>
        <w:t>400mg/m</w:t>
      </w:r>
      <w:r w:rsidRPr="004C77C2">
        <w:rPr>
          <w:rFonts w:ascii="Arial" w:eastAsia="宋体" w:hAnsi="Arial" w:cs="Arial"/>
          <w:kern w:val="0"/>
          <w:sz w:val="20"/>
          <w:szCs w:val="20"/>
          <w:vertAlign w:val="superscript"/>
        </w:rPr>
        <w:t>2</w:t>
      </w:r>
      <w:r w:rsidRPr="004C77C2">
        <w:rPr>
          <w:rFonts w:ascii="Arial" w:eastAsia="宋体" w:hAnsi="Arial" w:cs="Arial"/>
          <w:kern w:val="0"/>
          <w:sz w:val="20"/>
          <w:szCs w:val="20"/>
        </w:rPr>
        <w:t>以上时，可增加发生充血性心力衰竭的风险。</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8.</w:t>
      </w:r>
      <w:r w:rsidRPr="004C77C2">
        <w:rPr>
          <w:rFonts w:ascii="Arial" w:eastAsia="宋体" w:hAnsi="Arial" w:cs="Arial"/>
          <w:kern w:val="0"/>
          <w:sz w:val="20"/>
          <w:szCs w:val="20"/>
        </w:rPr>
        <w:t>本药可组成以下联合化疗方案：</w:t>
      </w:r>
      <w:r w:rsidRPr="004C77C2">
        <w:rPr>
          <w:rFonts w:ascii="Arial" w:eastAsia="宋体" w:hAnsi="Arial" w:cs="Arial"/>
          <w:kern w:val="0"/>
          <w:sz w:val="20"/>
          <w:szCs w:val="20"/>
        </w:rPr>
        <w:t>(1)</w:t>
      </w:r>
      <w:r w:rsidRPr="004C77C2">
        <w:rPr>
          <w:rFonts w:ascii="Arial" w:eastAsia="宋体" w:hAnsi="Arial" w:cs="Arial"/>
          <w:kern w:val="0"/>
          <w:sz w:val="20"/>
          <w:szCs w:val="20"/>
        </w:rPr>
        <w:t>霍奇金淋巴瘤：</w:t>
      </w:r>
      <w:r w:rsidRPr="004C77C2">
        <w:rPr>
          <w:rFonts w:ascii="Arial" w:eastAsia="宋体" w:hAnsi="Arial" w:cs="Arial"/>
          <w:kern w:val="0"/>
          <w:sz w:val="20"/>
          <w:szCs w:val="20"/>
        </w:rPr>
        <w:t>ABVD</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本药、博来霉素、长春新碱和达卡巴嗪</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(2)</w:t>
      </w:r>
      <w:r w:rsidRPr="004C77C2">
        <w:rPr>
          <w:rFonts w:ascii="Arial" w:eastAsia="宋体" w:hAnsi="Arial" w:cs="Arial"/>
          <w:kern w:val="0"/>
          <w:sz w:val="20"/>
          <w:szCs w:val="20"/>
        </w:rPr>
        <w:t>乳腺癌：</w:t>
      </w:r>
      <w:r w:rsidRPr="004C77C2">
        <w:rPr>
          <w:rFonts w:ascii="Arial" w:eastAsia="宋体" w:hAnsi="Arial" w:cs="Arial"/>
          <w:kern w:val="0"/>
          <w:sz w:val="20"/>
          <w:szCs w:val="20"/>
        </w:rPr>
        <w:t>CAF</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环磷酰胺、本药和氟尿嘧啶</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(3)</w:t>
      </w:r>
      <w:r w:rsidRPr="004C77C2">
        <w:rPr>
          <w:rFonts w:ascii="Arial" w:eastAsia="宋体" w:hAnsi="Arial" w:cs="Arial"/>
          <w:kern w:val="0"/>
          <w:sz w:val="20"/>
          <w:szCs w:val="20"/>
        </w:rPr>
        <w:t>非霍奇金淋巴瘤：</w:t>
      </w:r>
      <w:r w:rsidRPr="004C77C2">
        <w:rPr>
          <w:rFonts w:ascii="Arial" w:eastAsia="宋体" w:hAnsi="Arial" w:cs="Arial"/>
          <w:kern w:val="0"/>
          <w:sz w:val="20"/>
          <w:szCs w:val="20"/>
        </w:rPr>
        <w:t>CHOP(</w:t>
      </w:r>
      <w:r w:rsidRPr="004C77C2">
        <w:rPr>
          <w:rFonts w:ascii="Arial" w:eastAsia="宋体" w:hAnsi="Arial" w:cs="Arial"/>
          <w:kern w:val="0"/>
          <w:sz w:val="20"/>
          <w:szCs w:val="20"/>
        </w:rPr>
        <w:t>环磷酰胺、本药、长春新碱和泼尼松</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(4)</w:t>
      </w:r>
      <w:r w:rsidRPr="004C77C2">
        <w:rPr>
          <w:rFonts w:ascii="Arial" w:eastAsia="宋体" w:hAnsi="Arial" w:cs="Arial"/>
          <w:kern w:val="0"/>
          <w:sz w:val="20"/>
          <w:szCs w:val="20"/>
        </w:rPr>
        <w:t>胃癌：</w:t>
      </w:r>
      <w:r w:rsidRPr="004C77C2">
        <w:rPr>
          <w:rFonts w:ascii="Arial" w:eastAsia="宋体" w:hAnsi="Arial" w:cs="Arial"/>
          <w:kern w:val="0"/>
          <w:sz w:val="20"/>
          <w:szCs w:val="20"/>
        </w:rPr>
        <w:t>FAM</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氟尿嘧啶、本药和丝裂霉素</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(5)</w:t>
      </w:r>
      <w:r w:rsidRPr="004C77C2">
        <w:rPr>
          <w:rFonts w:ascii="Arial" w:eastAsia="宋体" w:hAnsi="Arial" w:cs="Arial"/>
          <w:kern w:val="0"/>
          <w:sz w:val="20"/>
          <w:szCs w:val="20"/>
        </w:rPr>
        <w:t>急性髓细胞白血病：</w:t>
      </w:r>
      <w:r w:rsidRPr="004C77C2">
        <w:rPr>
          <w:rFonts w:ascii="Arial" w:eastAsia="宋体" w:hAnsi="Arial" w:cs="Arial"/>
          <w:kern w:val="0"/>
          <w:sz w:val="20"/>
          <w:szCs w:val="20"/>
        </w:rPr>
        <w:t>AC</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本药和阿糖胞苷</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(6)</w:t>
      </w:r>
      <w:r w:rsidRPr="004C77C2">
        <w:rPr>
          <w:rFonts w:ascii="Arial" w:eastAsia="宋体" w:hAnsi="Arial" w:cs="Arial"/>
          <w:kern w:val="0"/>
          <w:sz w:val="20"/>
          <w:szCs w:val="20"/>
        </w:rPr>
        <w:t>淋巴母细胞型急性白血病：诱导缓解，</w:t>
      </w:r>
      <w:r w:rsidRPr="004C77C2">
        <w:rPr>
          <w:rFonts w:ascii="Arial" w:eastAsia="宋体" w:hAnsi="Arial" w:cs="Arial"/>
          <w:kern w:val="0"/>
          <w:sz w:val="20"/>
          <w:szCs w:val="20"/>
        </w:rPr>
        <w:t>AOP</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本药、长春新碱和泼尼松</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(7)</w:t>
      </w:r>
      <w:r w:rsidRPr="004C77C2">
        <w:rPr>
          <w:rFonts w:ascii="Arial" w:eastAsia="宋体" w:hAnsi="Arial" w:cs="Arial"/>
          <w:kern w:val="0"/>
          <w:sz w:val="20"/>
          <w:szCs w:val="20"/>
        </w:rPr>
        <w:t>卵巢癌、肺癌以及头颈部癌、膀胱癌等：</w:t>
      </w:r>
      <w:r w:rsidRPr="004C77C2">
        <w:rPr>
          <w:rFonts w:ascii="Arial" w:eastAsia="宋体" w:hAnsi="Arial" w:cs="Arial"/>
          <w:kern w:val="0"/>
          <w:sz w:val="20"/>
          <w:szCs w:val="20"/>
        </w:rPr>
        <w:t>ACP</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本药、环磷酰胺和顺铂</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(8)</w:t>
      </w:r>
      <w:r w:rsidRPr="004C77C2">
        <w:rPr>
          <w:rFonts w:ascii="Arial" w:eastAsia="宋体" w:hAnsi="Arial" w:cs="Arial"/>
          <w:kern w:val="0"/>
          <w:sz w:val="20"/>
          <w:szCs w:val="20"/>
        </w:rPr>
        <w:t>软组织肉瘤和成骨肉瘤：</w:t>
      </w:r>
      <w:r w:rsidRPr="004C77C2">
        <w:rPr>
          <w:rFonts w:ascii="Arial" w:eastAsia="宋体" w:hAnsi="Arial" w:cs="Arial"/>
          <w:kern w:val="0"/>
          <w:sz w:val="20"/>
          <w:szCs w:val="20"/>
        </w:rPr>
        <w:t>COAD</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环磷酰胺、长春新碱、本药和达卡巴嗪</w:t>
      </w:r>
      <w:r w:rsidRPr="004C77C2">
        <w:rPr>
          <w:rFonts w:ascii="Arial" w:eastAsia="宋体" w:hAnsi="Arial" w:cs="Arial"/>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(9)</w:t>
      </w:r>
      <w:r w:rsidRPr="004C77C2">
        <w:rPr>
          <w:rFonts w:ascii="Arial" w:eastAsia="宋体" w:hAnsi="Arial" w:cs="Arial"/>
          <w:kern w:val="0"/>
          <w:sz w:val="20"/>
          <w:szCs w:val="20"/>
        </w:rPr>
        <w:t>小细胞肺癌：</w:t>
      </w:r>
      <w:r w:rsidRPr="004C77C2">
        <w:rPr>
          <w:rFonts w:ascii="Arial" w:eastAsia="宋体" w:hAnsi="Arial" w:cs="Arial"/>
          <w:kern w:val="0"/>
          <w:sz w:val="20"/>
          <w:szCs w:val="20"/>
        </w:rPr>
        <w:t>CAO</w:t>
      </w:r>
      <w:r w:rsidRPr="004C77C2">
        <w:rPr>
          <w:rFonts w:ascii="Arial" w:eastAsia="宋体" w:hAnsi="Arial" w:cs="Arial"/>
          <w:kern w:val="0"/>
          <w:sz w:val="20"/>
          <w:szCs w:val="20"/>
        </w:rPr>
        <w:t>方案</w:t>
      </w:r>
      <w:r w:rsidRPr="004C77C2">
        <w:rPr>
          <w:rFonts w:ascii="Arial" w:eastAsia="宋体" w:hAnsi="Arial" w:cs="Arial"/>
          <w:kern w:val="0"/>
          <w:sz w:val="20"/>
          <w:szCs w:val="20"/>
        </w:rPr>
        <w:t>(</w:t>
      </w:r>
      <w:r w:rsidRPr="004C77C2">
        <w:rPr>
          <w:rFonts w:ascii="Arial" w:eastAsia="宋体" w:hAnsi="Arial" w:cs="Arial"/>
          <w:kern w:val="0"/>
          <w:sz w:val="20"/>
          <w:szCs w:val="20"/>
        </w:rPr>
        <w:t>环磷酰胺、本药、长春新碱</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lastRenderedPageBreak/>
        <w:t>9.</w:t>
      </w:r>
      <w:r w:rsidRPr="004C77C2">
        <w:rPr>
          <w:rFonts w:ascii="Arial" w:eastAsia="宋体" w:hAnsi="Arial" w:cs="Arial"/>
          <w:kern w:val="0"/>
          <w:sz w:val="20"/>
          <w:szCs w:val="20"/>
        </w:rPr>
        <w:t>各种骨髓抑制药</w:t>
      </w:r>
      <w:r w:rsidRPr="004C77C2">
        <w:rPr>
          <w:rFonts w:ascii="Arial" w:eastAsia="宋体" w:hAnsi="Arial" w:cs="Arial"/>
          <w:kern w:val="0"/>
          <w:sz w:val="20"/>
          <w:szCs w:val="20"/>
        </w:rPr>
        <w:t>(</w:t>
      </w:r>
      <w:r w:rsidRPr="004C77C2">
        <w:rPr>
          <w:rFonts w:ascii="Arial" w:eastAsia="宋体" w:hAnsi="Arial" w:cs="Arial"/>
          <w:kern w:val="0"/>
          <w:sz w:val="20"/>
          <w:szCs w:val="20"/>
        </w:rPr>
        <w:t>尤其是亚硝脲类、大剂量环磷酰胺或甲氨蝶呤、丝裂霉素或放射治疗</w:t>
      </w:r>
      <w:r w:rsidRPr="004C77C2">
        <w:rPr>
          <w:rFonts w:ascii="Arial" w:eastAsia="宋体" w:hAnsi="Arial" w:cs="Arial"/>
          <w:kern w:val="0"/>
          <w:sz w:val="20"/>
          <w:szCs w:val="20"/>
        </w:rPr>
        <w:t>)</w:t>
      </w:r>
      <w:r w:rsidRPr="004C77C2">
        <w:rPr>
          <w:rFonts w:ascii="Arial" w:eastAsia="宋体" w:hAnsi="Arial" w:cs="Arial"/>
          <w:kern w:val="0"/>
          <w:sz w:val="20"/>
          <w:szCs w:val="20"/>
        </w:rPr>
        <w:t>与本药合用时，应减少本药的单次用量和总剂量。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10.</w:t>
      </w:r>
      <w:r w:rsidRPr="004C77C2">
        <w:rPr>
          <w:rFonts w:ascii="Arial" w:eastAsia="宋体" w:hAnsi="Arial" w:cs="Arial"/>
          <w:kern w:val="0"/>
          <w:sz w:val="20"/>
          <w:szCs w:val="20"/>
        </w:rPr>
        <w:t>用药期间慎用活病毒疫苗接种。</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用药前后及用药时应当检查或监测</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用药前后应测定心脏功能、心电图、超声心动图、血清酶和其他心肌功能；随访检查周围血象</w:t>
      </w:r>
      <w:r w:rsidRPr="004C77C2">
        <w:rPr>
          <w:rFonts w:ascii="Arial" w:eastAsia="宋体" w:hAnsi="Arial" w:cs="Arial"/>
          <w:kern w:val="0"/>
          <w:sz w:val="20"/>
          <w:szCs w:val="20"/>
        </w:rPr>
        <w:t>(</w:t>
      </w:r>
      <w:r w:rsidRPr="004C77C2">
        <w:rPr>
          <w:rFonts w:ascii="Arial" w:eastAsia="宋体" w:hAnsi="Arial" w:cs="Arial"/>
          <w:kern w:val="0"/>
          <w:sz w:val="20"/>
          <w:szCs w:val="20"/>
        </w:rPr>
        <w:t>每周至少</w:t>
      </w:r>
      <w:r w:rsidRPr="004C77C2">
        <w:rPr>
          <w:rFonts w:ascii="Arial" w:eastAsia="宋体" w:hAnsi="Arial" w:cs="Arial"/>
          <w:kern w:val="0"/>
          <w:sz w:val="20"/>
          <w:szCs w:val="20"/>
        </w:rPr>
        <w:t>1</w:t>
      </w:r>
      <w:r w:rsidRPr="004C77C2">
        <w:rPr>
          <w:rFonts w:ascii="Arial" w:eastAsia="宋体" w:hAnsi="Arial" w:cs="Arial"/>
          <w:kern w:val="0"/>
          <w:sz w:val="20"/>
          <w:szCs w:val="20"/>
        </w:rPr>
        <w:t>次</w:t>
      </w:r>
      <w:r w:rsidRPr="004C77C2">
        <w:rPr>
          <w:rFonts w:ascii="Arial" w:eastAsia="宋体" w:hAnsi="Arial" w:cs="Arial"/>
          <w:kern w:val="0"/>
          <w:sz w:val="20"/>
          <w:szCs w:val="20"/>
        </w:rPr>
        <w:t>)</w:t>
      </w:r>
      <w:r w:rsidRPr="004C77C2">
        <w:rPr>
          <w:rFonts w:ascii="Arial" w:eastAsia="宋体" w:hAnsi="Arial" w:cs="Arial"/>
          <w:kern w:val="0"/>
          <w:sz w:val="20"/>
          <w:szCs w:val="20"/>
        </w:rPr>
        <w:t>和肝功能；应经常查看患者有无口腔溃疡、腹泻以及黄疸等情况，嘱患者多饮水，以减少高尿酸血症的可能，必要时检查血清尿酸或肾功能。</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高警讯药物</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美国安全用药规范研究院</w:t>
      </w:r>
      <w:r w:rsidRPr="004C77C2">
        <w:rPr>
          <w:rFonts w:ascii="Arial" w:eastAsia="宋体" w:hAnsi="Arial" w:cs="Arial"/>
          <w:kern w:val="0"/>
          <w:sz w:val="20"/>
          <w:szCs w:val="20"/>
        </w:rPr>
        <w:t>(ISMP)</w:t>
      </w:r>
      <w:r w:rsidRPr="004C77C2">
        <w:rPr>
          <w:rFonts w:ascii="Arial" w:eastAsia="宋体" w:hAnsi="Arial" w:cs="Arial"/>
          <w:kern w:val="0"/>
          <w:sz w:val="20"/>
          <w:szCs w:val="20"/>
        </w:rPr>
        <w:t>将本药定为高警讯药物，使用不当将给患者带来严重危害。</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其他注意事项</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配制好的溶液于室温下可保持稳定</w:t>
      </w:r>
      <w:r w:rsidRPr="004C77C2">
        <w:rPr>
          <w:rFonts w:ascii="Arial" w:eastAsia="宋体" w:hAnsi="Arial" w:cs="Arial"/>
          <w:kern w:val="0"/>
          <w:sz w:val="20"/>
          <w:szCs w:val="20"/>
        </w:rPr>
        <w:t>48</w:t>
      </w:r>
      <w:r w:rsidRPr="004C77C2">
        <w:rPr>
          <w:rFonts w:ascii="Arial" w:eastAsia="宋体" w:hAnsi="Arial" w:cs="Arial"/>
          <w:kern w:val="0"/>
          <w:sz w:val="20"/>
          <w:szCs w:val="20"/>
        </w:rPr>
        <w:t>小时，但通常建议溶液在</w:t>
      </w:r>
      <w:r w:rsidRPr="004C77C2">
        <w:rPr>
          <w:rFonts w:ascii="Arial" w:eastAsia="宋体" w:hAnsi="Arial" w:cs="Arial"/>
          <w:kern w:val="0"/>
          <w:sz w:val="20"/>
          <w:szCs w:val="20"/>
        </w:rPr>
        <w:t>2-8</w:t>
      </w: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处避光保存，并于</w:t>
      </w:r>
      <w:r w:rsidRPr="004C77C2">
        <w:rPr>
          <w:rFonts w:ascii="Arial" w:eastAsia="宋体" w:hAnsi="Arial" w:cs="Arial"/>
          <w:kern w:val="0"/>
          <w:sz w:val="20"/>
          <w:szCs w:val="20"/>
        </w:rPr>
        <w:t>24</w:t>
      </w:r>
      <w:r w:rsidRPr="004C77C2">
        <w:rPr>
          <w:rFonts w:ascii="Arial" w:eastAsia="宋体" w:hAnsi="Arial" w:cs="Arial"/>
          <w:kern w:val="0"/>
          <w:sz w:val="20"/>
          <w:szCs w:val="20"/>
        </w:rPr>
        <w:t>小时内使用，多余的药液应弃去不用。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【国外专科用药信息参考】</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牙科用药信息</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与牙科治疗相关的主要不良反应：口腔炎和黏膜炎。</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化疗可引起严重的骨髓抑制</w:t>
      </w:r>
      <w:r w:rsidRPr="004C77C2">
        <w:rPr>
          <w:rFonts w:ascii="Arial" w:eastAsia="宋体" w:hAnsi="Arial" w:cs="Arial"/>
          <w:kern w:val="0"/>
          <w:sz w:val="20"/>
          <w:szCs w:val="20"/>
        </w:rPr>
        <w:t>(</w:t>
      </w:r>
      <w:r w:rsidRPr="004C77C2">
        <w:rPr>
          <w:rFonts w:ascii="Arial" w:eastAsia="宋体" w:hAnsi="Arial" w:cs="Arial"/>
          <w:kern w:val="0"/>
          <w:sz w:val="20"/>
          <w:szCs w:val="20"/>
        </w:rPr>
        <w:t>包括明显的血小板减少和凝血功能改变</w:t>
      </w:r>
      <w:r w:rsidRPr="004C77C2">
        <w:rPr>
          <w:rFonts w:ascii="Arial" w:eastAsia="宋体" w:hAnsi="Arial" w:cs="Arial"/>
          <w:kern w:val="0"/>
          <w:sz w:val="20"/>
          <w:szCs w:val="20"/>
        </w:rPr>
        <w:t>)</w:t>
      </w:r>
      <w:r w:rsidRPr="004C77C2">
        <w:rPr>
          <w:rFonts w:ascii="Arial" w:eastAsia="宋体" w:hAnsi="Arial" w:cs="Arial"/>
          <w:kern w:val="0"/>
          <w:sz w:val="20"/>
          <w:szCs w:val="20"/>
        </w:rPr>
        <w:t>，牙科操作时应注意其对出血和止血的影响。</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精神状况信息</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对精神障碍治疗的影响：本药常引起骨髓抑制，与氯氮平和卡马西平合用应谨慎。</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护理注意事项</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1.</w:t>
      </w:r>
      <w:r w:rsidRPr="004C77C2">
        <w:rPr>
          <w:rFonts w:ascii="Arial" w:eastAsia="宋体" w:hAnsi="Arial" w:cs="Arial"/>
          <w:kern w:val="0"/>
          <w:sz w:val="20"/>
          <w:szCs w:val="20"/>
        </w:rPr>
        <w:t>推荐在用药前</w:t>
      </w:r>
      <w:r w:rsidRPr="004C77C2">
        <w:rPr>
          <w:rFonts w:ascii="Arial" w:eastAsia="宋体" w:hAnsi="Arial" w:cs="Arial"/>
          <w:kern w:val="0"/>
          <w:sz w:val="20"/>
          <w:szCs w:val="20"/>
        </w:rPr>
        <w:t>(</w:t>
      </w:r>
      <w:r w:rsidRPr="004C77C2">
        <w:rPr>
          <w:rFonts w:ascii="Arial" w:eastAsia="宋体" w:hAnsi="Arial" w:cs="Arial"/>
          <w:kern w:val="0"/>
          <w:sz w:val="20"/>
          <w:szCs w:val="20"/>
        </w:rPr>
        <w:t>特别是大剂量给药前</w:t>
      </w:r>
      <w:r w:rsidRPr="004C77C2">
        <w:rPr>
          <w:rFonts w:ascii="Arial" w:eastAsia="宋体" w:hAnsi="Arial" w:cs="Arial"/>
          <w:kern w:val="0"/>
          <w:sz w:val="20"/>
          <w:szCs w:val="20"/>
        </w:rPr>
        <w:t>)</w:t>
      </w:r>
      <w:r w:rsidRPr="004C77C2">
        <w:rPr>
          <w:rFonts w:ascii="Arial" w:eastAsia="宋体" w:hAnsi="Arial" w:cs="Arial"/>
          <w:kern w:val="0"/>
          <w:sz w:val="20"/>
          <w:szCs w:val="20"/>
        </w:rPr>
        <w:t>给予止吐药。</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2.</w:t>
      </w:r>
      <w:r w:rsidRPr="004C77C2">
        <w:rPr>
          <w:rFonts w:ascii="Arial" w:eastAsia="宋体" w:hAnsi="Arial" w:cs="Arial"/>
          <w:kern w:val="0"/>
          <w:sz w:val="20"/>
          <w:szCs w:val="20"/>
        </w:rPr>
        <w:t>应严密监测注射部位，药液外渗可引起皮肤脱落和组织坏死</w:t>
      </w:r>
      <w:r w:rsidRPr="004C77C2">
        <w:rPr>
          <w:rFonts w:ascii="Arial" w:eastAsia="宋体" w:hAnsi="Arial" w:cs="Arial"/>
          <w:kern w:val="0"/>
          <w:sz w:val="20"/>
          <w:szCs w:val="20"/>
        </w:rPr>
        <w:t>(</w:t>
      </w:r>
      <w:r w:rsidRPr="004C77C2">
        <w:rPr>
          <w:rFonts w:ascii="Arial" w:eastAsia="宋体" w:hAnsi="Arial" w:cs="Arial"/>
          <w:kern w:val="0"/>
          <w:sz w:val="20"/>
          <w:szCs w:val="20"/>
        </w:rPr>
        <w:t>不得加热或使用碳酸氢钠</w:t>
      </w:r>
      <w:r w:rsidRPr="004C77C2">
        <w:rPr>
          <w:rFonts w:ascii="Arial" w:eastAsia="宋体" w:hAnsi="Arial" w:cs="Arial"/>
          <w:kern w:val="0"/>
          <w:sz w:val="20"/>
          <w:szCs w:val="20"/>
        </w:rPr>
        <w:t>)</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3.</w:t>
      </w:r>
      <w:r w:rsidRPr="004C77C2">
        <w:rPr>
          <w:rFonts w:ascii="Arial" w:eastAsia="宋体" w:hAnsi="Arial" w:cs="Arial"/>
          <w:kern w:val="0"/>
          <w:sz w:val="20"/>
          <w:szCs w:val="20"/>
        </w:rPr>
        <w:t>实验室检查：监测全血细胞计数、肝功能</w:t>
      </w:r>
      <w:r w:rsidRPr="004C77C2">
        <w:rPr>
          <w:rFonts w:ascii="Arial" w:eastAsia="宋体" w:hAnsi="Arial" w:cs="Arial"/>
          <w:kern w:val="0"/>
          <w:sz w:val="20"/>
          <w:szCs w:val="20"/>
        </w:rPr>
        <w:t>[</w:t>
      </w:r>
      <w:r w:rsidRPr="004C77C2">
        <w:rPr>
          <w:rFonts w:ascii="Arial" w:eastAsia="宋体" w:hAnsi="Arial" w:cs="Arial"/>
          <w:kern w:val="0"/>
          <w:sz w:val="20"/>
          <w:szCs w:val="20"/>
        </w:rPr>
        <w:t>胆红素、丙氨酸氨基转移酶</w:t>
      </w:r>
      <w:r w:rsidRPr="004C77C2">
        <w:rPr>
          <w:rFonts w:ascii="Arial" w:eastAsia="宋体" w:hAnsi="Arial" w:cs="Arial"/>
          <w:kern w:val="0"/>
          <w:sz w:val="20"/>
          <w:szCs w:val="20"/>
        </w:rPr>
        <w:t>(ALT)</w:t>
      </w:r>
      <w:r w:rsidRPr="004C77C2">
        <w:rPr>
          <w:rFonts w:ascii="Arial" w:eastAsia="宋体" w:hAnsi="Arial" w:cs="Arial"/>
          <w:kern w:val="0"/>
          <w:sz w:val="20"/>
          <w:szCs w:val="20"/>
        </w:rPr>
        <w:t>、天门冬氨酸氨基转移酶</w:t>
      </w:r>
      <w:r w:rsidRPr="004C77C2">
        <w:rPr>
          <w:rFonts w:ascii="Arial" w:eastAsia="宋体" w:hAnsi="Arial" w:cs="Arial"/>
          <w:kern w:val="0"/>
          <w:sz w:val="20"/>
          <w:szCs w:val="20"/>
        </w:rPr>
        <w:t>(AST)</w:t>
      </w:r>
      <w:r w:rsidRPr="004C77C2">
        <w:rPr>
          <w:rFonts w:ascii="Arial" w:eastAsia="宋体" w:hAnsi="Arial" w:cs="Arial"/>
          <w:kern w:val="0"/>
          <w:sz w:val="20"/>
          <w:szCs w:val="20"/>
        </w:rPr>
        <w:t>、碱性磷酸酶</w:t>
      </w:r>
      <w:r w:rsidRPr="004C77C2">
        <w:rPr>
          <w:rFonts w:ascii="Arial" w:eastAsia="宋体" w:hAnsi="Arial" w:cs="Arial"/>
          <w:kern w:val="0"/>
          <w:sz w:val="20"/>
          <w:szCs w:val="20"/>
        </w:rPr>
        <w:t>]</w:t>
      </w:r>
      <w:r w:rsidRPr="004C77C2">
        <w:rPr>
          <w:rFonts w:ascii="Arial" w:eastAsia="宋体" w:hAnsi="Arial" w:cs="Arial"/>
          <w:kern w:val="0"/>
          <w:sz w:val="20"/>
          <w:szCs w:val="20"/>
        </w:rPr>
        <w:t>、血尿酸、钙、钾、磷酸盐、血清肌酸酐、心功能</w:t>
      </w:r>
      <w:r w:rsidRPr="004C77C2">
        <w:rPr>
          <w:rFonts w:ascii="Arial" w:eastAsia="宋体" w:hAnsi="Arial" w:cs="Arial"/>
          <w:kern w:val="0"/>
          <w:sz w:val="20"/>
          <w:szCs w:val="20"/>
        </w:rPr>
        <w:t>(</w:t>
      </w:r>
      <w:r w:rsidRPr="004C77C2">
        <w:rPr>
          <w:rFonts w:ascii="Arial" w:eastAsia="宋体" w:hAnsi="Arial" w:cs="Arial"/>
          <w:kern w:val="0"/>
          <w:sz w:val="20"/>
          <w:szCs w:val="20"/>
        </w:rPr>
        <w:t>治疗前、治疗过程中和治疗结束后</w:t>
      </w:r>
      <w:r w:rsidRPr="004C77C2">
        <w:rPr>
          <w:rFonts w:ascii="Arial" w:eastAsia="宋体" w:hAnsi="Arial" w:cs="Arial"/>
          <w:kern w:val="0"/>
          <w:sz w:val="20"/>
          <w:szCs w:val="20"/>
        </w:rPr>
        <w:t>)</w:t>
      </w:r>
      <w:r w:rsidRPr="004C77C2">
        <w:rPr>
          <w:rFonts w:ascii="Arial" w:eastAsia="宋体" w:hAnsi="Arial" w:cs="Arial"/>
          <w:kern w:val="0"/>
          <w:sz w:val="20"/>
          <w:szCs w:val="20"/>
        </w:rPr>
        <w:t>、心电图、左室射血分数。</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lastRenderedPageBreak/>
        <w:t>【药物过量】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过量的表现</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已证实单次给予本药</w:t>
      </w:r>
      <w:r w:rsidRPr="004C77C2">
        <w:rPr>
          <w:rFonts w:ascii="Arial" w:eastAsia="宋体" w:hAnsi="Arial" w:cs="Arial"/>
          <w:kern w:val="0"/>
          <w:sz w:val="20"/>
          <w:szCs w:val="20"/>
        </w:rPr>
        <w:t>250mg</w:t>
      </w:r>
      <w:r w:rsidRPr="004C77C2">
        <w:rPr>
          <w:rFonts w:ascii="Arial" w:eastAsia="宋体" w:hAnsi="Arial" w:cs="Arial"/>
          <w:kern w:val="0"/>
          <w:sz w:val="20"/>
          <w:szCs w:val="20"/>
        </w:rPr>
        <w:t>和</w:t>
      </w:r>
      <w:r w:rsidRPr="004C77C2">
        <w:rPr>
          <w:rFonts w:ascii="Arial" w:eastAsia="宋体" w:hAnsi="Arial" w:cs="Arial"/>
          <w:kern w:val="0"/>
          <w:sz w:val="20"/>
          <w:szCs w:val="20"/>
        </w:rPr>
        <w:t>500mg</w:t>
      </w:r>
      <w:r w:rsidRPr="004C77C2">
        <w:rPr>
          <w:rFonts w:ascii="Arial" w:eastAsia="宋体" w:hAnsi="Arial" w:cs="Arial"/>
          <w:kern w:val="0"/>
          <w:sz w:val="20"/>
          <w:szCs w:val="20"/>
        </w:rPr>
        <w:t>是致命的，可于</w:t>
      </w:r>
      <w:r w:rsidRPr="004C77C2">
        <w:rPr>
          <w:rFonts w:ascii="Arial" w:eastAsia="宋体" w:hAnsi="Arial" w:cs="Arial"/>
          <w:kern w:val="0"/>
          <w:sz w:val="20"/>
          <w:szCs w:val="20"/>
        </w:rPr>
        <w:t>24</w:t>
      </w:r>
      <w:r w:rsidRPr="004C77C2">
        <w:rPr>
          <w:rFonts w:ascii="Arial" w:eastAsia="宋体" w:hAnsi="Arial" w:cs="Arial"/>
          <w:kern w:val="0"/>
          <w:sz w:val="20"/>
          <w:szCs w:val="20"/>
        </w:rPr>
        <w:t>小时内导致急性心力衰竭和严重骨髓抑制，于用药后</w:t>
      </w:r>
      <w:r w:rsidRPr="004C77C2">
        <w:rPr>
          <w:rFonts w:ascii="Arial" w:eastAsia="宋体" w:hAnsi="Arial" w:cs="Arial"/>
          <w:kern w:val="0"/>
          <w:sz w:val="20"/>
          <w:szCs w:val="20"/>
        </w:rPr>
        <w:t>10-15</w:t>
      </w:r>
      <w:r w:rsidRPr="004C77C2">
        <w:rPr>
          <w:rFonts w:ascii="Arial" w:eastAsia="宋体" w:hAnsi="Arial" w:cs="Arial"/>
          <w:kern w:val="0"/>
          <w:sz w:val="20"/>
          <w:szCs w:val="20"/>
        </w:rPr>
        <w:t>日毒性效应达最大。</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过量的处理</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用药过量时应加强支持治疗，并采取输血、无菌隔离护理等措施。</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【药理】</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药效学</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本药为一种细胞周期非特异性抗肿瘤药，对各期细胞均有作用，其中对</w:t>
      </w:r>
      <w:r w:rsidRPr="004C77C2">
        <w:rPr>
          <w:rFonts w:ascii="Arial" w:eastAsia="宋体" w:hAnsi="Arial" w:cs="Arial"/>
          <w:kern w:val="0"/>
          <w:sz w:val="20"/>
          <w:szCs w:val="20"/>
        </w:rPr>
        <w:t>S</w:t>
      </w:r>
      <w:r w:rsidRPr="004C77C2">
        <w:rPr>
          <w:rFonts w:ascii="Arial" w:eastAsia="宋体" w:hAnsi="Arial" w:cs="Arial"/>
          <w:kern w:val="0"/>
          <w:sz w:val="20"/>
          <w:szCs w:val="20"/>
        </w:rPr>
        <w:t>早期细胞最为敏感，</w:t>
      </w:r>
      <w:r w:rsidRPr="004C77C2">
        <w:rPr>
          <w:rFonts w:ascii="Arial" w:eastAsia="宋体" w:hAnsi="Arial" w:cs="Arial"/>
          <w:kern w:val="0"/>
          <w:sz w:val="20"/>
          <w:szCs w:val="20"/>
        </w:rPr>
        <w:t>M</w:t>
      </w:r>
      <w:r w:rsidRPr="004C77C2">
        <w:rPr>
          <w:rFonts w:ascii="Arial" w:eastAsia="宋体" w:hAnsi="Arial" w:cs="Arial"/>
          <w:kern w:val="0"/>
          <w:sz w:val="20"/>
          <w:szCs w:val="20"/>
        </w:rPr>
        <w:t>期次之，对</w:t>
      </w:r>
      <w:r w:rsidRPr="004C77C2">
        <w:rPr>
          <w:rFonts w:ascii="Arial" w:eastAsia="宋体" w:hAnsi="Arial" w:cs="Arial"/>
          <w:kern w:val="0"/>
          <w:sz w:val="20"/>
          <w:szCs w:val="20"/>
        </w:rPr>
        <w:t>G</w:t>
      </w:r>
      <w:r w:rsidRPr="004C77C2">
        <w:rPr>
          <w:rFonts w:ascii="Arial" w:eastAsia="宋体" w:hAnsi="Arial" w:cs="Arial"/>
          <w:kern w:val="0"/>
          <w:sz w:val="20"/>
          <w:szCs w:val="20"/>
          <w:vertAlign w:val="subscript"/>
        </w:rPr>
        <w:t>1</w:t>
      </w:r>
      <w:r w:rsidRPr="004C77C2">
        <w:rPr>
          <w:rFonts w:ascii="Arial" w:eastAsia="宋体" w:hAnsi="Arial" w:cs="Arial"/>
          <w:kern w:val="0"/>
          <w:sz w:val="20"/>
          <w:szCs w:val="20"/>
        </w:rPr>
        <w:t>期最不敏感，对</w:t>
      </w:r>
      <w:r w:rsidRPr="004C77C2">
        <w:rPr>
          <w:rFonts w:ascii="Arial" w:eastAsia="宋体" w:hAnsi="Arial" w:cs="Arial"/>
          <w:kern w:val="0"/>
          <w:sz w:val="20"/>
          <w:szCs w:val="20"/>
        </w:rPr>
        <w:t>G</w:t>
      </w:r>
      <w:r w:rsidRPr="004C77C2">
        <w:rPr>
          <w:rFonts w:ascii="Arial" w:eastAsia="宋体" w:hAnsi="Arial" w:cs="Arial"/>
          <w:kern w:val="0"/>
          <w:sz w:val="20"/>
          <w:szCs w:val="20"/>
          <w:vertAlign w:val="subscript"/>
        </w:rPr>
        <w:t>1</w:t>
      </w:r>
      <w:r w:rsidRPr="004C77C2">
        <w:rPr>
          <w:rFonts w:ascii="Arial" w:eastAsia="宋体" w:hAnsi="Arial" w:cs="Arial"/>
          <w:kern w:val="0"/>
          <w:sz w:val="20"/>
          <w:szCs w:val="20"/>
        </w:rPr>
        <w:t>、</w:t>
      </w:r>
      <w:r w:rsidRPr="004C77C2">
        <w:rPr>
          <w:rFonts w:ascii="Arial" w:eastAsia="宋体" w:hAnsi="Arial" w:cs="Arial"/>
          <w:kern w:val="0"/>
          <w:sz w:val="20"/>
          <w:szCs w:val="20"/>
        </w:rPr>
        <w:t>S</w:t>
      </w:r>
      <w:r w:rsidRPr="004C77C2">
        <w:rPr>
          <w:rFonts w:ascii="Arial" w:eastAsia="宋体" w:hAnsi="Arial" w:cs="Arial"/>
          <w:kern w:val="0"/>
          <w:sz w:val="20"/>
          <w:szCs w:val="20"/>
        </w:rPr>
        <w:t>和</w:t>
      </w:r>
      <w:r w:rsidRPr="004C77C2">
        <w:rPr>
          <w:rFonts w:ascii="Arial" w:eastAsia="宋体" w:hAnsi="Arial" w:cs="Arial"/>
          <w:kern w:val="0"/>
          <w:sz w:val="20"/>
          <w:szCs w:val="20"/>
        </w:rPr>
        <w:t>G</w:t>
      </w:r>
      <w:r w:rsidRPr="004C77C2">
        <w:rPr>
          <w:rFonts w:ascii="Arial" w:eastAsia="宋体" w:hAnsi="Arial" w:cs="Arial"/>
          <w:kern w:val="0"/>
          <w:sz w:val="20"/>
          <w:szCs w:val="20"/>
          <w:vertAlign w:val="subscript"/>
        </w:rPr>
        <w:t>2</w:t>
      </w:r>
      <w:r w:rsidRPr="004C77C2">
        <w:rPr>
          <w:rFonts w:ascii="Arial" w:eastAsia="宋体" w:hAnsi="Arial" w:cs="Arial"/>
          <w:kern w:val="0"/>
          <w:sz w:val="20"/>
          <w:szCs w:val="20"/>
        </w:rPr>
        <w:t>期有延缓作用。本药既含有脂溶性的蒽环配基，又有水溶性的柔红糖胺基，并有酸性酚羟基和碱性氨基，因此具有较强的抗癌活性。可嵌入</w:t>
      </w:r>
      <w:r w:rsidRPr="004C77C2">
        <w:rPr>
          <w:rFonts w:ascii="Arial" w:eastAsia="宋体" w:hAnsi="Arial" w:cs="Arial"/>
          <w:kern w:val="0"/>
          <w:sz w:val="20"/>
          <w:szCs w:val="20"/>
        </w:rPr>
        <w:t>DNA</w:t>
      </w:r>
      <w:r w:rsidRPr="004C77C2">
        <w:rPr>
          <w:rFonts w:ascii="Arial" w:eastAsia="宋体" w:hAnsi="Arial" w:cs="Arial"/>
          <w:kern w:val="0"/>
          <w:sz w:val="20"/>
          <w:szCs w:val="20"/>
        </w:rPr>
        <w:t>的碱基对之间，使</w:t>
      </w:r>
      <w:r w:rsidRPr="004C77C2">
        <w:rPr>
          <w:rFonts w:ascii="Arial" w:eastAsia="宋体" w:hAnsi="Arial" w:cs="Arial"/>
          <w:kern w:val="0"/>
          <w:sz w:val="20"/>
          <w:szCs w:val="20"/>
        </w:rPr>
        <w:t>DNA</w:t>
      </w:r>
      <w:r w:rsidRPr="004C77C2">
        <w:rPr>
          <w:rFonts w:ascii="Arial" w:eastAsia="宋体" w:hAnsi="Arial" w:cs="Arial"/>
          <w:kern w:val="0"/>
          <w:sz w:val="20"/>
          <w:szCs w:val="20"/>
        </w:rPr>
        <w:t>链裂解，阻碍</w:t>
      </w:r>
      <w:r w:rsidRPr="004C77C2">
        <w:rPr>
          <w:rFonts w:ascii="Arial" w:eastAsia="宋体" w:hAnsi="Arial" w:cs="Arial"/>
          <w:kern w:val="0"/>
          <w:sz w:val="20"/>
          <w:szCs w:val="20"/>
        </w:rPr>
        <w:t>DNA</w:t>
      </w:r>
      <w:r w:rsidRPr="004C77C2">
        <w:rPr>
          <w:rFonts w:ascii="Arial" w:eastAsia="宋体" w:hAnsi="Arial" w:cs="Arial"/>
          <w:kern w:val="0"/>
          <w:sz w:val="20"/>
          <w:szCs w:val="20"/>
        </w:rPr>
        <w:t>及</w:t>
      </w:r>
      <w:r w:rsidRPr="004C77C2">
        <w:rPr>
          <w:rFonts w:ascii="Arial" w:eastAsia="宋体" w:hAnsi="Arial" w:cs="Arial"/>
          <w:kern w:val="0"/>
          <w:sz w:val="20"/>
          <w:szCs w:val="20"/>
        </w:rPr>
        <w:t>RNA</w:t>
      </w:r>
      <w:r w:rsidRPr="004C77C2">
        <w:rPr>
          <w:rFonts w:ascii="Arial" w:eastAsia="宋体" w:hAnsi="Arial" w:cs="Arial"/>
          <w:kern w:val="0"/>
          <w:sz w:val="20"/>
          <w:szCs w:val="20"/>
        </w:rPr>
        <w:t>的合成。此外，本药在酶的作用下还原为半酰自由基，与氧反应可导致氧自由基的形成，并有破坏细胞膜结构及功能的特殊作用。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本药抗瘤谱广，对无氧代谢细胞也有效，在肿瘤的化疗中占有重要地位。</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本药与柔红霉素有交叉耐药；与甲氨蝶呤、氟尿嘧啶、阿糖胞苷、氮芥、丝裂霉素、博来霉素、环磷酰胺以及亚硝脲类药等之间则无交叉耐药性。</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药动学</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静脉注射后，本药迅速分布于心、肾、肝、脾、肺组织中，不能透过血</w:t>
      </w:r>
      <w:r w:rsidRPr="004C77C2">
        <w:rPr>
          <w:rFonts w:ascii="Arial" w:eastAsia="宋体" w:hAnsi="Arial" w:cs="Arial"/>
          <w:kern w:val="0"/>
          <w:sz w:val="20"/>
          <w:szCs w:val="20"/>
        </w:rPr>
        <w:t>-</w:t>
      </w:r>
      <w:r w:rsidRPr="004C77C2">
        <w:rPr>
          <w:rFonts w:ascii="Arial" w:eastAsia="宋体" w:hAnsi="Arial" w:cs="Arial"/>
          <w:kern w:val="0"/>
          <w:sz w:val="20"/>
          <w:szCs w:val="20"/>
        </w:rPr>
        <w:t>脑脊液屏障。本药血浆蛋白结合率极低。主要在肝脏代谢，代谢产物主要为阿霉素醇。本药主要经胆汁排泄，</w:t>
      </w:r>
      <w:r w:rsidRPr="004C77C2">
        <w:rPr>
          <w:rFonts w:ascii="Arial" w:eastAsia="宋体" w:hAnsi="Arial" w:cs="Arial"/>
          <w:kern w:val="0"/>
          <w:sz w:val="20"/>
          <w:szCs w:val="20"/>
        </w:rPr>
        <w:t>6</w:t>
      </w:r>
      <w:r w:rsidRPr="004C77C2">
        <w:rPr>
          <w:rFonts w:ascii="Arial" w:eastAsia="宋体" w:hAnsi="Arial" w:cs="Arial"/>
          <w:kern w:val="0"/>
          <w:sz w:val="20"/>
          <w:szCs w:val="20"/>
        </w:rPr>
        <w:t>小时内仅</w:t>
      </w:r>
      <w:r w:rsidRPr="004C77C2">
        <w:rPr>
          <w:rFonts w:ascii="Arial" w:eastAsia="宋体" w:hAnsi="Arial" w:cs="Arial"/>
          <w:kern w:val="0"/>
          <w:sz w:val="20"/>
          <w:szCs w:val="20"/>
        </w:rPr>
        <w:t>5%-10%</w:t>
      </w:r>
      <w:r w:rsidRPr="004C77C2">
        <w:rPr>
          <w:rFonts w:ascii="Arial" w:eastAsia="宋体" w:hAnsi="Arial" w:cs="Arial"/>
          <w:kern w:val="0"/>
          <w:sz w:val="20"/>
          <w:szCs w:val="20"/>
        </w:rPr>
        <w:t>随尿液排出。排泄物中</w:t>
      </w:r>
      <w:r w:rsidRPr="004C77C2">
        <w:rPr>
          <w:rFonts w:ascii="Arial" w:eastAsia="宋体" w:hAnsi="Arial" w:cs="Arial"/>
          <w:kern w:val="0"/>
          <w:sz w:val="20"/>
          <w:szCs w:val="20"/>
        </w:rPr>
        <w:t>50%</w:t>
      </w:r>
      <w:r w:rsidRPr="004C77C2">
        <w:rPr>
          <w:rFonts w:ascii="Arial" w:eastAsia="宋体" w:hAnsi="Arial" w:cs="Arial"/>
          <w:kern w:val="0"/>
          <w:sz w:val="20"/>
          <w:szCs w:val="20"/>
        </w:rPr>
        <w:t>为原形、</w:t>
      </w:r>
      <w:r w:rsidRPr="004C77C2">
        <w:rPr>
          <w:rFonts w:ascii="Arial" w:eastAsia="宋体" w:hAnsi="Arial" w:cs="Arial"/>
          <w:kern w:val="0"/>
          <w:sz w:val="20"/>
          <w:szCs w:val="20"/>
        </w:rPr>
        <w:t>23%</w:t>
      </w:r>
      <w:r w:rsidRPr="004C77C2">
        <w:rPr>
          <w:rFonts w:ascii="Arial" w:eastAsia="宋体" w:hAnsi="Arial" w:cs="Arial"/>
          <w:kern w:val="0"/>
          <w:sz w:val="20"/>
          <w:szCs w:val="20"/>
        </w:rPr>
        <w:t>为阿霉素醇。本药的三相半衰期分别为</w:t>
      </w:r>
      <w:r w:rsidRPr="004C77C2">
        <w:rPr>
          <w:rFonts w:ascii="Arial" w:eastAsia="宋体" w:hAnsi="Arial" w:cs="Arial"/>
          <w:kern w:val="0"/>
          <w:sz w:val="20"/>
          <w:szCs w:val="20"/>
        </w:rPr>
        <w:t>30</w:t>
      </w:r>
      <w:r w:rsidRPr="004C77C2">
        <w:rPr>
          <w:rFonts w:ascii="Arial" w:eastAsia="宋体" w:hAnsi="Arial" w:cs="Arial"/>
          <w:kern w:val="0"/>
          <w:sz w:val="20"/>
          <w:szCs w:val="20"/>
        </w:rPr>
        <w:t>分钟、</w:t>
      </w:r>
      <w:r w:rsidRPr="004C77C2">
        <w:rPr>
          <w:rFonts w:ascii="Arial" w:eastAsia="宋体" w:hAnsi="Arial" w:cs="Arial"/>
          <w:kern w:val="0"/>
          <w:sz w:val="20"/>
          <w:szCs w:val="20"/>
        </w:rPr>
        <w:t>3</w:t>
      </w:r>
      <w:r w:rsidRPr="004C77C2">
        <w:rPr>
          <w:rFonts w:ascii="Arial" w:eastAsia="宋体" w:hAnsi="Arial" w:cs="Arial"/>
          <w:kern w:val="0"/>
          <w:sz w:val="20"/>
          <w:szCs w:val="20"/>
        </w:rPr>
        <w:t>小时和</w:t>
      </w:r>
      <w:r w:rsidRPr="004C77C2">
        <w:rPr>
          <w:rFonts w:ascii="Arial" w:eastAsia="宋体" w:hAnsi="Arial" w:cs="Arial"/>
          <w:kern w:val="0"/>
          <w:sz w:val="20"/>
          <w:szCs w:val="20"/>
        </w:rPr>
        <w:t>40-50</w:t>
      </w:r>
      <w:r w:rsidRPr="004C77C2">
        <w:rPr>
          <w:rFonts w:ascii="Arial" w:eastAsia="宋体" w:hAnsi="Arial" w:cs="Arial"/>
          <w:kern w:val="0"/>
          <w:sz w:val="20"/>
          <w:szCs w:val="20"/>
        </w:rPr>
        <w:t>小时。</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遗传、生殖毒性与致癌性</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遗传毒性</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本药对人体有潜在的致突变作用。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生殖毒性</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动物试验发现本药对生殖功能有明显影响。</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致癌性</w:t>
      </w:r>
      <w:r w:rsidRPr="004C77C2">
        <w:rPr>
          <w:rFonts w:ascii="Arial" w:eastAsia="宋体" w:hAnsi="Arial" w:cs="Arial"/>
          <w:kern w:val="0"/>
          <w:sz w:val="20"/>
          <w:szCs w:val="20"/>
        </w:rPr>
        <w:t xml:space="preserve">  </w:t>
      </w:r>
      <w:r w:rsidRPr="004C77C2">
        <w:rPr>
          <w:rFonts w:ascii="Arial" w:eastAsia="宋体" w:hAnsi="Arial" w:cs="Arial"/>
          <w:kern w:val="0"/>
          <w:sz w:val="20"/>
          <w:szCs w:val="20"/>
        </w:rPr>
        <w:t>动物试验发现本药有致癌作用。</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lastRenderedPageBreak/>
        <w:t>【制剂与规格】</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盐酸多柔比星注射液</w:t>
      </w:r>
      <w:r w:rsidRPr="004C77C2">
        <w:rPr>
          <w:rFonts w:ascii="Arial" w:eastAsia="宋体" w:hAnsi="Arial" w:cs="Arial"/>
          <w:kern w:val="0"/>
          <w:sz w:val="20"/>
          <w:szCs w:val="20"/>
        </w:rPr>
        <w:t xml:space="preserve">  5ml:10mg</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注射用盐酸多柔比星</w:t>
      </w:r>
      <w:r w:rsidRPr="004C77C2">
        <w:rPr>
          <w:rFonts w:ascii="Arial" w:eastAsia="宋体" w:hAnsi="Arial" w:cs="Arial"/>
          <w:kern w:val="0"/>
          <w:sz w:val="20"/>
          <w:szCs w:val="20"/>
        </w:rPr>
        <w:t xml:space="preserve">  (1)10mg</w:t>
      </w:r>
      <w:r w:rsidRPr="004C77C2">
        <w:rPr>
          <w:rFonts w:ascii="Arial" w:eastAsia="宋体" w:hAnsi="Arial" w:cs="Arial"/>
          <w:kern w:val="0"/>
          <w:sz w:val="20"/>
          <w:szCs w:val="20"/>
        </w:rPr>
        <w:t>。</w:t>
      </w:r>
      <w:r w:rsidRPr="004C77C2">
        <w:rPr>
          <w:rFonts w:ascii="Arial" w:eastAsia="宋体" w:hAnsi="Arial" w:cs="Arial"/>
          <w:kern w:val="0"/>
          <w:sz w:val="20"/>
          <w:szCs w:val="20"/>
        </w:rPr>
        <w:t>(2)20mg</w:t>
      </w:r>
      <w:r w:rsidRPr="004C77C2">
        <w:rPr>
          <w:rFonts w:ascii="Arial" w:eastAsia="宋体" w:hAnsi="Arial" w:cs="Arial"/>
          <w:kern w:val="0"/>
          <w:sz w:val="20"/>
          <w:szCs w:val="20"/>
        </w:rPr>
        <w:t>。</w:t>
      </w:r>
      <w:r w:rsidRPr="004C77C2">
        <w:rPr>
          <w:rFonts w:ascii="Arial" w:eastAsia="宋体" w:hAnsi="Arial" w:cs="Arial"/>
          <w:kern w:val="0"/>
          <w:sz w:val="20"/>
          <w:szCs w:val="20"/>
        </w:rPr>
        <w:t>(3)50mg</w:t>
      </w:r>
      <w:r w:rsidRPr="004C77C2">
        <w:rPr>
          <w:rFonts w:ascii="Arial" w:eastAsia="宋体" w:hAnsi="Arial" w:cs="Arial"/>
          <w:kern w:val="0"/>
          <w:sz w:val="20"/>
          <w:szCs w:val="20"/>
        </w:rPr>
        <w:t>。</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b/>
          <w:bCs/>
          <w:kern w:val="0"/>
          <w:sz w:val="20"/>
          <w:szCs w:val="20"/>
        </w:rPr>
        <w:t>【贮藏】</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注射液：遮光、密闭，冷处</w:t>
      </w:r>
      <w:r w:rsidRPr="004C77C2">
        <w:rPr>
          <w:rFonts w:ascii="Arial" w:eastAsia="宋体" w:hAnsi="Arial" w:cs="Arial"/>
          <w:kern w:val="0"/>
          <w:sz w:val="20"/>
          <w:szCs w:val="20"/>
        </w:rPr>
        <w:t>(2-8</w:t>
      </w: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保存。</w:t>
      </w:r>
    </w:p>
    <w:p w:rsidR="004C77C2" w:rsidRPr="004C77C2" w:rsidRDefault="004C77C2" w:rsidP="004C77C2">
      <w:pPr>
        <w:widowControl/>
        <w:spacing w:before="150" w:after="150" w:line="336" w:lineRule="auto"/>
        <w:jc w:val="left"/>
        <w:rPr>
          <w:rFonts w:ascii="Arial" w:eastAsia="宋体" w:hAnsi="Arial" w:cs="Arial"/>
          <w:kern w:val="0"/>
          <w:sz w:val="20"/>
          <w:szCs w:val="20"/>
        </w:rPr>
      </w:pPr>
      <w:r w:rsidRPr="004C77C2">
        <w:rPr>
          <w:rFonts w:ascii="Arial" w:eastAsia="宋体" w:hAnsi="Arial" w:cs="Arial"/>
          <w:kern w:val="0"/>
          <w:sz w:val="20"/>
          <w:szCs w:val="20"/>
        </w:rPr>
        <w:t>粉针剂：遮光、密闭，阴凉处</w:t>
      </w:r>
      <w:r w:rsidRPr="004C77C2">
        <w:rPr>
          <w:rFonts w:ascii="Arial" w:eastAsia="宋体" w:hAnsi="Arial" w:cs="Arial"/>
          <w:kern w:val="0"/>
          <w:sz w:val="20"/>
          <w:szCs w:val="20"/>
        </w:rPr>
        <w:t>(</w:t>
      </w:r>
      <w:r w:rsidRPr="004C77C2">
        <w:rPr>
          <w:rFonts w:ascii="Arial" w:eastAsia="宋体" w:hAnsi="Arial" w:cs="Arial"/>
          <w:kern w:val="0"/>
          <w:sz w:val="20"/>
          <w:szCs w:val="20"/>
        </w:rPr>
        <w:t>不超过</w:t>
      </w:r>
      <w:r w:rsidRPr="004C77C2">
        <w:rPr>
          <w:rFonts w:ascii="Arial" w:eastAsia="宋体" w:hAnsi="Arial" w:cs="Arial"/>
          <w:kern w:val="0"/>
          <w:sz w:val="20"/>
          <w:szCs w:val="20"/>
        </w:rPr>
        <w:t>20</w:t>
      </w:r>
      <w:r w:rsidRPr="004C77C2">
        <w:rPr>
          <w:rFonts w:ascii="微软雅黑" w:eastAsia="微软雅黑" w:hAnsi="微软雅黑" w:cs="微软雅黑" w:hint="eastAsia"/>
          <w:kern w:val="0"/>
          <w:sz w:val="20"/>
          <w:szCs w:val="20"/>
        </w:rPr>
        <w:t>℃</w:t>
      </w:r>
      <w:r w:rsidRPr="004C77C2">
        <w:rPr>
          <w:rFonts w:ascii="Arial" w:eastAsia="宋体" w:hAnsi="Arial" w:cs="Arial"/>
          <w:kern w:val="0"/>
          <w:sz w:val="20"/>
          <w:szCs w:val="20"/>
        </w:rPr>
        <w:t>)</w:t>
      </w:r>
      <w:r w:rsidRPr="004C77C2">
        <w:rPr>
          <w:rFonts w:ascii="Arial" w:eastAsia="宋体" w:hAnsi="Arial" w:cs="Arial"/>
          <w:kern w:val="0"/>
          <w:sz w:val="20"/>
          <w:szCs w:val="20"/>
        </w:rPr>
        <w:t>保存。</w:t>
      </w:r>
    </w:p>
    <w:p w:rsidR="004C77C2" w:rsidRPr="004C77C2" w:rsidRDefault="004C77C2" w:rsidP="004C77C2">
      <w:pPr>
        <w:widowControl/>
        <w:jc w:val="center"/>
        <w:rPr>
          <w:rFonts w:ascii="Arial" w:eastAsia="宋体" w:hAnsi="Arial" w:cs="Arial"/>
          <w:kern w:val="0"/>
          <w:sz w:val="20"/>
          <w:szCs w:val="20"/>
        </w:rPr>
      </w:pPr>
      <w:r w:rsidRPr="004C77C2">
        <w:rPr>
          <w:rFonts w:ascii="Arial" w:eastAsia="宋体" w:hAnsi="Arial" w:cs="Arial"/>
          <w:kern w:val="0"/>
          <w:sz w:val="20"/>
          <w:szCs w:val="20"/>
        </w:rPr>
        <w:t>使用</w:t>
      </w:r>
      <w:r w:rsidRPr="004C77C2">
        <w:rPr>
          <w:rFonts w:ascii="Arial" w:eastAsia="宋体" w:hAnsi="Arial" w:cs="Arial"/>
          <w:kern w:val="0"/>
          <w:sz w:val="20"/>
          <w:szCs w:val="20"/>
        </w:rPr>
        <w:t>UpToDate</w:t>
      </w:r>
      <w:r w:rsidRPr="004C77C2">
        <w:rPr>
          <w:rFonts w:ascii="Arial" w:eastAsia="宋体" w:hAnsi="Arial" w:cs="Arial"/>
          <w:kern w:val="0"/>
          <w:sz w:val="20"/>
          <w:szCs w:val="20"/>
        </w:rPr>
        <w:t>临床顾问须遵循</w:t>
      </w:r>
      <w:hyperlink r:id="rId4" w:tgtFrame="_blank" w:history="1">
        <w:r w:rsidRPr="004C77C2">
          <w:rPr>
            <w:rFonts w:ascii="Arial" w:eastAsia="宋体" w:hAnsi="Arial" w:cs="Arial"/>
            <w:color w:val="336633"/>
            <w:kern w:val="0"/>
            <w:sz w:val="20"/>
            <w:szCs w:val="20"/>
            <w:u w:val="single"/>
          </w:rPr>
          <w:t>用户协议</w:t>
        </w:r>
      </w:hyperlink>
      <w:r w:rsidRPr="004C77C2">
        <w:rPr>
          <w:rFonts w:ascii="Arial" w:eastAsia="宋体" w:hAnsi="Arial" w:cs="Arial"/>
          <w:kern w:val="0"/>
          <w:sz w:val="20"/>
          <w:szCs w:val="20"/>
        </w:rPr>
        <w:t>。</w:t>
      </w:r>
      <w:r w:rsidRPr="004C77C2">
        <w:rPr>
          <w:rFonts w:ascii="Arial" w:eastAsia="宋体" w:hAnsi="Arial" w:cs="Arial"/>
          <w:kern w:val="0"/>
          <w:sz w:val="20"/>
          <w:szCs w:val="20"/>
        </w:rPr>
        <w:t xml:space="preserve"> </w:t>
      </w:r>
    </w:p>
    <w:p w:rsidR="004C77C2" w:rsidRPr="004C77C2" w:rsidRDefault="004C77C2" w:rsidP="004C77C2">
      <w:pPr>
        <w:widowControl/>
        <w:jc w:val="left"/>
        <w:rPr>
          <w:rFonts w:ascii="Arial" w:eastAsia="宋体" w:hAnsi="Arial" w:cs="Arial"/>
          <w:kern w:val="0"/>
          <w:sz w:val="20"/>
          <w:szCs w:val="20"/>
        </w:rPr>
      </w:pPr>
      <w:r w:rsidRPr="004C77C2">
        <w:rPr>
          <w:rFonts w:ascii="Arial" w:eastAsia="宋体" w:hAnsi="Arial" w:cs="Arial"/>
          <w:kern w:val="0"/>
          <w:sz w:val="20"/>
          <w:szCs w:val="20"/>
        </w:rPr>
        <w:t>专题</w:t>
      </w:r>
      <w:r w:rsidRPr="004C77C2">
        <w:rPr>
          <w:rFonts w:ascii="Arial" w:eastAsia="宋体" w:hAnsi="Arial" w:cs="Arial"/>
          <w:kern w:val="0"/>
          <w:sz w:val="20"/>
          <w:szCs w:val="20"/>
        </w:rPr>
        <w:t xml:space="preserve"> 92774 </w:t>
      </w:r>
      <w:r w:rsidRPr="004C77C2">
        <w:rPr>
          <w:rFonts w:ascii="Arial" w:eastAsia="宋体" w:hAnsi="Arial" w:cs="Arial"/>
          <w:kern w:val="0"/>
          <w:sz w:val="20"/>
          <w:szCs w:val="20"/>
        </w:rPr>
        <w:t>版本</w:t>
      </w:r>
      <w:r w:rsidRPr="004C77C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56"/>
    <w:rsid w:val="0048715B"/>
    <w:rsid w:val="004C77C2"/>
    <w:rsid w:val="00537956"/>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E157E-8DBF-4C49-9E30-05DFD199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4C77C2"/>
    <w:rPr>
      <w:b/>
      <w:bCs/>
    </w:rPr>
  </w:style>
  <w:style w:type="character" w:customStyle="1" w:styleId="h22">
    <w:name w:val="h22"/>
    <w:basedOn w:val="a0"/>
    <w:rsid w:val="004C77C2"/>
    <w:rPr>
      <w:b/>
      <w:bCs/>
    </w:rPr>
  </w:style>
  <w:style w:type="character" w:customStyle="1" w:styleId="nowrap1">
    <w:name w:val="nowrap1"/>
    <w:basedOn w:val="a0"/>
    <w:rsid w:val="004C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737683">
      <w:bodyDiv w:val="1"/>
      <w:marLeft w:val="0"/>
      <w:marRight w:val="0"/>
      <w:marTop w:val="0"/>
      <w:marBottom w:val="0"/>
      <w:divBdr>
        <w:top w:val="none" w:sz="0" w:space="0" w:color="auto"/>
        <w:left w:val="none" w:sz="0" w:space="0" w:color="auto"/>
        <w:bottom w:val="none" w:sz="0" w:space="0" w:color="auto"/>
        <w:right w:val="none" w:sz="0" w:space="0" w:color="auto"/>
      </w:divBdr>
      <w:divsChild>
        <w:div w:id="403332838">
          <w:marLeft w:val="0"/>
          <w:marRight w:val="0"/>
          <w:marTop w:val="0"/>
          <w:marBottom w:val="0"/>
          <w:divBdr>
            <w:top w:val="none" w:sz="0" w:space="0" w:color="auto"/>
            <w:left w:val="none" w:sz="0" w:space="0" w:color="auto"/>
            <w:bottom w:val="none" w:sz="0" w:space="0" w:color="auto"/>
            <w:right w:val="none" w:sz="0" w:space="0" w:color="auto"/>
          </w:divBdr>
          <w:divsChild>
            <w:div w:id="1964967130">
              <w:marLeft w:val="0"/>
              <w:marRight w:val="0"/>
              <w:marTop w:val="0"/>
              <w:marBottom w:val="0"/>
              <w:divBdr>
                <w:top w:val="none" w:sz="0" w:space="0" w:color="auto"/>
                <w:left w:val="none" w:sz="0" w:space="0" w:color="auto"/>
                <w:bottom w:val="none" w:sz="0" w:space="0" w:color="auto"/>
                <w:right w:val="none" w:sz="0" w:space="0" w:color="auto"/>
              </w:divBdr>
              <w:divsChild>
                <w:div w:id="721366075">
                  <w:marLeft w:val="450"/>
                  <w:marRight w:val="900"/>
                  <w:marTop w:val="450"/>
                  <w:marBottom w:val="450"/>
                  <w:divBdr>
                    <w:top w:val="none" w:sz="0" w:space="0" w:color="auto"/>
                    <w:left w:val="none" w:sz="0" w:space="0" w:color="auto"/>
                    <w:bottom w:val="none" w:sz="0" w:space="0" w:color="auto"/>
                    <w:right w:val="none" w:sz="0" w:space="0" w:color="auto"/>
                  </w:divBdr>
                  <w:divsChild>
                    <w:div w:id="487357982">
                      <w:marLeft w:val="0"/>
                      <w:marRight w:val="0"/>
                      <w:marTop w:val="0"/>
                      <w:marBottom w:val="0"/>
                      <w:divBdr>
                        <w:top w:val="none" w:sz="0" w:space="0" w:color="auto"/>
                        <w:left w:val="none" w:sz="0" w:space="0" w:color="auto"/>
                        <w:bottom w:val="none" w:sz="0" w:space="0" w:color="auto"/>
                        <w:right w:val="none" w:sz="0" w:space="0" w:color="auto"/>
                      </w:divBdr>
                    </w:div>
                    <w:div w:id="1909993068">
                      <w:marLeft w:val="0"/>
                      <w:marRight w:val="0"/>
                      <w:marTop w:val="0"/>
                      <w:marBottom w:val="0"/>
                      <w:divBdr>
                        <w:top w:val="none" w:sz="0" w:space="0" w:color="auto"/>
                        <w:left w:val="none" w:sz="0" w:space="0" w:color="auto"/>
                        <w:bottom w:val="none" w:sz="0" w:space="0" w:color="auto"/>
                        <w:right w:val="none" w:sz="0" w:space="0" w:color="auto"/>
                      </w:divBdr>
                    </w:div>
                    <w:div w:id="1771313082">
                      <w:marLeft w:val="0"/>
                      <w:marRight w:val="0"/>
                      <w:marTop w:val="480"/>
                      <w:marBottom w:val="480"/>
                      <w:divBdr>
                        <w:top w:val="none" w:sz="0" w:space="0" w:color="auto"/>
                        <w:left w:val="none" w:sz="0" w:space="0" w:color="auto"/>
                        <w:bottom w:val="none" w:sz="0" w:space="0" w:color="auto"/>
                        <w:right w:val="none" w:sz="0" w:space="0" w:color="auto"/>
                      </w:divBdr>
                    </w:div>
                    <w:div w:id="925193099">
                      <w:marLeft w:val="0"/>
                      <w:marRight w:val="0"/>
                      <w:marTop w:val="0"/>
                      <w:marBottom w:val="0"/>
                      <w:divBdr>
                        <w:top w:val="none" w:sz="0" w:space="0" w:color="auto"/>
                        <w:left w:val="none" w:sz="0" w:space="0" w:color="auto"/>
                        <w:bottom w:val="none" w:sz="0" w:space="0" w:color="auto"/>
                        <w:right w:val="none" w:sz="0" w:space="0" w:color="auto"/>
                      </w:divBdr>
                      <w:divsChild>
                        <w:div w:id="13965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2015-02-09T03:35:00Z</dcterms:created>
  <dcterms:modified xsi:type="dcterms:W3CDTF">2015-02-09T03:35:00Z</dcterms:modified>
</cp:coreProperties>
</file>