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924" w:rsidRPr="00094924" w:rsidRDefault="00094924" w:rsidP="00094924">
      <w:pPr>
        <w:widowControl/>
        <w:jc w:val="left"/>
        <w:rPr>
          <w:rFonts w:ascii="Arial" w:eastAsia="宋体" w:hAnsi="Arial" w:cs="Arial"/>
          <w:b/>
          <w:bCs/>
          <w:kern w:val="0"/>
          <w:sz w:val="20"/>
          <w:szCs w:val="20"/>
        </w:rPr>
      </w:pPr>
      <w:bookmarkStart w:id="0" w:name="_GoBack"/>
      <w:r w:rsidRPr="00094924">
        <w:rPr>
          <w:rFonts w:ascii="Arial" w:eastAsia="宋体" w:hAnsi="Arial" w:cs="Arial"/>
          <w:b/>
          <w:bCs/>
          <w:kern w:val="0"/>
          <w:sz w:val="20"/>
          <w:szCs w:val="20"/>
        </w:rPr>
        <w:t>阿糖胞苷</w:t>
      </w:r>
    </w:p>
    <w:bookmarkEnd w:id="0"/>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文章版本号：</w:t>
      </w:r>
      <w:r w:rsidRPr="00094924">
        <w:rPr>
          <w:rFonts w:ascii="Arial" w:eastAsia="宋体" w:hAnsi="Arial" w:cs="Arial"/>
          <w:kern w:val="0"/>
          <w:sz w:val="20"/>
          <w:szCs w:val="20"/>
        </w:rPr>
        <w:t>2</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最后发布时间：</w:t>
      </w:r>
      <w:r w:rsidRPr="00094924">
        <w:rPr>
          <w:rFonts w:ascii="Arial" w:eastAsia="宋体" w:hAnsi="Arial" w:cs="Arial"/>
          <w:kern w:val="0"/>
          <w:sz w:val="20"/>
          <w:szCs w:val="20"/>
        </w:rPr>
        <w:t>2014-4-15 9:46:45</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【特别警示】</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本药最主要的毒性为骨髓抑制</w:t>
      </w:r>
      <w:r w:rsidRPr="00094924">
        <w:rPr>
          <w:rFonts w:ascii="Arial" w:eastAsia="宋体" w:hAnsi="Arial" w:cs="Arial"/>
          <w:kern w:val="0"/>
          <w:sz w:val="20"/>
          <w:szCs w:val="20"/>
        </w:rPr>
        <w:t>(</w:t>
      </w:r>
      <w:r w:rsidRPr="00094924">
        <w:rPr>
          <w:rFonts w:ascii="Arial" w:eastAsia="宋体" w:hAnsi="Arial" w:cs="Arial"/>
          <w:kern w:val="0"/>
          <w:sz w:val="20"/>
          <w:szCs w:val="20"/>
        </w:rPr>
        <w:t>白细胞减少、血小板减少和贫血</w:t>
      </w:r>
      <w:r w:rsidRPr="00094924">
        <w:rPr>
          <w:rFonts w:ascii="Arial" w:eastAsia="宋体" w:hAnsi="Arial" w:cs="Arial"/>
          <w:kern w:val="0"/>
          <w:sz w:val="20"/>
          <w:szCs w:val="20"/>
        </w:rPr>
        <w:t>)</w:t>
      </w:r>
      <w:r w:rsidRPr="00094924">
        <w:rPr>
          <w:rFonts w:ascii="Arial" w:eastAsia="宋体" w:hAnsi="Arial" w:cs="Arial"/>
          <w:kern w:val="0"/>
          <w:sz w:val="20"/>
          <w:szCs w:val="20"/>
        </w:rPr>
        <w:t>，稍轻的毒性为恶心、呕吐、腹泻和腹痛、口腔溃疡、肝功能异常。</w:t>
      </w:r>
      <w:r w:rsidRPr="00094924">
        <w:rPr>
          <w:rFonts w:ascii="Arial" w:eastAsia="宋体" w:hAnsi="Arial" w:cs="Arial"/>
          <w:kern w:val="0"/>
          <w:sz w:val="20"/>
          <w:szCs w:val="20"/>
        </w:rPr>
        <w:t>(FDA</w:t>
      </w:r>
      <w:r w:rsidRPr="00094924">
        <w:rPr>
          <w:rFonts w:ascii="Arial" w:eastAsia="宋体" w:hAnsi="Arial" w:cs="Arial"/>
          <w:kern w:val="0"/>
          <w:sz w:val="20"/>
          <w:szCs w:val="20"/>
        </w:rPr>
        <w:t>药品说明书</w:t>
      </w:r>
      <w:r w:rsidRPr="00094924">
        <w:rPr>
          <w:rFonts w:ascii="Arial" w:eastAsia="宋体" w:hAnsi="Arial" w:cs="Arial"/>
          <w:kern w:val="0"/>
          <w:sz w:val="20"/>
          <w:szCs w:val="20"/>
        </w:rPr>
        <w:t>-</w:t>
      </w:r>
      <w:r w:rsidRPr="00094924">
        <w:rPr>
          <w:rFonts w:ascii="Arial" w:eastAsia="宋体" w:hAnsi="Arial" w:cs="Arial"/>
          <w:kern w:val="0"/>
          <w:sz w:val="20"/>
          <w:szCs w:val="20"/>
        </w:rPr>
        <w:t>阿糖胞苷注射液</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【药物名称】</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中文通用名称：阿糖胞苷</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英文通用名称：</w:t>
      </w:r>
      <w:r w:rsidRPr="00094924">
        <w:rPr>
          <w:rFonts w:ascii="Arial" w:eastAsia="宋体" w:hAnsi="Arial" w:cs="Arial"/>
          <w:kern w:val="0"/>
          <w:sz w:val="20"/>
          <w:szCs w:val="20"/>
        </w:rPr>
        <w:t>Cytarabine</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其他名称：阿糖胞嘧啶、爱力生、胞嘧啶阿拉伯糖苷、赛德萨、赛德威、雅玛山阿糖胞苷、</w:t>
      </w:r>
      <w:r w:rsidRPr="00094924">
        <w:rPr>
          <w:rFonts w:ascii="Arial" w:eastAsia="宋体" w:hAnsi="Arial" w:cs="Arial"/>
          <w:kern w:val="0"/>
          <w:sz w:val="20"/>
          <w:szCs w:val="20"/>
        </w:rPr>
        <w:t>Alexan</w:t>
      </w:r>
      <w:r w:rsidRPr="00094924">
        <w:rPr>
          <w:rFonts w:ascii="Arial" w:eastAsia="宋体" w:hAnsi="Arial" w:cs="Arial"/>
          <w:kern w:val="0"/>
          <w:sz w:val="20"/>
          <w:szCs w:val="20"/>
        </w:rPr>
        <w:t>、</w:t>
      </w:r>
      <w:r w:rsidRPr="00094924">
        <w:rPr>
          <w:rFonts w:ascii="Arial" w:eastAsia="宋体" w:hAnsi="Arial" w:cs="Arial"/>
          <w:kern w:val="0"/>
          <w:sz w:val="20"/>
          <w:szCs w:val="20"/>
        </w:rPr>
        <w:t>Arabitin</w:t>
      </w:r>
      <w:r w:rsidRPr="00094924">
        <w:rPr>
          <w:rFonts w:ascii="Arial" w:eastAsia="宋体" w:hAnsi="Arial" w:cs="Arial"/>
          <w:kern w:val="0"/>
          <w:sz w:val="20"/>
          <w:szCs w:val="20"/>
        </w:rPr>
        <w:t>、</w:t>
      </w:r>
      <w:r w:rsidRPr="00094924">
        <w:rPr>
          <w:rFonts w:ascii="Arial" w:eastAsia="宋体" w:hAnsi="Arial" w:cs="Arial"/>
          <w:kern w:val="0"/>
          <w:sz w:val="20"/>
          <w:szCs w:val="20"/>
        </w:rPr>
        <w:t>Aracytin</w:t>
      </w:r>
      <w:r w:rsidRPr="00094924">
        <w:rPr>
          <w:rFonts w:ascii="Arial" w:eastAsia="宋体" w:hAnsi="Arial" w:cs="Arial"/>
          <w:kern w:val="0"/>
          <w:sz w:val="20"/>
          <w:szCs w:val="20"/>
        </w:rPr>
        <w:t>、</w:t>
      </w:r>
      <w:r w:rsidRPr="00094924">
        <w:rPr>
          <w:rFonts w:ascii="Arial" w:eastAsia="宋体" w:hAnsi="Arial" w:cs="Arial"/>
          <w:kern w:val="0"/>
          <w:sz w:val="20"/>
          <w:szCs w:val="20"/>
        </w:rPr>
        <w:t>Cytarabinum</w:t>
      </w:r>
      <w:r w:rsidRPr="00094924">
        <w:rPr>
          <w:rFonts w:ascii="Arial" w:eastAsia="宋体" w:hAnsi="Arial" w:cs="Arial"/>
          <w:kern w:val="0"/>
          <w:sz w:val="20"/>
          <w:szCs w:val="20"/>
        </w:rPr>
        <w:t>、</w:t>
      </w:r>
      <w:r w:rsidRPr="00094924">
        <w:rPr>
          <w:rFonts w:ascii="Arial" w:eastAsia="宋体" w:hAnsi="Arial" w:cs="Arial"/>
          <w:kern w:val="0"/>
          <w:sz w:val="20"/>
          <w:szCs w:val="20"/>
        </w:rPr>
        <w:t>Cytarbel</w:t>
      </w:r>
      <w:r w:rsidRPr="00094924">
        <w:rPr>
          <w:rFonts w:ascii="Arial" w:eastAsia="宋体" w:hAnsi="Arial" w:cs="Arial"/>
          <w:kern w:val="0"/>
          <w:sz w:val="20"/>
          <w:szCs w:val="20"/>
        </w:rPr>
        <w:t>、</w:t>
      </w:r>
      <w:r w:rsidRPr="00094924">
        <w:rPr>
          <w:rFonts w:ascii="Arial" w:eastAsia="宋体" w:hAnsi="Arial" w:cs="Arial"/>
          <w:kern w:val="0"/>
          <w:sz w:val="20"/>
          <w:szCs w:val="20"/>
        </w:rPr>
        <w:t>Cytosar</w:t>
      </w:r>
      <w:r w:rsidRPr="00094924">
        <w:rPr>
          <w:rFonts w:ascii="Arial" w:eastAsia="宋体" w:hAnsi="Arial" w:cs="Arial"/>
          <w:kern w:val="0"/>
          <w:sz w:val="20"/>
          <w:szCs w:val="20"/>
        </w:rPr>
        <w:t>、</w:t>
      </w:r>
      <w:r w:rsidRPr="00094924">
        <w:rPr>
          <w:rFonts w:ascii="Arial" w:eastAsia="宋体" w:hAnsi="Arial" w:cs="Arial"/>
          <w:kern w:val="0"/>
          <w:sz w:val="20"/>
          <w:szCs w:val="20"/>
        </w:rPr>
        <w:t>Cytosar-U</w:t>
      </w:r>
      <w:r w:rsidRPr="00094924">
        <w:rPr>
          <w:rFonts w:ascii="Arial" w:eastAsia="宋体" w:hAnsi="Arial" w:cs="Arial"/>
          <w:kern w:val="0"/>
          <w:sz w:val="20"/>
          <w:szCs w:val="20"/>
        </w:rPr>
        <w:t>、</w:t>
      </w:r>
      <w:r w:rsidRPr="00094924">
        <w:rPr>
          <w:rFonts w:ascii="Arial" w:eastAsia="宋体" w:hAnsi="Arial" w:cs="Arial"/>
          <w:kern w:val="0"/>
          <w:sz w:val="20"/>
          <w:szCs w:val="20"/>
        </w:rPr>
        <w:t>Cytosine Arabinoside</w:t>
      </w:r>
      <w:r w:rsidRPr="00094924">
        <w:rPr>
          <w:rFonts w:ascii="Arial" w:eastAsia="宋体" w:hAnsi="Arial" w:cs="Arial"/>
          <w:kern w:val="0"/>
          <w:sz w:val="20"/>
          <w:szCs w:val="20"/>
        </w:rPr>
        <w:t>、</w:t>
      </w:r>
      <w:r w:rsidRPr="00094924">
        <w:rPr>
          <w:rFonts w:ascii="Arial" w:eastAsia="宋体" w:hAnsi="Arial" w:cs="Arial"/>
          <w:kern w:val="0"/>
          <w:sz w:val="20"/>
          <w:szCs w:val="20"/>
        </w:rPr>
        <w:t>Depocyt</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【药理分类】</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肿瘤用药</w:t>
      </w:r>
      <w:r w:rsidRPr="00094924">
        <w:rPr>
          <w:rFonts w:ascii="Arial" w:eastAsia="宋体" w:hAnsi="Arial" w:cs="Arial"/>
          <w:kern w:val="0"/>
          <w:sz w:val="20"/>
          <w:szCs w:val="20"/>
        </w:rPr>
        <w:t>&gt;&gt;</w:t>
      </w:r>
      <w:r w:rsidRPr="00094924">
        <w:rPr>
          <w:rFonts w:ascii="Arial" w:eastAsia="宋体" w:hAnsi="Arial" w:cs="Arial"/>
          <w:kern w:val="0"/>
          <w:sz w:val="20"/>
          <w:szCs w:val="20"/>
        </w:rPr>
        <w:t>抗肿瘤药</w:t>
      </w:r>
      <w:r w:rsidRPr="00094924">
        <w:rPr>
          <w:rFonts w:ascii="Arial" w:eastAsia="宋体" w:hAnsi="Arial" w:cs="Arial"/>
          <w:kern w:val="0"/>
          <w:sz w:val="20"/>
          <w:szCs w:val="20"/>
        </w:rPr>
        <w:t>&gt;&gt;</w:t>
      </w:r>
      <w:r w:rsidRPr="00094924">
        <w:rPr>
          <w:rFonts w:ascii="Arial" w:eastAsia="宋体" w:hAnsi="Arial" w:cs="Arial"/>
          <w:kern w:val="0"/>
          <w:sz w:val="20"/>
          <w:szCs w:val="20"/>
        </w:rPr>
        <w:t>影响核酸生物合成的药物</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【临床应用】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CFDA</w:t>
      </w:r>
      <w:r w:rsidRPr="00094924">
        <w:rPr>
          <w:rFonts w:ascii="Arial" w:eastAsia="宋体" w:hAnsi="Arial" w:cs="Arial"/>
          <w:b/>
          <w:bCs/>
          <w:kern w:val="0"/>
          <w:sz w:val="20"/>
          <w:szCs w:val="20"/>
        </w:rPr>
        <w:t>说明书适应症</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本药可单用或联用其他化疗药，用于白血病及恶性淋巴瘤：</w:t>
      </w:r>
      <w:r w:rsidRPr="00094924">
        <w:rPr>
          <w:rFonts w:ascii="Arial" w:eastAsia="宋体" w:hAnsi="Arial" w:cs="Arial"/>
          <w:kern w:val="0"/>
          <w:sz w:val="20"/>
          <w:szCs w:val="20"/>
        </w:rPr>
        <w:t>(1)</w:t>
      </w:r>
      <w:r w:rsidRPr="00094924">
        <w:rPr>
          <w:rFonts w:ascii="Arial" w:eastAsia="宋体" w:hAnsi="Arial" w:cs="Arial"/>
          <w:kern w:val="0"/>
          <w:sz w:val="20"/>
          <w:szCs w:val="20"/>
        </w:rPr>
        <w:t>成人及儿童急性淋巴细胞白血病、急性非淋巴细胞性白血病的诱导缓解、巩固及维持治疗。</w:t>
      </w:r>
      <w:r w:rsidRPr="00094924">
        <w:rPr>
          <w:rFonts w:ascii="Arial" w:eastAsia="宋体" w:hAnsi="Arial" w:cs="Arial"/>
          <w:kern w:val="0"/>
          <w:sz w:val="20"/>
          <w:szCs w:val="20"/>
        </w:rPr>
        <w:t>(2)</w:t>
      </w:r>
      <w:r w:rsidRPr="00094924">
        <w:rPr>
          <w:rFonts w:ascii="Arial" w:eastAsia="宋体" w:hAnsi="Arial" w:cs="Arial"/>
          <w:kern w:val="0"/>
          <w:sz w:val="20"/>
          <w:szCs w:val="20"/>
        </w:rPr>
        <w:t>慢性粒细胞白血病及红白血病的诱导缓解。</w:t>
      </w:r>
      <w:r w:rsidRPr="00094924">
        <w:rPr>
          <w:rFonts w:ascii="Arial" w:eastAsia="宋体" w:hAnsi="Arial" w:cs="Arial"/>
          <w:kern w:val="0"/>
          <w:sz w:val="20"/>
          <w:szCs w:val="20"/>
        </w:rPr>
        <w:t>(3)</w:t>
      </w:r>
      <w:r w:rsidRPr="00094924">
        <w:rPr>
          <w:rFonts w:ascii="Arial" w:eastAsia="宋体" w:hAnsi="Arial" w:cs="Arial"/>
          <w:kern w:val="0"/>
          <w:sz w:val="20"/>
          <w:szCs w:val="20"/>
        </w:rPr>
        <w:t>治疗慢性非淋巴细胞白血病的原始细胞危象。</w:t>
      </w:r>
      <w:r w:rsidRPr="00094924">
        <w:rPr>
          <w:rFonts w:ascii="Arial" w:eastAsia="宋体" w:hAnsi="Arial" w:cs="Arial"/>
          <w:kern w:val="0"/>
          <w:sz w:val="20"/>
          <w:szCs w:val="20"/>
        </w:rPr>
        <w:t>(4)</w:t>
      </w:r>
      <w:r w:rsidRPr="00094924">
        <w:rPr>
          <w:rFonts w:ascii="Arial" w:eastAsia="宋体" w:hAnsi="Arial" w:cs="Arial"/>
          <w:kern w:val="0"/>
          <w:sz w:val="20"/>
          <w:szCs w:val="20"/>
        </w:rPr>
        <w:t>鞘内预防和治疗中枢神经系统的白血病</w:t>
      </w:r>
      <w:r w:rsidRPr="00094924">
        <w:rPr>
          <w:rFonts w:ascii="Arial" w:eastAsia="宋体" w:hAnsi="Arial" w:cs="Arial"/>
          <w:kern w:val="0"/>
          <w:sz w:val="20"/>
          <w:szCs w:val="20"/>
        </w:rPr>
        <w:t>(</w:t>
      </w:r>
      <w:r w:rsidRPr="00094924">
        <w:rPr>
          <w:rFonts w:ascii="Arial" w:eastAsia="宋体" w:hAnsi="Arial" w:cs="Arial"/>
          <w:kern w:val="0"/>
          <w:sz w:val="20"/>
          <w:szCs w:val="20"/>
        </w:rPr>
        <w:t>如脑膜白血病</w:t>
      </w:r>
      <w:r w:rsidRPr="00094924">
        <w:rPr>
          <w:rFonts w:ascii="Arial" w:eastAsia="宋体" w:hAnsi="Arial" w:cs="Arial"/>
          <w:kern w:val="0"/>
          <w:sz w:val="20"/>
          <w:szCs w:val="20"/>
        </w:rPr>
        <w:t>)</w:t>
      </w:r>
      <w:r w:rsidRPr="00094924">
        <w:rPr>
          <w:rFonts w:ascii="Arial" w:eastAsia="宋体" w:hAnsi="Arial" w:cs="Arial"/>
          <w:kern w:val="0"/>
          <w:sz w:val="20"/>
          <w:szCs w:val="20"/>
        </w:rPr>
        <w:t>浸润。</w:t>
      </w:r>
      <w:r w:rsidRPr="00094924">
        <w:rPr>
          <w:rFonts w:ascii="Arial" w:eastAsia="宋体" w:hAnsi="Arial" w:cs="Arial"/>
          <w:kern w:val="0"/>
          <w:sz w:val="20"/>
          <w:szCs w:val="20"/>
        </w:rPr>
        <w:t>(5)</w:t>
      </w:r>
      <w:r w:rsidRPr="00094924">
        <w:rPr>
          <w:rFonts w:ascii="Arial" w:eastAsia="宋体" w:hAnsi="Arial" w:cs="Arial"/>
          <w:kern w:val="0"/>
          <w:sz w:val="20"/>
          <w:szCs w:val="20"/>
        </w:rPr>
        <w:t>成人中至重度恶性非霍奇金淋巴瘤，儿童非霍奇金淋巴瘤。</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大剂量本药可用于以下疾病的治疗：</w:t>
      </w:r>
      <w:r w:rsidRPr="00094924">
        <w:rPr>
          <w:rFonts w:ascii="Arial" w:eastAsia="宋体" w:hAnsi="Arial" w:cs="Arial"/>
          <w:kern w:val="0"/>
          <w:sz w:val="20"/>
          <w:szCs w:val="20"/>
        </w:rPr>
        <w:t>(1)</w:t>
      </w:r>
      <w:r w:rsidRPr="00094924">
        <w:rPr>
          <w:rFonts w:ascii="Arial" w:eastAsia="宋体" w:hAnsi="Arial" w:cs="Arial"/>
          <w:kern w:val="0"/>
          <w:sz w:val="20"/>
          <w:szCs w:val="20"/>
        </w:rPr>
        <w:t>高危白血病，难治性和复发性白血病。</w:t>
      </w:r>
      <w:r w:rsidRPr="00094924">
        <w:rPr>
          <w:rFonts w:ascii="Arial" w:eastAsia="宋体" w:hAnsi="Arial" w:cs="Arial"/>
          <w:kern w:val="0"/>
          <w:sz w:val="20"/>
          <w:szCs w:val="20"/>
        </w:rPr>
        <w:t>(2)</w:t>
      </w:r>
      <w:r w:rsidRPr="00094924">
        <w:rPr>
          <w:rFonts w:ascii="Arial" w:eastAsia="宋体" w:hAnsi="Arial" w:cs="Arial"/>
          <w:kern w:val="0"/>
          <w:sz w:val="20"/>
          <w:szCs w:val="20"/>
        </w:rPr>
        <w:t>特殊原因</w:t>
      </w:r>
      <w:r w:rsidRPr="00094924">
        <w:rPr>
          <w:rFonts w:ascii="Arial" w:eastAsia="宋体" w:hAnsi="Arial" w:cs="Arial"/>
          <w:kern w:val="0"/>
          <w:sz w:val="20"/>
          <w:szCs w:val="20"/>
        </w:rPr>
        <w:t>[</w:t>
      </w:r>
      <w:r w:rsidRPr="00094924">
        <w:rPr>
          <w:rFonts w:ascii="Arial" w:eastAsia="宋体" w:hAnsi="Arial" w:cs="Arial"/>
          <w:kern w:val="0"/>
          <w:sz w:val="20"/>
          <w:szCs w:val="20"/>
        </w:rPr>
        <w:t>继发于曾经的化疗和</w:t>
      </w:r>
      <w:r w:rsidRPr="00094924">
        <w:rPr>
          <w:rFonts w:ascii="Arial" w:eastAsia="宋体" w:hAnsi="Arial" w:cs="Arial"/>
          <w:kern w:val="0"/>
          <w:sz w:val="20"/>
          <w:szCs w:val="20"/>
        </w:rPr>
        <w:t>(</w:t>
      </w:r>
      <w:r w:rsidRPr="00094924">
        <w:rPr>
          <w:rFonts w:ascii="Arial" w:eastAsia="宋体" w:hAnsi="Arial" w:cs="Arial"/>
          <w:kern w:val="0"/>
          <w:sz w:val="20"/>
          <w:szCs w:val="20"/>
        </w:rPr>
        <w:t>或</w:t>
      </w:r>
      <w:r w:rsidRPr="00094924">
        <w:rPr>
          <w:rFonts w:ascii="Arial" w:eastAsia="宋体" w:hAnsi="Arial" w:cs="Arial"/>
          <w:kern w:val="0"/>
          <w:sz w:val="20"/>
          <w:szCs w:val="20"/>
        </w:rPr>
        <w:t>)</w:t>
      </w:r>
      <w:r w:rsidRPr="00094924">
        <w:rPr>
          <w:rFonts w:ascii="Arial" w:eastAsia="宋体" w:hAnsi="Arial" w:cs="Arial"/>
          <w:kern w:val="0"/>
          <w:sz w:val="20"/>
          <w:szCs w:val="20"/>
        </w:rPr>
        <w:t>放疗的白血病，由白血病前期转化的白血病</w:t>
      </w:r>
      <w:r w:rsidRPr="00094924">
        <w:rPr>
          <w:rFonts w:ascii="Arial" w:eastAsia="宋体" w:hAnsi="Arial" w:cs="Arial"/>
          <w:kern w:val="0"/>
          <w:sz w:val="20"/>
          <w:szCs w:val="20"/>
        </w:rPr>
        <w:t>]</w:t>
      </w:r>
      <w:r w:rsidRPr="00094924">
        <w:rPr>
          <w:rFonts w:ascii="Arial" w:eastAsia="宋体" w:hAnsi="Arial" w:cs="Arial"/>
          <w:kern w:val="0"/>
          <w:sz w:val="20"/>
          <w:szCs w:val="20"/>
        </w:rPr>
        <w:t>造成的白血病。</w:t>
      </w:r>
      <w:r w:rsidRPr="00094924">
        <w:rPr>
          <w:rFonts w:ascii="Arial" w:eastAsia="宋体" w:hAnsi="Arial" w:cs="Arial"/>
          <w:kern w:val="0"/>
          <w:sz w:val="20"/>
          <w:szCs w:val="20"/>
        </w:rPr>
        <w:t>(3)60</w:t>
      </w:r>
      <w:r w:rsidRPr="00094924">
        <w:rPr>
          <w:rFonts w:ascii="Arial" w:eastAsia="宋体" w:hAnsi="Arial" w:cs="Arial"/>
          <w:kern w:val="0"/>
          <w:sz w:val="20"/>
          <w:szCs w:val="20"/>
        </w:rPr>
        <w:t>岁以下急性非淋巴细胞性白血病患者缓解期的巩固治疗。</w:t>
      </w:r>
      <w:r w:rsidRPr="00094924">
        <w:rPr>
          <w:rFonts w:ascii="Arial" w:eastAsia="宋体" w:hAnsi="Arial" w:cs="Arial"/>
          <w:kern w:val="0"/>
          <w:sz w:val="20"/>
          <w:szCs w:val="20"/>
        </w:rPr>
        <w:t>(4)</w:t>
      </w:r>
      <w:r w:rsidRPr="00094924">
        <w:rPr>
          <w:rFonts w:ascii="Arial" w:eastAsia="宋体" w:hAnsi="Arial" w:cs="Arial"/>
          <w:kern w:val="0"/>
          <w:sz w:val="20"/>
          <w:szCs w:val="20"/>
        </w:rPr>
        <w:t>慢性非淋巴细胞白血病的原始细胞危象。</w:t>
      </w:r>
      <w:r w:rsidRPr="00094924">
        <w:rPr>
          <w:rFonts w:ascii="Arial" w:eastAsia="宋体" w:hAnsi="Arial" w:cs="Arial"/>
          <w:kern w:val="0"/>
          <w:sz w:val="20"/>
          <w:szCs w:val="20"/>
        </w:rPr>
        <w:t>(5)</w:t>
      </w:r>
      <w:r w:rsidRPr="00094924">
        <w:rPr>
          <w:rFonts w:ascii="Arial" w:eastAsia="宋体" w:hAnsi="Arial" w:cs="Arial"/>
          <w:kern w:val="0"/>
          <w:sz w:val="20"/>
          <w:szCs w:val="20"/>
        </w:rPr>
        <w:t>其他药物耐药的急性淋巴细胞白血病。</w:t>
      </w:r>
      <w:r w:rsidRPr="00094924">
        <w:rPr>
          <w:rFonts w:ascii="Arial" w:eastAsia="宋体" w:hAnsi="Arial" w:cs="Arial"/>
          <w:kern w:val="0"/>
          <w:sz w:val="20"/>
          <w:szCs w:val="20"/>
        </w:rPr>
        <w:t>(6)</w:t>
      </w:r>
      <w:r w:rsidRPr="00094924">
        <w:rPr>
          <w:rFonts w:ascii="Arial" w:eastAsia="宋体" w:hAnsi="Arial" w:cs="Arial"/>
          <w:kern w:val="0"/>
          <w:sz w:val="20"/>
          <w:szCs w:val="20"/>
        </w:rPr>
        <w:t>其他药物耐药的非霍奇金淋巴瘤</w:t>
      </w:r>
      <w:r w:rsidRPr="00094924">
        <w:rPr>
          <w:rFonts w:ascii="Arial" w:eastAsia="宋体" w:hAnsi="Arial" w:cs="Arial"/>
          <w:kern w:val="0"/>
          <w:sz w:val="20"/>
          <w:szCs w:val="20"/>
        </w:rPr>
        <w:t>(</w:t>
      </w:r>
      <w:r w:rsidRPr="00094924">
        <w:rPr>
          <w:rFonts w:ascii="Arial" w:eastAsia="宋体" w:hAnsi="Arial" w:cs="Arial"/>
          <w:kern w:val="0"/>
          <w:sz w:val="20"/>
          <w:szCs w:val="20"/>
        </w:rPr>
        <w:t>包括急性非霍奇金淋巴瘤</w:t>
      </w:r>
      <w:r w:rsidRPr="00094924">
        <w:rPr>
          <w:rFonts w:ascii="Arial" w:eastAsia="宋体" w:hAnsi="Arial" w:cs="Arial"/>
          <w:kern w:val="0"/>
          <w:sz w:val="20"/>
          <w:szCs w:val="20"/>
        </w:rPr>
        <w:t>)</w:t>
      </w:r>
      <w:r w:rsidRPr="00094924">
        <w:rPr>
          <w:rFonts w:ascii="Arial" w:eastAsia="宋体" w:hAnsi="Arial" w:cs="Arial"/>
          <w:kern w:val="0"/>
          <w:sz w:val="20"/>
          <w:szCs w:val="20"/>
        </w:rPr>
        <w:t>及急性淋巴细胞白血病。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其他临床应用参考</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lastRenderedPageBreak/>
        <w:t>1.</w:t>
      </w:r>
      <w:r w:rsidRPr="00094924">
        <w:rPr>
          <w:rFonts w:ascii="Arial" w:eastAsia="宋体" w:hAnsi="Arial" w:cs="Arial"/>
          <w:kern w:val="0"/>
          <w:sz w:val="20"/>
          <w:szCs w:val="20"/>
        </w:rPr>
        <w:t>用于眼部带状疱疹、单纯疱疹性结膜炎。</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用于恶性脑膜炎。</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3.</w:t>
      </w:r>
      <w:r w:rsidRPr="00094924">
        <w:rPr>
          <w:rFonts w:ascii="Arial" w:eastAsia="宋体" w:hAnsi="Arial" w:cs="Arial"/>
          <w:kern w:val="0"/>
          <w:sz w:val="20"/>
          <w:szCs w:val="20"/>
        </w:rPr>
        <w:t>用于霍奇金淋巴瘤。</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4.</w:t>
      </w:r>
      <w:r w:rsidRPr="00094924">
        <w:rPr>
          <w:rFonts w:ascii="Arial" w:eastAsia="宋体" w:hAnsi="Arial" w:cs="Arial"/>
          <w:kern w:val="0"/>
          <w:sz w:val="20"/>
          <w:szCs w:val="20"/>
        </w:rPr>
        <w:t>用于急性早幼粒白血病的巩固治疗。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5.</w:t>
      </w:r>
      <w:r w:rsidRPr="00094924">
        <w:rPr>
          <w:rFonts w:ascii="Arial" w:eastAsia="宋体" w:hAnsi="Arial" w:cs="Arial"/>
          <w:kern w:val="0"/>
          <w:sz w:val="20"/>
          <w:szCs w:val="20"/>
        </w:rPr>
        <w:t>用于慢性淋巴细胞白血病。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【用法与用量】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成人</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常规剂量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急性白血病诱导治疗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一次</w:t>
      </w:r>
      <w:r w:rsidRPr="00094924">
        <w:rPr>
          <w:rFonts w:ascii="Arial" w:eastAsia="宋体" w:hAnsi="Arial" w:cs="Arial"/>
          <w:kern w:val="0"/>
          <w:sz w:val="20"/>
          <w:szCs w:val="20"/>
        </w:rPr>
        <w:t>2mg/kg(1-3mg/kg)</w:t>
      </w:r>
      <w:r w:rsidRPr="00094924">
        <w:rPr>
          <w:rFonts w:ascii="Arial" w:eastAsia="宋体" w:hAnsi="Arial" w:cs="Arial"/>
          <w:kern w:val="0"/>
          <w:sz w:val="20"/>
          <w:szCs w:val="20"/>
        </w:rPr>
        <w:t>，一日</w:t>
      </w:r>
      <w:r w:rsidRPr="00094924">
        <w:rPr>
          <w:rFonts w:ascii="Arial" w:eastAsia="宋体" w:hAnsi="Arial" w:cs="Arial"/>
          <w:kern w:val="0"/>
          <w:sz w:val="20"/>
          <w:szCs w:val="20"/>
        </w:rPr>
        <w:t>1</w:t>
      </w:r>
      <w:r w:rsidRPr="00094924">
        <w:rPr>
          <w:rFonts w:ascii="Arial" w:eastAsia="宋体" w:hAnsi="Arial" w:cs="Arial"/>
          <w:kern w:val="0"/>
          <w:sz w:val="20"/>
          <w:szCs w:val="20"/>
        </w:rPr>
        <w:t>次，连用</w:t>
      </w:r>
      <w:r w:rsidRPr="00094924">
        <w:rPr>
          <w:rFonts w:ascii="Arial" w:eastAsia="宋体" w:hAnsi="Arial" w:cs="Arial"/>
          <w:kern w:val="0"/>
          <w:sz w:val="20"/>
          <w:szCs w:val="20"/>
        </w:rPr>
        <w:t>10-14</w:t>
      </w:r>
      <w:r w:rsidRPr="00094924">
        <w:rPr>
          <w:rFonts w:ascii="Arial" w:eastAsia="宋体" w:hAnsi="Arial" w:cs="Arial"/>
          <w:kern w:val="0"/>
          <w:sz w:val="20"/>
          <w:szCs w:val="20"/>
        </w:rPr>
        <w:t>日，如无明显不良反应，剂量可增大至一次</w:t>
      </w:r>
      <w:r w:rsidRPr="00094924">
        <w:rPr>
          <w:rFonts w:ascii="Arial" w:eastAsia="宋体" w:hAnsi="Arial" w:cs="Arial"/>
          <w:kern w:val="0"/>
          <w:sz w:val="20"/>
          <w:szCs w:val="20"/>
        </w:rPr>
        <w:t>4-6mg/kg</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同</w:t>
      </w:r>
      <w:r w:rsidRPr="00094924">
        <w:rPr>
          <w:rFonts w:ascii="Arial" w:eastAsia="宋体" w:hAnsi="Arial" w:cs="Arial"/>
          <w:kern w:val="0"/>
          <w:sz w:val="20"/>
          <w:szCs w:val="20"/>
        </w:rPr>
        <w:t>“</w:t>
      </w:r>
      <w:r w:rsidRPr="00094924">
        <w:rPr>
          <w:rFonts w:ascii="Arial" w:eastAsia="宋体" w:hAnsi="Arial" w:cs="Arial"/>
          <w:kern w:val="0"/>
          <w:sz w:val="20"/>
          <w:szCs w:val="20"/>
        </w:rPr>
        <w:t>静脉注射</w:t>
      </w:r>
      <w:r w:rsidRPr="00094924">
        <w:rPr>
          <w:rFonts w:ascii="Arial" w:eastAsia="宋体" w:hAnsi="Arial" w:cs="Arial"/>
          <w:kern w:val="0"/>
          <w:sz w:val="20"/>
          <w:szCs w:val="20"/>
        </w:rPr>
        <w:t>”</w:t>
      </w:r>
      <w:r w:rsidRPr="00094924">
        <w:rPr>
          <w:rFonts w:ascii="Arial" w:eastAsia="宋体" w:hAnsi="Arial" w:cs="Arial"/>
          <w:kern w:val="0"/>
          <w:sz w:val="20"/>
          <w:szCs w:val="20"/>
        </w:rPr>
        <w:t>项。</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急性白血病维持治疗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皮下注射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完全缓解后改用维持治疗，一次</w:t>
      </w:r>
      <w:r w:rsidRPr="00094924">
        <w:rPr>
          <w:rFonts w:ascii="Arial" w:eastAsia="宋体" w:hAnsi="Arial" w:cs="Arial"/>
          <w:kern w:val="0"/>
          <w:sz w:val="20"/>
          <w:szCs w:val="20"/>
        </w:rPr>
        <w:t>1mg/kg</w:t>
      </w:r>
      <w:r w:rsidRPr="00094924">
        <w:rPr>
          <w:rFonts w:ascii="Arial" w:eastAsia="宋体" w:hAnsi="Arial" w:cs="Arial"/>
          <w:kern w:val="0"/>
          <w:sz w:val="20"/>
          <w:szCs w:val="20"/>
        </w:rPr>
        <w:t>，一日</w:t>
      </w:r>
      <w:r w:rsidRPr="00094924">
        <w:rPr>
          <w:rFonts w:ascii="Arial" w:eastAsia="宋体" w:hAnsi="Arial" w:cs="Arial"/>
          <w:kern w:val="0"/>
          <w:sz w:val="20"/>
          <w:szCs w:val="20"/>
        </w:rPr>
        <w:t>1-2</w:t>
      </w:r>
      <w:r w:rsidRPr="00094924">
        <w:rPr>
          <w:rFonts w:ascii="Arial" w:eastAsia="宋体" w:hAnsi="Arial" w:cs="Arial"/>
          <w:kern w:val="0"/>
          <w:sz w:val="20"/>
          <w:szCs w:val="20"/>
        </w:rPr>
        <w:t>次，连用</w:t>
      </w:r>
      <w:r w:rsidRPr="00094924">
        <w:rPr>
          <w:rFonts w:ascii="Arial" w:eastAsia="宋体" w:hAnsi="Arial" w:cs="Arial"/>
          <w:kern w:val="0"/>
          <w:sz w:val="20"/>
          <w:szCs w:val="20"/>
        </w:rPr>
        <w:t>7-10</w:t>
      </w:r>
      <w:r w:rsidRPr="00094924">
        <w:rPr>
          <w:rFonts w:ascii="Arial" w:eastAsia="宋体" w:hAnsi="Arial" w:cs="Arial"/>
          <w:kern w:val="0"/>
          <w:sz w:val="20"/>
          <w:szCs w:val="20"/>
        </w:rPr>
        <w:t>日。</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难治性或复发性急性白血病、急性白血病缓解后为延长其缓解期</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常用中、大剂量阿糖胞苷疗法，中剂量是指一次</w:t>
      </w:r>
      <w:r w:rsidRPr="00094924">
        <w:rPr>
          <w:rFonts w:ascii="Arial" w:eastAsia="宋体" w:hAnsi="Arial" w:cs="Arial"/>
          <w:kern w:val="0"/>
          <w:sz w:val="20"/>
          <w:szCs w:val="20"/>
        </w:rPr>
        <w:t>500-1000mg/m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，静脉滴注</w:t>
      </w:r>
      <w:r w:rsidRPr="00094924">
        <w:rPr>
          <w:rFonts w:ascii="Arial" w:eastAsia="宋体" w:hAnsi="Arial" w:cs="Arial"/>
          <w:kern w:val="0"/>
          <w:sz w:val="20"/>
          <w:szCs w:val="20"/>
        </w:rPr>
        <w:t>1-3</w:t>
      </w:r>
      <w:r w:rsidRPr="00094924">
        <w:rPr>
          <w:rFonts w:ascii="Arial" w:eastAsia="宋体" w:hAnsi="Arial" w:cs="Arial"/>
          <w:kern w:val="0"/>
          <w:sz w:val="20"/>
          <w:szCs w:val="20"/>
        </w:rPr>
        <w:t>小时，每</w:t>
      </w:r>
      <w:r w:rsidRPr="00094924">
        <w:rPr>
          <w:rFonts w:ascii="Arial" w:eastAsia="宋体" w:hAnsi="Arial" w:cs="Arial"/>
          <w:kern w:val="0"/>
          <w:sz w:val="20"/>
          <w:szCs w:val="20"/>
        </w:rPr>
        <w:t>12</w:t>
      </w:r>
      <w:r w:rsidRPr="00094924">
        <w:rPr>
          <w:rFonts w:ascii="Arial" w:eastAsia="宋体" w:hAnsi="Arial" w:cs="Arial"/>
          <w:kern w:val="0"/>
          <w:sz w:val="20"/>
          <w:szCs w:val="20"/>
        </w:rPr>
        <w:t>小时</w:t>
      </w:r>
      <w:r w:rsidRPr="00094924">
        <w:rPr>
          <w:rFonts w:ascii="Arial" w:eastAsia="宋体" w:hAnsi="Arial" w:cs="Arial"/>
          <w:kern w:val="0"/>
          <w:sz w:val="20"/>
          <w:szCs w:val="20"/>
        </w:rPr>
        <w:t>1</w:t>
      </w:r>
      <w:r w:rsidRPr="00094924">
        <w:rPr>
          <w:rFonts w:ascii="Arial" w:eastAsia="宋体" w:hAnsi="Arial" w:cs="Arial"/>
          <w:kern w:val="0"/>
          <w:sz w:val="20"/>
          <w:szCs w:val="20"/>
        </w:rPr>
        <w:t>次，</w:t>
      </w:r>
      <w:r w:rsidRPr="00094924">
        <w:rPr>
          <w:rFonts w:ascii="Arial" w:eastAsia="宋体" w:hAnsi="Arial" w:cs="Arial"/>
          <w:kern w:val="0"/>
          <w:sz w:val="20"/>
          <w:szCs w:val="20"/>
        </w:rPr>
        <w:t>2-6</w:t>
      </w:r>
      <w:r w:rsidRPr="00094924">
        <w:rPr>
          <w:rFonts w:ascii="Arial" w:eastAsia="宋体" w:hAnsi="Arial" w:cs="Arial"/>
          <w:kern w:val="0"/>
          <w:sz w:val="20"/>
          <w:szCs w:val="20"/>
        </w:rPr>
        <w:t>日为一个疗程；大剂量是指一次</w:t>
      </w:r>
      <w:r w:rsidRPr="00094924">
        <w:rPr>
          <w:rFonts w:ascii="Arial" w:eastAsia="宋体" w:hAnsi="Arial" w:cs="Arial"/>
          <w:kern w:val="0"/>
          <w:sz w:val="20"/>
          <w:szCs w:val="20"/>
        </w:rPr>
        <w:t>1000-3000mg/m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，用法同中剂量方案。由于本药的不良反应随剂量增大而加重，大剂量反而影响了疗效，故现多偏向用中剂量方案。</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脑膜白血病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鞘内注射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一次</w:t>
      </w:r>
      <w:r w:rsidRPr="00094924">
        <w:rPr>
          <w:rFonts w:ascii="Arial" w:eastAsia="宋体" w:hAnsi="Arial" w:cs="Arial"/>
          <w:kern w:val="0"/>
          <w:sz w:val="20"/>
          <w:szCs w:val="20"/>
        </w:rPr>
        <w:t>25-75mg</w:t>
      </w:r>
      <w:r w:rsidRPr="00094924">
        <w:rPr>
          <w:rFonts w:ascii="Arial" w:eastAsia="宋体" w:hAnsi="Arial" w:cs="Arial"/>
          <w:kern w:val="0"/>
          <w:sz w:val="20"/>
          <w:szCs w:val="20"/>
        </w:rPr>
        <w:t>，加地塞米松</w:t>
      </w:r>
      <w:r w:rsidRPr="00094924">
        <w:rPr>
          <w:rFonts w:ascii="Arial" w:eastAsia="宋体" w:hAnsi="Arial" w:cs="Arial"/>
          <w:kern w:val="0"/>
          <w:sz w:val="20"/>
          <w:szCs w:val="20"/>
        </w:rPr>
        <w:t>5mg</w:t>
      </w:r>
      <w:r w:rsidRPr="00094924">
        <w:rPr>
          <w:rFonts w:ascii="Arial" w:eastAsia="宋体" w:hAnsi="Arial" w:cs="Arial"/>
          <w:kern w:val="0"/>
          <w:sz w:val="20"/>
          <w:szCs w:val="20"/>
        </w:rPr>
        <w:t>，予生理盐水溶解后鞘内注射，一周</w:t>
      </w:r>
      <w:r w:rsidRPr="00094924">
        <w:rPr>
          <w:rFonts w:ascii="Arial" w:eastAsia="宋体" w:hAnsi="Arial" w:cs="Arial"/>
          <w:kern w:val="0"/>
          <w:sz w:val="20"/>
          <w:szCs w:val="20"/>
        </w:rPr>
        <w:t>1-2</w:t>
      </w:r>
      <w:r w:rsidRPr="00094924">
        <w:rPr>
          <w:rFonts w:ascii="Arial" w:eastAsia="宋体" w:hAnsi="Arial" w:cs="Arial"/>
          <w:kern w:val="0"/>
          <w:sz w:val="20"/>
          <w:szCs w:val="20"/>
        </w:rPr>
        <w:t>次，用至脑脊液检查正常。预防性用药则每</w:t>
      </w:r>
      <w:r w:rsidRPr="00094924">
        <w:rPr>
          <w:rFonts w:ascii="Arial" w:eastAsia="宋体" w:hAnsi="Arial" w:cs="Arial"/>
          <w:kern w:val="0"/>
          <w:sz w:val="20"/>
          <w:szCs w:val="20"/>
        </w:rPr>
        <w:t>4-8</w:t>
      </w:r>
      <w:r w:rsidRPr="00094924">
        <w:rPr>
          <w:rFonts w:ascii="Arial" w:eastAsia="宋体" w:hAnsi="Arial" w:cs="Arial"/>
          <w:kern w:val="0"/>
          <w:sz w:val="20"/>
          <w:szCs w:val="20"/>
        </w:rPr>
        <w:t>周</w:t>
      </w:r>
      <w:r w:rsidRPr="00094924">
        <w:rPr>
          <w:rFonts w:ascii="Arial" w:eastAsia="宋体" w:hAnsi="Arial" w:cs="Arial"/>
          <w:kern w:val="0"/>
          <w:sz w:val="20"/>
          <w:szCs w:val="20"/>
        </w:rPr>
        <w:t>1</w:t>
      </w:r>
      <w:r w:rsidRPr="00094924">
        <w:rPr>
          <w:rFonts w:ascii="Arial" w:eastAsia="宋体" w:hAnsi="Arial" w:cs="Arial"/>
          <w:kern w:val="0"/>
          <w:sz w:val="20"/>
          <w:szCs w:val="20"/>
        </w:rPr>
        <w:t>次。</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非霍奇金淋巴瘤</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多采用联合化疗方案，剂量根据联合给药方案而定。如在</w:t>
      </w:r>
      <w:r w:rsidRPr="00094924">
        <w:rPr>
          <w:rFonts w:ascii="Arial" w:eastAsia="宋体" w:hAnsi="Arial" w:cs="Arial"/>
          <w:kern w:val="0"/>
          <w:sz w:val="20"/>
          <w:szCs w:val="20"/>
        </w:rPr>
        <w:t>PROMACE-CYTABOM</w:t>
      </w:r>
      <w:r w:rsidRPr="00094924">
        <w:rPr>
          <w:rFonts w:ascii="Arial" w:eastAsia="宋体" w:hAnsi="Arial" w:cs="Arial"/>
          <w:kern w:val="0"/>
          <w:sz w:val="20"/>
          <w:szCs w:val="20"/>
        </w:rPr>
        <w:t>方案中，本药剂量为</w:t>
      </w:r>
      <w:r w:rsidRPr="00094924">
        <w:rPr>
          <w:rFonts w:ascii="Arial" w:eastAsia="宋体" w:hAnsi="Arial" w:cs="Arial"/>
          <w:kern w:val="0"/>
          <w:sz w:val="20"/>
          <w:szCs w:val="20"/>
        </w:rPr>
        <w:t>300mg/m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，在每个治疗周期的第</w:t>
      </w:r>
      <w:r w:rsidRPr="00094924">
        <w:rPr>
          <w:rFonts w:ascii="Arial" w:eastAsia="宋体" w:hAnsi="Arial" w:cs="Arial"/>
          <w:kern w:val="0"/>
          <w:sz w:val="20"/>
          <w:szCs w:val="20"/>
        </w:rPr>
        <w:t>8</w:t>
      </w:r>
      <w:r w:rsidRPr="00094924">
        <w:rPr>
          <w:rFonts w:ascii="Arial" w:eastAsia="宋体" w:hAnsi="Arial" w:cs="Arial"/>
          <w:kern w:val="0"/>
          <w:sz w:val="20"/>
          <w:szCs w:val="20"/>
        </w:rPr>
        <w:t>日给药。</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lastRenderedPageBreak/>
        <w:t>·</w:t>
      </w:r>
      <w:r w:rsidRPr="00094924">
        <w:rPr>
          <w:rFonts w:ascii="Arial" w:eastAsia="宋体" w:hAnsi="Arial" w:cs="Arial"/>
          <w:kern w:val="0"/>
          <w:sz w:val="20"/>
          <w:szCs w:val="20"/>
        </w:rPr>
        <w:t>原始细胞增多的急性白血病、骨髓增生异常综合征、低增生性急性白血病、老年急性非淋巴细胞白血病等</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皮下注射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采用小剂量本药，即一次</w:t>
      </w:r>
      <w:r w:rsidRPr="00094924">
        <w:rPr>
          <w:rFonts w:ascii="Arial" w:eastAsia="宋体" w:hAnsi="Arial" w:cs="Arial"/>
          <w:kern w:val="0"/>
          <w:sz w:val="20"/>
          <w:szCs w:val="20"/>
        </w:rPr>
        <w:t>10mg/m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，每</w:t>
      </w:r>
      <w:r w:rsidRPr="00094924">
        <w:rPr>
          <w:rFonts w:ascii="Arial" w:eastAsia="宋体" w:hAnsi="Arial" w:cs="Arial"/>
          <w:kern w:val="0"/>
          <w:sz w:val="20"/>
          <w:szCs w:val="20"/>
        </w:rPr>
        <w:t>12</w:t>
      </w:r>
      <w:r w:rsidRPr="00094924">
        <w:rPr>
          <w:rFonts w:ascii="Arial" w:eastAsia="宋体" w:hAnsi="Arial" w:cs="Arial"/>
          <w:kern w:val="0"/>
          <w:sz w:val="20"/>
          <w:szCs w:val="20"/>
        </w:rPr>
        <w:t>小时</w:t>
      </w:r>
      <w:r w:rsidRPr="00094924">
        <w:rPr>
          <w:rFonts w:ascii="Arial" w:eastAsia="宋体" w:hAnsi="Arial" w:cs="Arial"/>
          <w:kern w:val="0"/>
          <w:sz w:val="20"/>
          <w:szCs w:val="20"/>
        </w:rPr>
        <w:t>1</w:t>
      </w:r>
      <w:r w:rsidRPr="00094924">
        <w:rPr>
          <w:rFonts w:ascii="Arial" w:eastAsia="宋体" w:hAnsi="Arial" w:cs="Arial"/>
          <w:kern w:val="0"/>
          <w:sz w:val="20"/>
          <w:szCs w:val="20"/>
        </w:rPr>
        <w:t>次，</w:t>
      </w:r>
      <w:r w:rsidRPr="00094924">
        <w:rPr>
          <w:rFonts w:ascii="Arial" w:eastAsia="宋体" w:hAnsi="Arial" w:cs="Arial"/>
          <w:kern w:val="0"/>
          <w:sz w:val="20"/>
          <w:szCs w:val="20"/>
        </w:rPr>
        <w:t>14-21</w:t>
      </w:r>
      <w:r w:rsidRPr="00094924">
        <w:rPr>
          <w:rFonts w:ascii="Arial" w:eastAsia="宋体" w:hAnsi="Arial" w:cs="Arial"/>
          <w:kern w:val="0"/>
          <w:sz w:val="20"/>
          <w:szCs w:val="20"/>
        </w:rPr>
        <w:t>日为一疗程。如不缓解且患者情况允许，可于</w:t>
      </w:r>
      <w:r w:rsidRPr="00094924">
        <w:rPr>
          <w:rFonts w:ascii="Arial" w:eastAsia="宋体" w:hAnsi="Arial" w:cs="Arial"/>
          <w:kern w:val="0"/>
          <w:sz w:val="20"/>
          <w:szCs w:val="20"/>
        </w:rPr>
        <w:t>2-3</w:t>
      </w:r>
      <w:r w:rsidRPr="00094924">
        <w:rPr>
          <w:rFonts w:ascii="Arial" w:eastAsia="宋体" w:hAnsi="Arial" w:cs="Arial"/>
          <w:kern w:val="0"/>
          <w:sz w:val="20"/>
          <w:szCs w:val="20"/>
        </w:rPr>
        <w:t>周后重复一个疗程。</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老年人剂量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由于老年人对化疗药物的耐受性差，用药需减量并根据治疗反应及时调整药量。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儿童</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常规剂量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急性淋巴细胞白血病和非淋巴细胞白血病的诱导缓解期和为此巩固期、慢性粒细胞白血病的急变期、恶性淋巴瘤</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一次</w:t>
      </w:r>
      <w:r w:rsidRPr="00094924">
        <w:rPr>
          <w:rFonts w:ascii="Arial" w:eastAsia="宋体" w:hAnsi="Arial" w:cs="Arial"/>
          <w:kern w:val="0"/>
          <w:sz w:val="20"/>
          <w:szCs w:val="20"/>
        </w:rPr>
        <w:t>1000-3000mg/m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，每</w:t>
      </w:r>
      <w:r w:rsidRPr="00094924">
        <w:rPr>
          <w:rFonts w:ascii="Arial" w:eastAsia="宋体" w:hAnsi="Arial" w:cs="Arial"/>
          <w:kern w:val="0"/>
          <w:sz w:val="20"/>
          <w:szCs w:val="20"/>
        </w:rPr>
        <w:t>12</w:t>
      </w:r>
      <w:r w:rsidRPr="00094924">
        <w:rPr>
          <w:rFonts w:ascii="Arial" w:eastAsia="宋体" w:hAnsi="Arial" w:cs="Arial"/>
          <w:kern w:val="0"/>
          <w:sz w:val="20"/>
          <w:szCs w:val="20"/>
        </w:rPr>
        <w:t>小时</w:t>
      </w:r>
      <w:r w:rsidRPr="00094924">
        <w:rPr>
          <w:rFonts w:ascii="Arial" w:eastAsia="宋体" w:hAnsi="Arial" w:cs="Arial"/>
          <w:kern w:val="0"/>
          <w:sz w:val="20"/>
          <w:szCs w:val="20"/>
        </w:rPr>
        <w:t>1</w:t>
      </w:r>
      <w:r w:rsidRPr="00094924">
        <w:rPr>
          <w:rFonts w:ascii="Arial" w:eastAsia="宋体" w:hAnsi="Arial" w:cs="Arial"/>
          <w:kern w:val="0"/>
          <w:sz w:val="20"/>
          <w:szCs w:val="20"/>
        </w:rPr>
        <w:t>次，静脉滴注</w:t>
      </w:r>
      <w:r w:rsidRPr="00094924">
        <w:rPr>
          <w:rFonts w:ascii="Arial" w:eastAsia="宋体" w:hAnsi="Arial" w:cs="Arial"/>
          <w:kern w:val="0"/>
          <w:sz w:val="20"/>
          <w:szCs w:val="20"/>
        </w:rPr>
        <w:t>2-3</w:t>
      </w:r>
      <w:r w:rsidRPr="00094924">
        <w:rPr>
          <w:rFonts w:ascii="Arial" w:eastAsia="宋体" w:hAnsi="Arial" w:cs="Arial"/>
          <w:kern w:val="0"/>
          <w:sz w:val="20"/>
          <w:szCs w:val="20"/>
        </w:rPr>
        <w:t>日。</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静脉注射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一日</w:t>
      </w:r>
      <w:r w:rsidRPr="00094924">
        <w:rPr>
          <w:rFonts w:ascii="Arial" w:eastAsia="宋体" w:hAnsi="Arial" w:cs="Arial"/>
          <w:kern w:val="0"/>
          <w:sz w:val="20"/>
          <w:szCs w:val="20"/>
        </w:rPr>
        <w:t>75-200mg/m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，连用</w:t>
      </w:r>
      <w:r w:rsidRPr="00094924">
        <w:rPr>
          <w:rFonts w:ascii="Arial" w:eastAsia="宋体" w:hAnsi="Arial" w:cs="Arial"/>
          <w:kern w:val="0"/>
          <w:sz w:val="20"/>
          <w:szCs w:val="20"/>
        </w:rPr>
        <w:t>5-7</w:t>
      </w:r>
      <w:r w:rsidRPr="00094924">
        <w:rPr>
          <w:rFonts w:ascii="Arial" w:eastAsia="宋体" w:hAnsi="Arial" w:cs="Arial"/>
          <w:kern w:val="0"/>
          <w:sz w:val="20"/>
          <w:szCs w:val="20"/>
        </w:rPr>
        <w:t>日，可用至</w:t>
      </w:r>
      <w:r w:rsidRPr="00094924">
        <w:rPr>
          <w:rFonts w:ascii="Arial" w:eastAsia="宋体" w:hAnsi="Arial" w:cs="Arial"/>
          <w:kern w:val="0"/>
          <w:sz w:val="20"/>
          <w:szCs w:val="20"/>
        </w:rPr>
        <w:t>10</w:t>
      </w:r>
      <w:r w:rsidRPr="00094924">
        <w:rPr>
          <w:rFonts w:ascii="Arial" w:eastAsia="宋体" w:hAnsi="Arial" w:cs="Arial"/>
          <w:kern w:val="0"/>
          <w:sz w:val="20"/>
          <w:szCs w:val="20"/>
        </w:rPr>
        <w:t>日。</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3.</w:t>
      </w:r>
      <w:r w:rsidRPr="00094924">
        <w:rPr>
          <w:rFonts w:ascii="Arial" w:eastAsia="宋体" w:hAnsi="Arial" w:cs="Arial"/>
          <w:kern w:val="0"/>
          <w:sz w:val="20"/>
          <w:szCs w:val="20"/>
        </w:rPr>
        <w:t>皮下注射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参见</w:t>
      </w:r>
      <w:r w:rsidRPr="00094924">
        <w:rPr>
          <w:rFonts w:ascii="Arial" w:eastAsia="宋体" w:hAnsi="Arial" w:cs="Arial"/>
          <w:kern w:val="0"/>
          <w:sz w:val="20"/>
          <w:szCs w:val="20"/>
        </w:rPr>
        <w:t>“</w:t>
      </w:r>
      <w:r w:rsidRPr="00094924">
        <w:rPr>
          <w:rFonts w:ascii="Arial" w:eastAsia="宋体" w:hAnsi="Arial" w:cs="Arial"/>
          <w:kern w:val="0"/>
          <w:sz w:val="20"/>
          <w:szCs w:val="20"/>
        </w:rPr>
        <w:t>静脉注射</w:t>
      </w:r>
      <w:r w:rsidRPr="00094924">
        <w:rPr>
          <w:rFonts w:ascii="Arial" w:eastAsia="宋体" w:hAnsi="Arial" w:cs="Arial"/>
          <w:kern w:val="0"/>
          <w:sz w:val="20"/>
          <w:szCs w:val="20"/>
        </w:rPr>
        <w:t>”</w:t>
      </w:r>
      <w:r w:rsidRPr="00094924">
        <w:rPr>
          <w:rFonts w:ascii="Arial" w:eastAsia="宋体" w:hAnsi="Arial" w:cs="Arial"/>
          <w:kern w:val="0"/>
          <w:sz w:val="20"/>
          <w:szCs w:val="20"/>
        </w:rPr>
        <w:t>项。</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4.</w:t>
      </w:r>
      <w:r w:rsidRPr="00094924">
        <w:rPr>
          <w:rFonts w:ascii="Arial" w:eastAsia="宋体" w:hAnsi="Arial" w:cs="Arial"/>
          <w:kern w:val="0"/>
          <w:sz w:val="20"/>
          <w:szCs w:val="20"/>
        </w:rPr>
        <w:t>鞘内注射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一次</w:t>
      </w:r>
      <w:r w:rsidRPr="00094924">
        <w:rPr>
          <w:rFonts w:ascii="Arial" w:eastAsia="宋体" w:hAnsi="Arial" w:cs="Arial"/>
          <w:kern w:val="0"/>
          <w:sz w:val="20"/>
          <w:szCs w:val="20"/>
        </w:rPr>
        <w:t>25-30mg/m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非霍奇金淋巴瘤</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按病期及组织学类型而定。一次</w:t>
      </w:r>
      <w:r w:rsidRPr="00094924">
        <w:rPr>
          <w:rFonts w:ascii="Arial" w:eastAsia="宋体" w:hAnsi="Arial" w:cs="Arial"/>
          <w:kern w:val="0"/>
          <w:sz w:val="20"/>
          <w:szCs w:val="20"/>
        </w:rPr>
        <w:t>150mg/m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，滴注</w:t>
      </w:r>
      <w:r w:rsidRPr="00094924">
        <w:rPr>
          <w:rFonts w:ascii="Arial" w:eastAsia="宋体" w:hAnsi="Arial" w:cs="Arial"/>
          <w:kern w:val="0"/>
          <w:sz w:val="20"/>
          <w:szCs w:val="20"/>
        </w:rPr>
        <w:t>1</w:t>
      </w:r>
      <w:r w:rsidRPr="00094924">
        <w:rPr>
          <w:rFonts w:ascii="Arial" w:eastAsia="宋体" w:hAnsi="Arial" w:cs="Arial"/>
          <w:kern w:val="0"/>
          <w:sz w:val="20"/>
          <w:szCs w:val="20"/>
        </w:rPr>
        <w:t>小时，每</w:t>
      </w:r>
      <w:r w:rsidRPr="00094924">
        <w:rPr>
          <w:rFonts w:ascii="Arial" w:eastAsia="宋体" w:hAnsi="Arial" w:cs="Arial"/>
          <w:kern w:val="0"/>
          <w:sz w:val="20"/>
          <w:szCs w:val="20"/>
        </w:rPr>
        <w:t>12</w:t>
      </w:r>
      <w:r w:rsidRPr="00094924">
        <w:rPr>
          <w:rFonts w:ascii="Arial" w:eastAsia="宋体" w:hAnsi="Arial" w:cs="Arial"/>
          <w:kern w:val="0"/>
          <w:sz w:val="20"/>
          <w:szCs w:val="20"/>
        </w:rPr>
        <w:t>小时</w:t>
      </w:r>
      <w:r w:rsidRPr="00094924">
        <w:rPr>
          <w:rFonts w:ascii="Arial" w:eastAsia="宋体" w:hAnsi="Arial" w:cs="Arial"/>
          <w:kern w:val="0"/>
          <w:sz w:val="20"/>
          <w:szCs w:val="20"/>
        </w:rPr>
        <w:t>1</w:t>
      </w:r>
      <w:r w:rsidRPr="00094924">
        <w:rPr>
          <w:rFonts w:ascii="Arial" w:eastAsia="宋体" w:hAnsi="Arial" w:cs="Arial"/>
          <w:kern w:val="0"/>
          <w:sz w:val="20"/>
          <w:szCs w:val="20"/>
        </w:rPr>
        <w:t>次，于治疗的第</w:t>
      </w:r>
      <w:r w:rsidRPr="00094924">
        <w:rPr>
          <w:rFonts w:ascii="Arial" w:eastAsia="宋体" w:hAnsi="Arial" w:cs="Arial"/>
          <w:kern w:val="0"/>
          <w:sz w:val="20"/>
          <w:szCs w:val="20"/>
        </w:rPr>
        <w:t>4-5</w:t>
      </w:r>
      <w:r w:rsidRPr="00094924">
        <w:rPr>
          <w:rFonts w:ascii="Arial" w:eastAsia="宋体" w:hAnsi="Arial" w:cs="Arial"/>
          <w:kern w:val="0"/>
          <w:sz w:val="20"/>
          <w:szCs w:val="20"/>
        </w:rPr>
        <w:t>日开始与其他细胞毒药物联用；一次</w:t>
      </w:r>
      <w:r w:rsidRPr="00094924">
        <w:rPr>
          <w:rFonts w:ascii="Arial" w:eastAsia="宋体" w:hAnsi="Arial" w:cs="Arial"/>
          <w:kern w:val="0"/>
          <w:sz w:val="20"/>
          <w:szCs w:val="20"/>
        </w:rPr>
        <w:t>75mg/m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，在</w:t>
      </w:r>
      <w:r w:rsidRPr="00094924">
        <w:rPr>
          <w:rFonts w:ascii="Arial" w:eastAsia="宋体" w:hAnsi="Arial" w:cs="Arial"/>
          <w:kern w:val="0"/>
          <w:sz w:val="20"/>
          <w:szCs w:val="20"/>
        </w:rPr>
        <w:t>31-34</w:t>
      </w:r>
      <w:r w:rsidRPr="00094924">
        <w:rPr>
          <w:rFonts w:ascii="Arial" w:eastAsia="宋体" w:hAnsi="Arial" w:cs="Arial"/>
          <w:kern w:val="0"/>
          <w:sz w:val="20"/>
          <w:szCs w:val="20"/>
        </w:rPr>
        <w:t>日、</w:t>
      </w:r>
      <w:r w:rsidRPr="00094924">
        <w:rPr>
          <w:rFonts w:ascii="Arial" w:eastAsia="宋体" w:hAnsi="Arial" w:cs="Arial"/>
          <w:kern w:val="0"/>
          <w:sz w:val="20"/>
          <w:szCs w:val="20"/>
        </w:rPr>
        <w:t>38-41</w:t>
      </w:r>
      <w:r w:rsidRPr="00094924">
        <w:rPr>
          <w:rFonts w:ascii="Arial" w:eastAsia="宋体" w:hAnsi="Arial" w:cs="Arial"/>
          <w:kern w:val="0"/>
          <w:sz w:val="20"/>
          <w:szCs w:val="20"/>
        </w:rPr>
        <w:t>日、</w:t>
      </w:r>
      <w:r w:rsidRPr="00094924">
        <w:rPr>
          <w:rFonts w:ascii="Arial" w:eastAsia="宋体" w:hAnsi="Arial" w:cs="Arial"/>
          <w:kern w:val="0"/>
          <w:sz w:val="20"/>
          <w:szCs w:val="20"/>
        </w:rPr>
        <w:t>45-48</w:t>
      </w:r>
      <w:r w:rsidRPr="00094924">
        <w:rPr>
          <w:rFonts w:ascii="Arial" w:eastAsia="宋体" w:hAnsi="Arial" w:cs="Arial"/>
          <w:kern w:val="0"/>
          <w:sz w:val="20"/>
          <w:szCs w:val="20"/>
        </w:rPr>
        <w:t>日和</w:t>
      </w:r>
      <w:r w:rsidRPr="00094924">
        <w:rPr>
          <w:rFonts w:ascii="Arial" w:eastAsia="宋体" w:hAnsi="Arial" w:cs="Arial"/>
          <w:kern w:val="0"/>
          <w:sz w:val="20"/>
          <w:szCs w:val="20"/>
        </w:rPr>
        <w:t>52-55</w:t>
      </w:r>
      <w:r w:rsidRPr="00094924">
        <w:rPr>
          <w:rFonts w:ascii="Arial" w:eastAsia="宋体" w:hAnsi="Arial" w:cs="Arial"/>
          <w:kern w:val="0"/>
          <w:sz w:val="20"/>
          <w:szCs w:val="20"/>
        </w:rPr>
        <w:t>日进行诱导治疗，并与其他细胞毒药物合用。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【国外用法用量参考】</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成人</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常规剂量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急性淋巴细胞白血病的巩固治疗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(1)</w:t>
      </w:r>
      <w:r w:rsidRPr="00094924">
        <w:rPr>
          <w:rFonts w:ascii="Arial" w:eastAsia="宋体" w:hAnsi="Arial" w:cs="Arial"/>
          <w:kern w:val="0"/>
          <w:sz w:val="20"/>
          <w:szCs w:val="20"/>
        </w:rPr>
        <w:t>有研究剂量使用如下：一次</w:t>
      </w:r>
      <w:r w:rsidRPr="00094924">
        <w:rPr>
          <w:rFonts w:ascii="Arial" w:eastAsia="宋体" w:hAnsi="Arial" w:cs="Arial"/>
          <w:kern w:val="0"/>
          <w:sz w:val="20"/>
          <w:szCs w:val="20"/>
        </w:rPr>
        <w:t>200mg/m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，持续滴注</w:t>
      </w:r>
      <w:r w:rsidRPr="00094924">
        <w:rPr>
          <w:rFonts w:ascii="Arial" w:eastAsia="宋体" w:hAnsi="Arial" w:cs="Arial"/>
          <w:kern w:val="0"/>
          <w:sz w:val="20"/>
          <w:szCs w:val="20"/>
        </w:rPr>
        <w:t>5</w:t>
      </w:r>
      <w:r w:rsidRPr="00094924">
        <w:rPr>
          <w:rFonts w:ascii="Arial" w:eastAsia="宋体" w:hAnsi="Arial" w:cs="Arial"/>
          <w:kern w:val="0"/>
          <w:sz w:val="20"/>
          <w:szCs w:val="20"/>
        </w:rPr>
        <w:t>日为一个疗程，连用</w:t>
      </w:r>
      <w:r w:rsidRPr="00094924">
        <w:rPr>
          <w:rFonts w:ascii="Arial" w:eastAsia="宋体" w:hAnsi="Arial" w:cs="Arial"/>
          <w:kern w:val="0"/>
          <w:sz w:val="20"/>
          <w:szCs w:val="20"/>
        </w:rPr>
        <w:t>3</w:t>
      </w:r>
      <w:r w:rsidRPr="00094924">
        <w:rPr>
          <w:rFonts w:ascii="Arial" w:eastAsia="宋体" w:hAnsi="Arial" w:cs="Arial"/>
          <w:kern w:val="0"/>
          <w:sz w:val="20"/>
          <w:szCs w:val="20"/>
        </w:rPr>
        <w:t>个疗程。再联合硫鸟嘌呤与甲氨蝶呤交替使用，一次</w:t>
      </w:r>
      <w:r w:rsidRPr="00094924">
        <w:rPr>
          <w:rFonts w:ascii="Arial" w:eastAsia="宋体" w:hAnsi="Arial" w:cs="Arial"/>
          <w:kern w:val="0"/>
          <w:sz w:val="20"/>
          <w:szCs w:val="20"/>
        </w:rPr>
        <w:t>150mg/m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，每</w:t>
      </w:r>
      <w:r w:rsidRPr="00094924">
        <w:rPr>
          <w:rFonts w:ascii="Arial" w:eastAsia="宋体" w:hAnsi="Arial" w:cs="Arial"/>
          <w:kern w:val="0"/>
          <w:sz w:val="20"/>
          <w:szCs w:val="20"/>
        </w:rPr>
        <w:t>12</w:t>
      </w:r>
      <w:r w:rsidRPr="00094924">
        <w:rPr>
          <w:rFonts w:ascii="Arial" w:eastAsia="宋体" w:hAnsi="Arial" w:cs="Arial"/>
          <w:kern w:val="0"/>
          <w:sz w:val="20"/>
          <w:szCs w:val="20"/>
        </w:rPr>
        <w:t>小时</w:t>
      </w:r>
      <w:r w:rsidRPr="00094924">
        <w:rPr>
          <w:rFonts w:ascii="Arial" w:eastAsia="宋体" w:hAnsi="Arial" w:cs="Arial"/>
          <w:kern w:val="0"/>
          <w:sz w:val="20"/>
          <w:szCs w:val="20"/>
        </w:rPr>
        <w:t>1</w:t>
      </w:r>
      <w:r w:rsidRPr="00094924">
        <w:rPr>
          <w:rFonts w:ascii="Arial" w:eastAsia="宋体" w:hAnsi="Arial" w:cs="Arial"/>
          <w:kern w:val="0"/>
          <w:sz w:val="20"/>
          <w:szCs w:val="20"/>
        </w:rPr>
        <w:t>次，</w:t>
      </w:r>
      <w:r w:rsidRPr="00094924">
        <w:rPr>
          <w:rFonts w:ascii="Arial" w:eastAsia="宋体" w:hAnsi="Arial" w:cs="Arial"/>
          <w:kern w:val="0"/>
          <w:sz w:val="20"/>
          <w:szCs w:val="20"/>
        </w:rPr>
        <w:t>6</w:t>
      </w:r>
      <w:r w:rsidRPr="00094924">
        <w:rPr>
          <w:rFonts w:ascii="Arial" w:eastAsia="宋体" w:hAnsi="Arial" w:cs="Arial"/>
          <w:kern w:val="0"/>
          <w:sz w:val="20"/>
          <w:szCs w:val="20"/>
        </w:rPr>
        <w:t>日为一个疗程，连用</w:t>
      </w:r>
      <w:r w:rsidRPr="00094924">
        <w:rPr>
          <w:rFonts w:ascii="Arial" w:eastAsia="宋体" w:hAnsi="Arial" w:cs="Arial"/>
          <w:kern w:val="0"/>
          <w:sz w:val="20"/>
          <w:szCs w:val="20"/>
        </w:rPr>
        <w:t>3</w:t>
      </w:r>
      <w:r w:rsidRPr="00094924">
        <w:rPr>
          <w:rFonts w:ascii="Arial" w:eastAsia="宋体" w:hAnsi="Arial" w:cs="Arial"/>
          <w:kern w:val="0"/>
          <w:sz w:val="20"/>
          <w:szCs w:val="20"/>
        </w:rPr>
        <w:t>个疗程。</w:t>
      </w:r>
      <w:r w:rsidRPr="00094924">
        <w:rPr>
          <w:rFonts w:ascii="Arial" w:eastAsia="宋体" w:hAnsi="Arial" w:cs="Arial"/>
          <w:kern w:val="0"/>
          <w:sz w:val="20"/>
          <w:szCs w:val="20"/>
        </w:rPr>
        <w:t>(2)</w:t>
      </w:r>
      <w:r w:rsidRPr="00094924">
        <w:rPr>
          <w:rFonts w:ascii="Arial" w:eastAsia="宋体" w:hAnsi="Arial" w:cs="Arial"/>
          <w:kern w:val="0"/>
          <w:sz w:val="20"/>
          <w:szCs w:val="20"/>
        </w:rPr>
        <w:t>在另一研究中，本药一次用量为</w:t>
      </w:r>
      <w:r w:rsidRPr="00094924">
        <w:rPr>
          <w:rFonts w:ascii="Arial" w:eastAsia="宋体" w:hAnsi="Arial" w:cs="Arial"/>
          <w:kern w:val="0"/>
          <w:sz w:val="20"/>
          <w:szCs w:val="20"/>
        </w:rPr>
        <w:t>300mg/m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lastRenderedPageBreak/>
        <w:t>·</w:t>
      </w:r>
      <w:r w:rsidRPr="00094924">
        <w:rPr>
          <w:rFonts w:ascii="Arial" w:eastAsia="宋体" w:hAnsi="Arial" w:cs="Arial"/>
          <w:kern w:val="0"/>
          <w:sz w:val="20"/>
          <w:szCs w:val="20"/>
        </w:rPr>
        <w:t>急性粒细胞白血病的诱导治疗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(1)</w:t>
      </w:r>
      <w:r w:rsidRPr="00094924">
        <w:rPr>
          <w:rFonts w:ascii="Arial" w:eastAsia="宋体" w:hAnsi="Arial" w:cs="Arial"/>
          <w:kern w:val="0"/>
          <w:sz w:val="20"/>
          <w:szCs w:val="20"/>
        </w:rPr>
        <w:t>一日</w:t>
      </w:r>
      <w:r w:rsidRPr="00094924">
        <w:rPr>
          <w:rFonts w:ascii="Arial" w:eastAsia="宋体" w:hAnsi="Arial" w:cs="Arial"/>
          <w:kern w:val="0"/>
          <w:sz w:val="20"/>
          <w:szCs w:val="20"/>
        </w:rPr>
        <w:t>100mg/m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，持续静脉滴注，连用</w:t>
      </w:r>
      <w:r w:rsidRPr="00094924">
        <w:rPr>
          <w:rFonts w:ascii="Arial" w:eastAsia="宋体" w:hAnsi="Arial" w:cs="Arial"/>
          <w:kern w:val="0"/>
          <w:sz w:val="20"/>
          <w:szCs w:val="20"/>
        </w:rPr>
        <w:t>7</w:t>
      </w:r>
      <w:r w:rsidRPr="00094924">
        <w:rPr>
          <w:rFonts w:ascii="Arial" w:eastAsia="宋体" w:hAnsi="Arial" w:cs="Arial"/>
          <w:kern w:val="0"/>
          <w:sz w:val="20"/>
          <w:szCs w:val="20"/>
        </w:rPr>
        <w:t>日；或一次</w:t>
      </w:r>
      <w:r w:rsidRPr="00094924">
        <w:rPr>
          <w:rFonts w:ascii="Arial" w:eastAsia="宋体" w:hAnsi="Arial" w:cs="Arial"/>
          <w:kern w:val="0"/>
          <w:sz w:val="20"/>
          <w:szCs w:val="20"/>
        </w:rPr>
        <w:t>100mg/m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，每</w:t>
      </w:r>
      <w:r w:rsidRPr="00094924">
        <w:rPr>
          <w:rFonts w:ascii="Arial" w:eastAsia="宋体" w:hAnsi="Arial" w:cs="Arial"/>
          <w:kern w:val="0"/>
          <w:sz w:val="20"/>
          <w:szCs w:val="20"/>
        </w:rPr>
        <w:t>12</w:t>
      </w:r>
      <w:r w:rsidRPr="00094924">
        <w:rPr>
          <w:rFonts w:ascii="Arial" w:eastAsia="宋体" w:hAnsi="Arial" w:cs="Arial"/>
          <w:kern w:val="0"/>
          <w:sz w:val="20"/>
          <w:szCs w:val="20"/>
        </w:rPr>
        <w:t>小时</w:t>
      </w:r>
      <w:r w:rsidRPr="00094924">
        <w:rPr>
          <w:rFonts w:ascii="Arial" w:eastAsia="宋体" w:hAnsi="Arial" w:cs="Arial"/>
          <w:kern w:val="0"/>
          <w:sz w:val="20"/>
          <w:szCs w:val="20"/>
        </w:rPr>
        <w:t>1</w:t>
      </w:r>
      <w:r w:rsidRPr="00094924">
        <w:rPr>
          <w:rFonts w:ascii="Arial" w:eastAsia="宋体" w:hAnsi="Arial" w:cs="Arial"/>
          <w:kern w:val="0"/>
          <w:sz w:val="20"/>
          <w:szCs w:val="20"/>
        </w:rPr>
        <w:t>次，连用</w:t>
      </w:r>
      <w:r w:rsidRPr="00094924">
        <w:rPr>
          <w:rFonts w:ascii="Arial" w:eastAsia="宋体" w:hAnsi="Arial" w:cs="Arial"/>
          <w:kern w:val="0"/>
          <w:sz w:val="20"/>
          <w:szCs w:val="20"/>
        </w:rPr>
        <w:t>7</w:t>
      </w:r>
      <w:r w:rsidRPr="00094924">
        <w:rPr>
          <w:rFonts w:ascii="Arial" w:eastAsia="宋体" w:hAnsi="Arial" w:cs="Arial"/>
          <w:kern w:val="0"/>
          <w:sz w:val="20"/>
          <w:szCs w:val="20"/>
        </w:rPr>
        <w:t>日。</w:t>
      </w:r>
      <w:r w:rsidRPr="00094924">
        <w:rPr>
          <w:rFonts w:ascii="Arial" w:eastAsia="宋体" w:hAnsi="Arial" w:cs="Arial"/>
          <w:kern w:val="0"/>
          <w:sz w:val="20"/>
          <w:szCs w:val="20"/>
        </w:rPr>
        <w:t>(2)</w:t>
      </w:r>
      <w:r w:rsidRPr="00094924">
        <w:rPr>
          <w:rFonts w:ascii="Arial" w:eastAsia="宋体" w:hAnsi="Arial" w:cs="Arial"/>
          <w:kern w:val="0"/>
          <w:sz w:val="20"/>
          <w:szCs w:val="20"/>
        </w:rPr>
        <w:t>大剂量治疗：一次</w:t>
      </w:r>
      <w:r w:rsidRPr="00094924">
        <w:rPr>
          <w:rFonts w:ascii="Arial" w:eastAsia="宋体" w:hAnsi="Arial" w:cs="Arial"/>
          <w:kern w:val="0"/>
          <w:sz w:val="20"/>
          <w:szCs w:val="20"/>
        </w:rPr>
        <w:t>3000mg/m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，静脉滴注</w:t>
      </w:r>
      <w:r w:rsidRPr="00094924">
        <w:rPr>
          <w:rFonts w:ascii="Arial" w:eastAsia="宋体" w:hAnsi="Arial" w:cs="Arial"/>
          <w:kern w:val="0"/>
          <w:sz w:val="20"/>
          <w:szCs w:val="20"/>
        </w:rPr>
        <w:t>1-3</w:t>
      </w:r>
      <w:r w:rsidRPr="00094924">
        <w:rPr>
          <w:rFonts w:ascii="Arial" w:eastAsia="宋体" w:hAnsi="Arial" w:cs="Arial"/>
          <w:kern w:val="0"/>
          <w:sz w:val="20"/>
          <w:szCs w:val="20"/>
        </w:rPr>
        <w:t>小时，每</w:t>
      </w:r>
      <w:r w:rsidRPr="00094924">
        <w:rPr>
          <w:rFonts w:ascii="Arial" w:eastAsia="宋体" w:hAnsi="Arial" w:cs="Arial"/>
          <w:kern w:val="0"/>
          <w:sz w:val="20"/>
          <w:szCs w:val="20"/>
        </w:rPr>
        <w:t>12</w:t>
      </w:r>
      <w:r w:rsidRPr="00094924">
        <w:rPr>
          <w:rFonts w:ascii="Arial" w:eastAsia="宋体" w:hAnsi="Arial" w:cs="Arial"/>
          <w:kern w:val="0"/>
          <w:sz w:val="20"/>
          <w:szCs w:val="20"/>
        </w:rPr>
        <w:t>小时</w:t>
      </w:r>
      <w:r w:rsidRPr="00094924">
        <w:rPr>
          <w:rFonts w:ascii="Arial" w:eastAsia="宋体" w:hAnsi="Arial" w:cs="Arial"/>
          <w:kern w:val="0"/>
          <w:sz w:val="20"/>
          <w:szCs w:val="20"/>
        </w:rPr>
        <w:t>1</w:t>
      </w:r>
      <w:r w:rsidRPr="00094924">
        <w:rPr>
          <w:rFonts w:ascii="Arial" w:eastAsia="宋体" w:hAnsi="Arial" w:cs="Arial"/>
          <w:kern w:val="0"/>
          <w:sz w:val="20"/>
          <w:szCs w:val="20"/>
        </w:rPr>
        <w:t>次，连用</w:t>
      </w:r>
      <w:r w:rsidRPr="00094924">
        <w:rPr>
          <w:rFonts w:ascii="Arial" w:eastAsia="宋体" w:hAnsi="Arial" w:cs="Arial"/>
          <w:kern w:val="0"/>
          <w:sz w:val="20"/>
          <w:szCs w:val="20"/>
        </w:rPr>
        <w:t>2-6</w:t>
      </w:r>
      <w:r w:rsidRPr="00094924">
        <w:rPr>
          <w:rFonts w:ascii="Arial" w:eastAsia="宋体" w:hAnsi="Arial" w:cs="Arial"/>
          <w:kern w:val="0"/>
          <w:sz w:val="20"/>
          <w:szCs w:val="20"/>
        </w:rPr>
        <w:t>日。与其他批准的化疗药物联用。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脑膜白血病的治疗和预防</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鞘内注射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一次</w:t>
      </w:r>
      <w:r w:rsidRPr="00094924">
        <w:rPr>
          <w:rFonts w:ascii="Arial" w:eastAsia="宋体" w:hAnsi="Arial" w:cs="Arial"/>
          <w:kern w:val="0"/>
          <w:sz w:val="20"/>
          <w:szCs w:val="20"/>
        </w:rPr>
        <w:t>5-75mg/m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，通常剂量为</w:t>
      </w:r>
      <w:r w:rsidRPr="00094924">
        <w:rPr>
          <w:rFonts w:ascii="Arial" w:eastAsia="宋体" w:hAnsi="Arial" w:cs="Arial"/>
          <w:kern w:val="0"/>
          <w:sz w:val="20"/>
          <w:szCs w:val="20"/>
        </w:rPr>
        <w:t>30mg/m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，每</w:t>
      </w:r>
      <w:r w:rsidRPr="00094924">
        <w:rPr>
          <w:rFonts w:ascii="Arial" w:eastAsia="宋体" w:hAnsi="Arial" w:cs="Arial"/>
          <w:kern w:val="0"/>
          <w:sz w:val="20"/>
          <w:szCs w:val="20"/>
        </w:rPr>
        <w:t>4</w:t>
      </w:r>
      <w:r w:rsidRPr="00094924">
        <w:rPr>
          <w:rFonts w:ascii="Arial" w:eastAsia="宋体" w:hAnsi="Arial" w:cs="Arial"/>
          <w:kern w:val="0"/>
          <w:sz w:val="20"/>
          <w:szCs w:val="20"/>
        </w:rPr>
        <w:t>日</w:t>
      </w:r>
      <w:r w:rsidRPr="00094924">
        <w:rPr>
          <w:rFonts w:ascii="Arial" w:eastAsia="宋体" w:hAnsi="Arial" w:cs="Arial"/>
          <w:kern w:val="0"/>
          <w:sz w:val="20"/>
          <w:szCs w:val="20"/>
        </w:rPr>
        <w:t>1</w:t>
      </w:r>
      <w:r w:rsidRPr="00094924">
        <w:rPr>
          <w:rFonts w:ascii="Arial" w:eastAsia="宋体" w:hAnsi="Arial" w:cs="Arial"/>
          <w:kern w:val="0"/>
          <w:sz w:val="20"/>
          <w:szCs w:val="20"/>
        </w:rPr>
        <w:t>次，直至脑脊液正常后，再用药一次。</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肾功能不全时剂量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肾功能不全者应减量。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肝功能不全时剂量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肝功能不全者应减量。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透析时剂量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血液透析和腹膜透析后无需追加剂量。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儿童</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常规剂量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急性淋巴细胞白血病诱导治疗失败</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与替尼泊苷</w:t>
      </w:r>
      <w:r w:rsidRPr="00094924">
        <w:rPr>
          <w:rFonts w:ascii="Arial" w:eastAsia="宋体" w:hAnsi="Arial" w:cs="Arial"/>
          <w:kern w:val="0"/>
          <w:sz w:val="20"/>
          <w:szCs w:val="20"/>
        </w:rPr>
        <w:t>165mg/m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联用。本药一次</w:t>
      </w:r>
      <w:r w:rsidRPr="00094924">
        <w:rPr>
          <w:rFonts w:ascii="Arial" w:eastAsia="宋体" w:hAnsi="Arial" w:cs="Arial"/>
          <w:kern w:val="0"/>
          <w:sz w:val="20"/>
          <w:szCs w:val="20"/>
        </w:rPr>
        <w:t>300mg/m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，一周</w:t>
      </w:r>
      <w:r w:rsidRPr="00094924">
        <w:rPr>
          <w:rFonts w:ascii="Arial" w:eastAsia="宋体" w:hAnsi="Arial" w:cs="Arial"/>
          <w:kern w:val="0"/>
          <w:sz w:val="20"/>
          <w:szCs w:val="20"/>
        </w:rPr>
        <w:t>2</w:t>
      </w:r>
      <w:r w:rsidRPr="00094924">
        <w:rPr>
          <w:rFonts w:ascii="Arial" w:eastAsia="宋体" w:hAnsi="Arial" w:cs="Arial"/>
          <w:kern w:val="0"/>
          <w:sz w:val="20"/>
          <w:szCs w:val="20"/>
        </w:rPr>
        <w:t>次，连用</w:t>
      </w:r>
      <w:r w:rsidRPr="00094924">
        <w:rPr>
          <w:rFonts w:ascii="Arial" w:eastAsia="宋体" w:hAnsi="Arial" w:cs="Arial"/>
          <w:kern w:val="0"/>
          <w:sz w:val="20"/>
          <w:szCs w:val="20"/>
        </w:rPr>
        <w:t>8-9</w:t>
      </w:r>
      <w:r w:rsidRPr="00094924">
        <w:rPr>
          <w:rFonts w:ascii="Arial" w:eastAsia="宋体" w:hAnsi="Arial" w:cs="Arial"/>
          <w:kern w:val="0"/>
          <w:sz w:val="20"/>
          <w:szCs w:val="20"/>
        </w:rPr>
        <w:t>次。</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急性粒细胞白血病的诱导治疗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同成人。</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脑膜白血病的治疗和预防</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鞘内注射</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同成人。</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w:t>
      </w:r>
      <w:r w:rsidRPr="00094924">
        <w:rPr>
          <w:rFonts w:ascii="Arial" w:eastAsia="宋体" w:hAnsi="Arial" w:cs="Arial"/>
          <w:kern w:val="0"/>
          <w:sz w:val="20"/>
          <w:szCs w:val="20"/>
        </w:rPr>
        <w:t>非霍奇金淋巴瘤</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lastRenderedPageBreak/>
        <w:t>1.</w:t>
      </w:r>
      <w:r w:rsidRPr="00094924">
        <w:rPr>
          <w:rFonts w:ascii="Arial" w:eastAsia="宋体" w:hAnsi="Arial" w:cs="Arial"/>
          <w:kern w:val="0"/>
          <w:sz w:val="20"/>
          <w:szCs w:val="20"/>
        </w:rPr>
        <w:t>静脉滴注</w:t>
      </w:r>
      <w:r w:rsidRPr="00094924">
        <w:rPr>
          <w:rFonts w:ascii="Arial" w:eastAsia="宋体" w:hAnsi="Arial" w:cs="Arial"/>
          <w:kern w:val="0"/>
          <w:sz w:val="20"/>
          <w:szCs w:val="20"/>
        </w:rPr>
        <w:t xml:space="preserve">  (1)</w:t>
      </w:r>
      <w:r w:rsidRPr="00094924">
        <w:rPr>
          <w:rFonts w:ascii="Arial" w:eastAsia="宋体" w:hAnsi="Arial" w:cs="Arial"/>
          <w:kern w:val="0"/>
          <w:sz w:val="20"/>
          <w:szCs w:val="20"/>
        </w:rPr>
        <w:t>诱导治疗：有研究用量为一次</w:t>
      </w:r>
      <w:r w:rsidRPr="00094924">
        <w:rPr>
          <w:rFonts w:ascii="Arial" w:eastAsia="宋体" w:hAnsi="Arial" w:cs="Arial"/>
          <w:kern w:val="0"/>
          <w:sz w:val="20"/>
          <w:szCs w:val="20"/>
        </w:rPr>
        <w:t>75mg/m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，治疗周期依治疗方案而定。</w:t>
      </w:r>
      <w:r w:rsidRPr="00094924">
        <w:rPr>
          <w:rFonts w:ascii="Arial" w:eastAsia="宋体" w:hAnsi="Arial" w:cs="Arial"/>
          <w:kern w:val="0"/>
          <w:sz w:val="20"/>
          <w:szCs w:val="20"/>
        </w:rPr>
        <w:t>(2)</w:t>
      </w:r>
      <w:r w:rsidRPr="00094924">
        <w:rPr>
          <w:rFonts w:ascii="Arial" w:eastAsia="宋体" w:hAnsi="Arial" w:cs="Arial"/>
          <w:kern w:val="0"/>
          <w:sz w:val="20"/>
          <w:szCs w:val="20"/>
        </w:rPr>
        <w:t>巩固治疗：有研究用量为一次</w:t>
      </w:r>
      <w:r w:rsidRPr="00094924">
        <w:rPr>
          <w:rFonts w:ascii="Arial" w:eastAsia="宋体" w:hAnsi="Arial" w:cs="Arial"/>
          <w:kern w:val="0"/>
          <w:sz w:val="20"/>
          <w:szCs w:val="20"/>
        </w:rPr>
        <w:t>100-150mg/m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，治疗周期依治疗方案而定。</w:t>
      </w:r>
      <w:r w:rsidRPr="00094924">
        <w:rPr>
          <w:rFonts w:ascii="Arial" w:eastAsia="宋体" w:hAnsi="Arial" w:cs="Arial"/>
          <w:kern w:val="0"/>
          <w:sz w:val="20"/>
          <w:szCs w:val="20"/>
        </w:rPr>
        <w:t>(3)</w:t>
      </w:r>
      <w:r w:rsidRPr="00094924">
        <w:rPr>
          <w:rFonts w:ascii="Arial" w:eastAsia="宋体" w:hAnsi="Arial" w:cs="Arial"/>
          <w:kern w:val="0"/>
          <w:sz w:val="20"/>
          <w:szCs w:val="20"/>
        </w:rPr>
        <w:t>维持治疗：有研究用量为</w:t>
      </w:r>
      <w:r w:rsidRPr="00094924">
        <w:rPr>
          <w:rFonts w:ascii="Arial" w:eastAsia="宋体" w:hAnsi="Arial" w:cs="Arial"/>
          <w:kern w:val="0"/>
          <w:sz w:val="20"/>
          <w:szCs w:val="20"/>
        </w:rPr>
        <w:t>150mg/m</w:t>
      </w:r>
      <w:r w:rsidRPr="00094924">
        <w:rPr>
          <w:rFonts w:ascii="Arial" w:eastAsia="宋体" w:hAnsi="Arial" w:cs="Arial"/>
          <w:kern w:val="0"/>
          <w:sz w:val="20"/>
          <w:szCs w:val="20"/>
          <w:vertAlign w:val="superscript"/>
        </w:rPr>
        <w:t>2</w:t>
      </w:r>
      <w:r w:rsidRPr="00094924">
        <w:rPr>
          <w:rFonts w:ascii="Arial" w:eastAsia="宋体" w:hAnsi="Arial" w:cs="Arial"/>
          <w:kern w:val="0"/>
          <w:sz w:val="20"/>
          <w:szCs w:val="20"/>
        </w:rPr>
        <w:t>，治疗周期依治疗方案而定。</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肾功能不全时剂量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肾功能不全者应减量。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肝功能不全时剂量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肝功能不全者应减量。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透析时剂量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血液透析和腹膜透析后无需追加剂量。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【给药说明】</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注射液的配制</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静脉滴注液应稀释至</w:t>
      </w:r>
      <w:r w:rsidRPr="00094924">
        <w:rPr>
          <w:rFonts w:ascii="Arial" w:eastAsia="宋体" w:hAnsi="Arial" w:cs="Arial"/>
          <w:kern w:val="0"/>
          <w:sz w:val="20"/>
          <w:szCs w:val="20"/>
        </w:rPr>
        <w:t>0.5mg/ml</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鞘内注射用药，稀释液中应不含防腐剂且不能用苯甲醇做稀释剂，配后立即应用。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【禁忌症】</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对本药过敏者。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妊娠期妇女。</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3.</w:t>
      </w:r>
      <w:r w:rsidRPr="00094924">
        <w:rPr>
          <w:rFonts w:ascii="Arial" w:eastAsia="宋体" w:hAnsi="Arial" w:cs="Arial"/>
          <w:kern w:val="0"/>
          <w:sz w:val="20"/>
          <w:szCs w:val="20"/>
        </w:rPr>
        <w:t>哺乳期妇女。</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4.</w:t>
      </w:r>
      <w:r w:rsidRPr="00094924">
        <w:rPr>
          <w:rFonts w:ascii="Arial" w:eastAsia="宋体" w:hAnsi="Arial" w:cs="Arial"/>
          <w:kern w:val="0"/>
          <w:sz w:val="20"/>
          <w:szCs w:val="20"/>
        </w:rPr>
        <w:t>非肿瘤引起的白细胞和</w:t>
      </w:r>
      <w:r w:rsidRPr="00094924">
        <w:rPr>
          <w:rFonts w:ascii="Arial" w:eastAsia="宋体" w:hAnsi="Arial" w:cs="Arial"/>
          <w:kern w:val="0"/>
          <w:sz w:val="20"/>
          <w:szCs w:val="20"/>
        </w:rPr>
        <w:t>(</w:t>
      </w:r>
      <w:r w:rsidRPr="00094924">
        <w:rPr>
          <w:rFonts w:ascii="Arial" w:eastAsia="宋体" w:hAnsi="Arial" w:cs="Arial"/>
          <w:kern w:val="0"/>
          <w:sz w:val="20"/>
          <w:szCs w:val="20"/>
        </w:rPr>
        <w:t>或</w:t>
      </w:r>
      <w:r w:rsidRPr="00094924">
        <w:rPr>
          <w:rFonts w:ascii="Arial" w:eastAsia="宋体" w:hAnsi="Arial" w:cs="Arial"/>
          <w:kern w:val="0"/>
          <w:sz w:val="20"/>
          <w:szCs w:val="20"/>
        </w:rPr>
        <w:t>)</w:t>
      </w:r>
      <w:r w:rsidRPr="00094924">
        <w:rPr>
          <w:rFonts w:ascii="Arial" w:eastAsia="宋体" w:hAnsi="Arial" w:cs="Arial"/>
          <w:kern w:val="0"/>
          <w:sz w:val="20"/>
          <w:szCs w:val="20"/>
        </w:rPr>
        <w:t>血小板缺乏者。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【慎用】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白细胞及血小板计数显著降低者。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有胆道疾病者。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3.</w:t>
      </w:r>
      <w:r w:rsidRPr="00094924">
        <w:rPr>
          <w:rFonts w:ascii="Arial" w:eastAsia="宋体" w:hAnsi="Arial" w:cs="Arial"/>
          <w:kern w:val="0"/>
          <w:sz w:val="20"/>
          <w:szCs w:val="20"/>
        </w:rPr>
        <w:t>有痛风病史、尿酸盐肾结石病史者。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4.</w:t>
      </w:r>
      <w:r w:rsidRPr="00094924">
        <w:rPr>
          <w:rFonts w:ascii="Arial" w:eastAsia="宋体" w:hAnsi="Arial" w:cs="Arial"/>
          <w:kern w:val="0"/>
          <w:sz w:val="20"/>
          <w:szCs w:val="20"/>
        </w:rPr>
        <w:t>肝、肾功能不全者。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lastRenderedPageBreak/>
        <w:t>5.</w:t>
      </w:r>
      <w:r w:rsidRPr="00094924">
        <w:rPr>
          <w:rFonts w:ascii="Arial" w:eastAsia="宋体" w:hAnsi="Arial" w:cs="Arial"/>
          <w:kern w:val="0"/>
          <w:sz w:val="20"/>
          <w:szCs w:val="20"/>
        </w:rPr>
        <w:t>骨髓抑制者。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6.</w:t>
      </w:r>
      <w:r w:rsidRPr="00094924">
        <w:rPr>
          <w:rFonts w:ascii="Arial" w:eastAsia="宋体" w:hAnsi="Arial" w:cs="Arial"/>
          <w:kern w:val="0"/>
          <w:sz w:val="20"/>
          <w:szCs w:val="20"/>
        </w:rPr>
        <w:t>近期接受过细胞毒性药物或放疗者。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7.</w:t>
      </w:r>
      <w:r w:rsidRPr="00094924">
        <w:rPr>
          <w:rFonts w:ascii="Arial" w:eastAsia="宋体" w:hAnsi="Arial" w:cs="Arial"/>
          <w:kern w:val="0"/>
          <w:sz w:val="20"/>
          <w:szCs w:val="20"/>
        </w:rPr>
        <w:t>既往经</w:t>
      </w:r>
      <w:r w:rsidRPr="00094924">
        <w:rPr>
          <w:rFonts w:ascii="Arial" w:eastAsia="宋体" w:hAnsi="Arial" w:cs="Arial"/>
          <w:kern w:val="0"/>
          <w:sz w:val="20"/>
          <w:szCs w:val="20"/>
        </w:rPr>
        <w:t>L-</w:t>
      </w:r>
      <w:r w:rsidRPr="00094924">
        <w:rPr>
          <w:rFonts w:ascii="Arial" w:eastAsia="宋体" w:hAnsi="Arial" w:cs="Arial"/>
          <w:kern w:val="0"/>
          <w:sz w:val="20"/>
          <w:szCs w:val="20"/>
        </w:rPr>
        <w:t>门冬氨酰酶治疗的患者。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【特殊人群】</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儿童</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儿童用药参见</w:t>
      </w:r>
      <w:r w:rsidRPr="00094924">
        <w:rPr>
          <w:rFonts w:ascii="Arial" w:eastAsia="宋体" w:hAnsi="Arial" w:cs="Arial"/>
          <w:kern w:val="0"/>
          <w:sz w:val="20"/>
          <w:szCs w:val="20"/>
        </w:rPr>
        <w:t>“</w:t>
      </w:r>
      <w:r w:rsidRPr="00094924">
        <w:rPr>
          <w:rFonts w:ascii="Arial" w:eastAsia="宋体" w:hAnsi="Arial" w:cs="Arial"/>
          <w:kern w:val="0"/>
          <w:sz w:val="20"/>
          <w:szCs w:val="20"/>
        </w:rPr>
        <w:t>用法与用量</w:t>
      </w:r>
      <w:r w:rsidRPr="00094924">
        <w:rPr>
          <w:rFonts w:ascii="Arial" w:eastAsia="宋体" w:hAnsi="Arial" w:cs="Arial"/>
          <w:kern w:val="0"/>
          <w:sz w:val="20"/>
          <w:szCs w:val="20"/>
        </w:rPr>
        <w:t>”</w:t>
      </w:r>
      <w:r w:rsidRPr="00094924">
        <w:rPr>
          <w:rFonts w:ascii="Arial" w:eastAsia="宋体" w:hAnsi="Arial" w:cs="Arial"/>
          <w:kern w:val="0"/>
          <w:sz w:val="20"/>
          <w:szCs w:val="20"/>
        </w:rPr>
        <w:t>项。</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老人</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老年患者用药参见</w:t>
      </w:r>
      <w:r w:rsidRPr="00094924">
        <w:rPr>
          <w:rFonts w:ascii="Arial" w:eastAsia="宋体" w:hAnsi="Arial" w:cs="Arial"/>
          <w:kern w:val="0"/>
          <w:sz w:val="20"/>
          <w:szCs w:val="20"/>
        </w:rPr>
        <w:t>“</w:t>
      </w:r>
      <w:r w:rsidRPr="00094924">
        <w:rPr>
          <w:rFonts w:ascii="Arial" w:eastAsia="宋体" w:hAnsi="Arial" w:cs="Arial"/>
          <w:kern w:val="0"/>
          <w:sz w:val="20"/>
          <w:szCs w:val="20"/>
        </w:rPr>
        <w:t>用法与用量</w:t>
      </w:r>
      <w:r w:rsidRPr="00094924">
        <w:rPr>
          <w:rFonts w:ascii="Arial" w:eastAsia="宋体" w:hAnsi="Arial" w:cs="Arial"/>
          <w:kern w:val="0"/>
          <w:sz w:val="20"/>
          <w:szCs w:val="20"/>
        </w:rPr>
        <w:t>”</w:t>
      </w:r>
      <w:r w:rsidRPr="00094924">
        <w:rPr>
          <w:rFonts w:ascii="Arial" w:eastAsia="宋体" w:hAnsi="Arial" w:cs="Arial"/>
          <w:kern w:val="0"/>
          <w:sz w:val="20"/>
          <w:szCs w:val="20"/>
        </w:rPr>
        <w:t>项。</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妊娠期妇女</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本药有增加胎儿死亡及先天畸形的风险，有妊娠早期使用本药，引起新生儿四肢和耳朵缺陷的报道，故妊娠期妇女禁用。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美国食品药品管理局</w:t>
      </w:r>
      <w:r w:rsidRPr="00094924">
        <w:rPr>
          <w:rFonts w:ascii="Arial" w:eastAsia="宋体" w:hAnsi="Arial" w:cs="Arial"/>
          <w:kern w:val="0"/>
          <w:sz w:val="20"/>
          <w:szCs w:val="20"/>
        </w:rPr>
        <w:t>(FDA)</w:t>
      </w:r>
      <w:r w:rsidRPr="00094924">
        <w:rPr>
          <w:rFonts w:ascii="Arial" w:eastAsia="宋体" w:hAnsi="Arial" w:cs="Arial"/>
          <w:kern w:val="0"/>
          <w:sz w:val="20"/>
          <w:szCs w:val="20"/>
        </w:rPr>
        <w:t>对本药的妊娠安全性分级为</w:t>
      </w:r>
      <w:r w:rsidRPr="00094924">
        <w:rPr>
          <w:rFonts w:ascii="Arial" w:eastAsia="宋体" w:hAnsi="Arial" w:cs="Arial"/>
          <w:kern w:val="0"/>
          <w:sz w:val="20"/>
          <w:szCs w:val="20"/>
        </w:rPr>
        <w:t>D</w:t>
      </w:r>
      <w:r w:rsidRPr="00094924">
        <w:rPr>
          <w:rFonts w:ascii="Arial" w:eastAsia="宋体" w:hAnsi="Arial" w:cs="Arial"/>
          <w:kern w:val="0"/>
          <w:sz w:val="20"/>
          <w:szCs w:val="20"/>
        </w:rPr>
        <w:t>级。</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哺乳期妇女</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哺乳期妇女禁用本药。</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特殊疾病状态</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肝损害患者：此类患者用药发生中枢神经系统毒性的风险更大。</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肾损害患者：此类患者用药发生中枢神经系统毒性的风险更大。</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【不良反应】</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心血管系统</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有引起心肌损伤的报道。有引起急性心包炎和暂时性心律失常，急性粒细胞白血病患者出现大量心包积液、心脏填塞的个例报道。还可出现血管炎。</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代谢</w:t>
      </w:r>
      <w:r w:rsidRPr="00094924">
        <w:rPr>
          <w:rFonts w:ascii="Arial" w:eastAsia="宋体" w:hAnsi="Arial" w:cs="Arial"/>
          <w:kern w:val="0"/>
          <w:sz w:val="20"/>
          <w:szCs w:val="20"/>
        </w:rPr>
        <w:t>/</w:t>
      </w:r>
      <w:r w:rsidRPr="00094924">
        <w:rPr>
          <w:rFonts w:ascii="Arial" w:eastAsia="宋体" w:hAnsi="Arial" w:cs="Arial"/>
          <w:kern w:val="0"/>
          <w:sz w:val="20"/>
          <w:szCs w:val="20"/>
        </w:rPr>
        <w:t>内分泌系统</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接受本药大剂量治疗后，有损害血管升压素分泌的个案报道。还可出现低钾血症。</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3.</w:t>
      </w:r>
      <w:r w:rsidRPr="00094924">
        <w:rPr>
          <w:rFonts w:ascii="Arial" w:eastAsia="宋体" w:hAnsi="Arial" w:cs="Arial"/>
          <w:kern w:val="0"/>
          <w:sz w:val="20"/>
          <w:szCs w:val="20"/>
        </w:rPr>
        <w:t>呼吸系统</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大剂量用药可引起肺水肿、肺功能衰竭、呼吸困难。与其他肿瘤抑制药合用时，可引发弥散性间质性肺炎。还可出现急性呼吸窘迫综合征、肺毒性。</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lastRenderedPageBreak/>
        <w:t>4.</w:t>
      </w:r>
      <w:r w:rsidRPr="00094924">
        <w:rPr>
          <w:rFonts w:ascii="Arial" w:eastAsia="宋体" w:hAnsi="Arial" w:cs="Arial"/>
          <w:kern w:val="0"/>
          <w:sz w:val="20"/>
          <w:szCs w:val="20"/>
        </w:rPr>
        <w:t>肌肉骨骼系统</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使用大剂量本药治疗后，偶见肌肉、颈部关节和腿部关节疼痛。也有横纹肌溶解症的报道。</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5.</w:t>
      </w:r>
      <w:r w:rsidRPr="00094924">
        <w:rPr>
          <w:rFonts w:ascii="Arial" w:eastAsia="宋体" w:hAnsi="Arial" w:cs="Arial"/>
          <w:kern w:val="0"/>
          <w:sz w:val="20"/>
          <w:szCs w:val="20"/>
        </w:rPr>
        <w:t>泌尿生殖系统</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白血病、淋巴瘤患者治疗初期可发生高尿酸血症，严重者可发生尿酸性肾病。还可导致男性生殖功能异常。大剂量治疗时，有</w:t>
      </w:r>
      <w:r w:rsidRPr="00094924">
        <w:rPr>
          <w:rFonts w:ascii="Arial" w:eastAsia="宋体" w:hAnsi="Arial" w:cs="Arial"/>
          <w:kern w:val="0"/>
          <w:sz w:val="20"/>
          <w:szCs w:val="20"/>
        </w:rPr>
        <w:t>5%-20%</w:t>
      </w:r>
      <w:r w:rsidRPr="00094924">
        <w:rPr>
          <w:rFonts w:ascii="Arial" w:eastAsia="宋体" w:hAnsi="Arial" w:cs="Arial"/>
          <w:kern w:val="0"/>
          <w:sz w:val="20"/>
          <w:szCs w:val="20"/>
        </w:rPr>
        <w:t>的患者表现为血浆肌酸酐增加，与本药的因果关系尚未证实。如有大量细胞分解，应采取防止尿酸盐肾病的措施。还可出现膀胱炎、尿潴留、肾衰竭。</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6.</w:t>
      </w:r>
      <w:r w:rsidRPr="00094924">
        <w:rPr>
          <w:rFonts w:ascii="Arial" w:eastAsia="宋体" w:hAnsi="Arial" w:cs="Arial"/>
          <w:kern w:val="0"/>
          <w:sz w:val="20"/>
          <w:szCs w:val="20"/>
        </w:rPr>
        <w:t>免疫系统</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可出现过敏反应、免疫抑制。还有出现身体免疫功能减低的个案报道。</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7.</w:t>
      </w:r>
      <w:r w:rsidRPr="00094924">
        <w:rPr>
          <w:rFonts w:ascii="Arial" w:eastAsia="宋体" w:hAnsi="Arial" w:cs="Arial"/>
          <w:kern w:val="0"/>
          <w:sz w:val="20"/>
          <w:szCs w:val="20"/>
        </w:rPr>
        <w:t>神经系统</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可见头晕，少见严重嗜睡。大剂量用药可发生可逆或不可逆的小脑毒性。鞘内注射可引起头痛、下肢瘫痪等。有报道，少数患者出现小脑性发音障碍伴</w:t>
      </w:r>
      <w:r w:rsidRPr="00094924">
        <w:rPr>
          <w:rFonts w:ascii="Arial" w:eastAsia="宋体" w:hAnsi="Arial" w:cs="Arial"/>
          <w:kern w:val="0"/>
          <w:sz w:val="20"/>
          <w:szCs w:val="20"/>
        </w:rPr>
        <w:t>(</w:t>
      </w:r>
      <w:r w:rsidRPr="00094924">
        <w:rPr>
          <w:rFonts w:ascii="Arial" w:eastAsia="宋体" w:hAnsi="Arial" w:cs="Arial"/>
          <w:kern w:val="0"/>
          <w:sz w:val="20"/>
          <w:szCs w:val="20"/>
        </w:rPr>
        <w:t>或不伴</w:t>
      </w:r>
      <w:r w:rsidRPr="00094924">
        <w:rPr>
          <w:rFonts w:ascii="Arial" w:eastAsia="宋体" w:hAnsi="Arial" w:cs="Arial"/>
          <w:kern w:val="0"/>
          <w:sz w:val="20"/>
          <w:szCs w:val="20"/>
        </w:rPr>
        <w:t>)</w:t>
      </w:r>
      <w:r w:rsidRPr="00094924">
        <w:rPr>
          <w:rFonts w:ascii="Arial" w:eastAsia="宋体" w:hAnsi="Arial" w:cs="Arial"/>
          <w:kern w:val="0"/>
          <w:sz w:val="20"/>
          <w:szCs w:val="20"/>
        </w:rPr>
        <w:t>眼球水平震颤；大多数小脑及大脑的并发症可在几日到几周内完全恢复；若一日给予</w:t>
      </w:r>
      <w:r w:rsidRPr="00094924">
        <w:rPr>
          <w:rFonts w:ascii="Arial" w:eastAsia="宋体" w:hAnsi="Arial" w:cs="Arial"/>
          <w:kern w:val="0"/>
          <w:sz w:val="20"/>
          <w:szCs w:val="20"/>
        </w:rPr>
        <w:t>10mg/kg</w:t>
      </w:r>
      <w:r w:rsidRPr="00094924">
        <w:rPr>
          <w:rFonts w:ascii="Arial" w:eastAsia="宋体" w:hAnsi="Arial" w:cs="Arial"/>
          <w:kern w:val="0"/>
          <w:sz w:val="20"/>
          <w:szCs w:val="20"/>
        </w:rPr>
        <w:t>、总量达</w:t>
      </w:r>
      <w:r w:rsidRPr="00094924">
        <w:rPr>
          <w:rFonts w:ascii="Arial" w:eastAsia="宋体" w:hAnsi="Arial" w:cs="Arial"/>
          <w:kern w:val="0"/>
          <w:sz w:val="20"/>
          <w:szCs w:val="20"/>
        </w:rPr>
        <w:t>40mg/kg</w:t>
      </w:r>
      <w:r w:rsidRPr="00094924">
        <w:rPr>
          <w:rFonts w:ascii="Arial" w:eastAsia="宋体" w:hAnsi="Arial" w:cs="Arial"/>
          <w:kern w:val="0"/>
          <w:sz w:val="20"/>
          <w:szCs w:val="20"/>
        </w:rPr>
        <w:t>时，可发生全身性肌肉强直、言语混乱和较明显的震颤。有发生周围神经损害以及进行性退行性麻痹的报道。还可出现蛛网膜炎、无菌性脑膜炎、脑神经病变、共济失调、意识障碍、人格改变、昏迷、神经毒性、感觉异常、帕金森症、假性脑瘤。</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8.</w:t>
      </w:r>
      <w:r w:rsidRPr="00094924">
        <w:rPr>
          <w:rFonts w:ascii="Arial" w:eastAsia="宋体" w:hAnsi="Arial" w:cs="Arial"/>
          <w:kern w:val="0"/>
          <w:sz w:val="20"/>
          <w:szCs w:val="20"/>
        </w:rPr>
        <w:t>肝脏</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部分患者可出现轻度肝功能异常，罕见肝细胞坏死。个别患者可有血胆红素及氨基转移酶升高。大剂量给药可出现明显肝功能异常及黄疸，可引起肝脏中央静脉及肝小叶静脉闭塞，导致黄疸、肝肿大、腹水及肝性脑病。大剂量治疗时，有出现肝静脉栓塞</w:t>
      </w:r>
      <w:r w:rsidRPr="00094924">
        <w:rPr>
          <w:rFonts w:ascii="Arial" w:eastAsia="宋体" w:hAnsi="Arial" w:cs="Arial"/>
          <w:kern w:val="0"/>
          <w:sz w:val="20"/>
          <w:szCs w:val="20"/>
        </w:rPr>
        <w:t>(Budd-Chiari</w:t>
      </w:r>
      <w:r w:rsidRPr="00094924">
        <w:rPr>
          <w:rFonts w:ascii="Arial" w:eastAsia="宋体" w:hAnsi="Arial" w:cs="Arial"/>
          <w:kern w:val="0"/>
          <w:sz w:val="20"/>
          <w:szCs w:val="20"/>
        </w:rPr>
        <w:t>综合征</w:t>
      </w:r>
      <w:r w:rsidRPr="00094924">
        <w:rPr>
          <w:rFonts w:ascii="Arial" w:eastAsia="宋体" w:hAnsi="Arial" w:cs="Arial"/>
          <w:kern w:val="0"/>
          <w:sz w:val="20"/>
          <w:szCs w:val="20"/>
        </w:rPr>
        <w:t>)</w:t>
      </w:r>
      <w:r w:rsidRPr="00094924">
        <w:rPr>
          <w:rFonts w:ascii="Arial" w:eastAsia="宋体" w:hAnsi="Arial" w:cs="Arial"/>
          <w:kern w:val="0"/>
          <w:sz w:val="20"/>
          <w:szCs w:val="20"/>
        </w:rPr>
        <w:t>和胰腺炎的个案报道。</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9.</w:t>
      </w:r>
      <w:r w:rsidRPr="00094924">
        <w:rPr>
          <w:rFonts w:ascii="Arial" w:eastAsia="宋体" w:hAnsi="Arial" w:cs="Arial"/>
          <w:kern w:val="0"/>
          <w:sz w:val="20"/>
          <w:szCs w:val="20"/>
        </w:rPr>
        <w:t>胃肠道</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常见恶心、呕吐、食欲减退、腹泻。有时出现胃炎、口腔和胃肠道溃疡等。此外对胃肠道黏膜的伤害可使肠壁溃疡、气肿和感染，从而引发肠组织坏死和坏死性结肠炎。特别是大剂量治疗时能引起口腔和肛门发炎，从而导致严重腹泻及钾盐的流失。大剂量治疗会使肠组织损坏，偶尔会发生肠梗阻和腹膜炎。还可出现腹痛、呕血、黑便、消化道出血、腮腺炎、假膜性肠炎。</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10.</w:t>
      </w:r>
      <w:r w:rsidRPr="00094924">
        <w:rPr>
          <w:rFonts w:ascii="Arial" w:eastAsia="宋体" w:hAnsi="Arial" w:cs="Arial"/>
          <w:kern w:val="0"/>
          <w:sz w:val="20"/>
          <w:szCs w:val="20"/>
        </w:rPr>
        <w:t>血液</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最主要的不良反应是骨髓抑制，依照用药剂量的大小引起血象改变</w:t>
      </w:r>
      <w:r w:rsidRPr="00094924">
        <w:rPr>
          <w:rFonts w:ascii="Arial" w:eastAsia="宋体" w:hAnsi="Arial" w:cs="Arial"/>
          <w:kern w:val="0"/>
          <w:sz w:val="20"/>
          <w:szCs w:val="20"/>
        </w:rPr>
        <w:t>(</w:t>
      </w:r>
      <w:r w:rsidRPr="00094924">
        <w:rPr>
          <w:rFonts w:ascii="Arial" w:eastAsia="宋体" w:hAnsi="Arial" w:cs="Arial"/>
          <w:kern w:val="0"/>
          <w:sz w:val="20"/>
          <w:szCs w:val="20"/>
        </w:rPr>
        <w:t>红、白细胞及血小板减少</w:t>
      </w:r>
      <w:r w:rsidRPr="00094924">
        <w:rPr>
          <w:rFonts w:ascii="Arial" w:eastAsia="宋体" w:hAnsi="Arial" w:cs="Arial"/>
          <w:kern w:val="0"/>
          <w:sz w:val="20"/>
          <w:szCs w:val="20"/>
        </w:rPr>
        <w:t>)</w:t>
      </w:r>
      <w:r w:rsidRPr="00094924">
        <w:rPr>
          <w:rFonts w:ascii="Arial" w:eastAsia="宋体" w:hAnsi="Arial" w:cs="Arial"/>
          <w:kern w:val="0"/>
          <w:sz w:val="20"/>
          <w:szCs w:val="20"/>
        </w:rPr>
        <w:t>。使用常规剂量，白细胞在用药第</w:t>
      </w:r>
      <w:r w:rsidRPr="00094924">
        <w:rPr>
          <w:rFonts w:ascii="Arial" w:eastAsia="宋体" w:hAnsi="Arial" w:cs="Arial"/>
          <w:kern w:val="0"/>
          <w:sz w:val="20"/>
          <w:szCs w:val="20"/>
        </w:rPr>
        <w:t>12</w:t>
      </w:r>
      <w:r w:rsidRPr="00094924">
        <w:rPr>
          <w:rFonts w:ascii="Arial" w:eastAsia="宋体" w:hAnsi="Arial" w:cs="Arial"/>
          <w:kern w:val="0"/>
          <w:sz w:val="20"/>
          <w:szCs w:val="20"/>
        </w:rPr>
        <w:t>日达最低点。大剂量治疗会引发明显的骨髓损害。有出现败血症、血栓性静脉炎和出血的个案报道。还可出现全血细胞减少。</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11.</w:t>
      </w:r>
      <w:r w:rsidRPr="00094924">
        <w:rPr>
          <w:rFonts w:ascii="Arial" w:eastAsia="宋体" w:hAnsi="Arial" w:cs="Arial"/>
          <w:kern w:val="0"/>
          <w:sz w:val="20"/>
          <w:szCs w:val="20"/>
        </w:rPr>
        <w:t>皮肤</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常规剂量可见不规则斑点、结节状皮疹、大面积的红皮病或红斑、脱发。大剂量用药后，有</w:t>
      </w:r>
      <w:r w:rsidRPr="00094924">
        <w:rPr>
          <w:rFonts w:ascii="Arial" w:eastAsia="宋体" w:hAnsi="Arial" w:cs="Arial"/>
          <w:kern w:val="0"/>
          <w:sz w:val="20"/>
          <w:szCs w:val="20"/>
        </w:rPr>
        <w:t>75%</w:t>
      </w:r>
      <w:r w:rsidRPr="00094924">
        <w:rPr>
          <w:rFonts w:ascii="Arial" w:eastAsia="宋体" w:hAnsi="Arial" w:cs="Arial"/>
          <w:kern w:val="0"/>
          <w:sz w:val="20"/>
          <w:szCs w:val="20"/>
        </w:rPr>
        <w:t>以上患者全身出现炎性红斑，有时出现水疱和脱皮。也可出现掌心和脚心的灼烧疼痛。还可出现中毒性表皮坏死松解症以及过敏性紫癜的个案报道。</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lastRenderedPageBreak/>
        <w:t>12.</w:t>
      </w:r>
      <w:r w:rsidRPr="00094924">
        <w:rPr>
          <w:rFonts w:ascii="Arial" w:eastAsia="宋体" w:hAnsi="Arial" w:cs="Arial"/>
          <w:kern w:val="0"/>
          <w:sz w:val="20"/>
          <w:szCs w:val="20"/>
        </w:rPr>
        <w:t>眼</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使用大剂量治疗时依剂量的大小，有</w:t>
      </w:r>
      <w:r w:rsidRPr="00094924">
        <w:rPr>
          <w:rFonts w:ascii="Arial" w:eastAsia="宋体" w:hAnsi="Arial" w:cs="Arial"/>
          <w:kern w:val="0"/>
          <w:sz w:val="20"/>
          <w:szCs w:val="20"/>
        </w:rPr>
        <w:t>20%-30%</w:t>
      </w:r>
      <w:r w:rsidRPr="00094924">
        <w:rPr>
          <w:rFonts w:ascii="Arial" w:eastAsia="宋体" w:hAnsi="Arial" w:cs="Arial"/>
          <w:kern w:val="0"/>
          <w:sz w:val="20"/>
          <w:szCs w:val="20"/>
        </w:rPr>
        <w:t>的患者出现结膜炎、角膜炎、畏光、眼痛、大量流泪和视觉障碍，严重患者可见结膜出血，角膜溃疡也有发生。经常洗涤眼睛或使用含皮质激素滴眼药，可阻止或缓解这类症状。用于眼科时，本药的细胞毒性较大，最初可造成角膜上皮下的点状混浊，逐渐发展为点状着色，甚至形成角膜溃疡，因而限制了本药在眼科的广泛使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13.</w:t>
      </w:r>
      <w:r w:rsidRPr="00094924">
        <w:rPr>
          <w:rFonts w:ascii="Arial" w:eastAsia="宋体" w:hAnsi="Arial" w:cs="Arial"/>
          <w:kern w:val="0"/>
          <w:sz w:val="20"/>
          <w:szCs w:val="20"/>
        </w:rPr>
        <w:t>过敏反应</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较少出现急性变异反应，如荨麻疹和过敏</w:t>
      </w:r>
      <w:r w:rsidRPr="00094924">
        <w:rPr>
          <w:rFonts w:ascii="Arial" w:eastAsia="宋体" w:hAnsi="Arial" w:cs="Arial"/>
          <w:kern w:val="0"/>
          <w:sz w:val="20"/>
          <w:szCs w:val="20"/>
        </w:rPr>
        <w:t>(</w:t>
      </w:r>
      <w:r w:rsidRPr="00094924">
        <w:rPr>
          <w:rFonts w:ascii="Arial" w:eastAsia="宋体" w:hAnsi="Arial" w:cs="Arial"/>
          <w:kern w:val="0"/>
          <w:sz w:val="20"/>
          <w:szCs w:val="20"/>
        </w:rPr>
        <w:t>急性过敏反应伴血压下降和呼吸困难</w:t>
      </w:r>
      <w:r w:rsidRPr="00094924">
        <w:rPr>
          <w:rFonts w:ascii="Arial" w:eastAsia="宋体" w:hAnsi="Arial" w:cs="Arial"/>
          <w:kern w:val="0"/>
          <w:sz w:val="20"/>
          <w:szCs w:val="20"/>
        </w:rPr>
        <w:t>)</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14.</w:t>
      </w:r>
      <w:r w:rsidRPr="00094924">
        <w:rPr>
          <w:rFonts w:ascii="Arial" w:eastAsia="宋体" w:hAnsi="Arial" w:cs="Arial"/>
          <w:kern w:val="0"/>
          <w:sz w:val="20"/>
          <w:szCs w:val="20"/>
        </w:rPr>
        <w:t>其他</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接受大剂量治疗的患者有</w:t>
      </w:r>
      <w:r w:rsidRPr="00094924">
        <w:rPr>
          <w:rFonts w:ascii="Arial" w:eastAsia="宋体" w:hAnsi="Arial" w:cs="Arial"/>
          <w:kern w:val="0"/>
          <w:sz w:val="20"/>
          <w:szCs w:val="20"/>
        </w:rPr>
        <w:t>20%-50%</w:t>
      </w:r>
      <w:r w:rsidRPr="00094924">
        <w:rPr>
          <w:rFonts w:ascii="Arial" w:eastAsia="宋体" w:hAnsi="Arial" w:cs="Arial"/>
          <w:kern w:val="0"/>
          <w:sz w:val="20"/>
          <w:szCs w:val="20"/>
        </w:rPr>
        <w:t>出现发热。还可出现阿糖胞苷综合征，特点：发热、肌肉痛、骨痛、有时胸痛、结节状风疹斑、结膜炎和身体不适。于用药</w:t>
      </w:r>
      <w:r w:rsidRPr="00094924">
        <w:rPr>
          <w:rFonts w:ascii="Arial" w:eastAsia="宋体" w:hAnsi="Arial" w:cs="Arial"/>
          <w:kern w:val="0"/>
          <w:sz w:val="20"/>
          <w:szCs w:val="20"/>
        </w:rPr>
        <w:t>6-12</w:t>
      </w:r>
      <w:r w:rsidRPr="00094924">
        <w:rPr>
          <w:rFonts w:ascii="Arial" w:eastAsia="宋体" w:hAnsi="Arial" w:cs="Arial"/>
          <w:kern w:val="0"/>
          <w:sz w:val="20"/>
          <w:szCs w:val="20"/>
        </w:rPr>
        <w:t>小时后出现。</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【药物相互作用】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药物</w:t>
      </w:r>
      <w:r w:rsidRPr="00094924">
        <w:rPr>
          <w:rFonts w:ascii="Arial" w:eastAsia="宋体" w:hAnsi="Arial" w:cs="Arial"/>
          <w:b/>
          <w:bCs/>
          <w:kern w:val="0"/>
          <w:sz w:val="20"/>
          <w:szCs w:val="20"/>
        </w:rPr>
        <w:t>-</w:t>
      </w:r>
      <w:r w:rsidRPr="00094924">
        <w:rPr>
          <w:rFonts w:ascii="Arial" w:eastAsia="宋体" w:hAnsi="Arial" w:cs="Arial"/>
          <w:b/>
          <w:bCs/>
          <w:kern w:val="0"/>
          <w:sz w:val="20"/>
          <w:szCs w:val="20"/>
        </w:rPr>
        <w:t>药物相互作用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四氢尿苷、胞苷可抑制脱氨酶：</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结果：合用对本药有增效作用。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机制：以上药物可延长本药血浆半衰期，提高血药浓度。</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柔红霉素、多柔比星、环磷酰胺及亚硝脲类药物：</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结果：合用时以上药物对本药有增效作用。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3.</w:t>
      </w:r>
      <w:r w:rsidRPr="00094924">
        <w:rPr>
          <w:rFonts w:ascii="Arial" w:eastAsia="宋体" w:hAnsi="Arial" w:cs="Arial"/>
          <w:kern w:val="0"/>
          <w:sz w:val="20"/>
          <w:szCs w:val="20"/>
        </w:rPr>
        <w:t>其他骨髓抑制药：</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结果：合用时血液学毒性的发生率和严重程度均会加强。</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4.</w:t>
      </w:r>
      <w:r w:rsidRPr="00094924">
        <w:rPr>
          <w:rFonts w:ascii="Arial" w:eastAsia="宋体" w:hAnsi="Arial" w:cs="Arial"/>
          <w:kern w:val="0"/>
          <w:sz w:val="20"/>
          <w:szCs w:val="20"/>
        </w:rPr>
        <w:t>氟胞嘧啶：</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结果：合用可降低氟胞嘧啶的疗效。</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处理：合用时应监测氟胞嘧啶疗效下降的反应。</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5.</w:t>
      </w:r>
      <w:r w:rsidRPr="00094924">
        <w:rPr>
          <w:rFonts w:ascii="Arial" w:eastAsia="宋体" w:hAnsi="Arial" w:cs="Arial"/>
          <w:kern w:val="0"/>
          <w:sz w:val="20"/>
          <w:szCs w:val="20"/>
        </w:rPr>
        <w:t>地高辛：</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结果：患者接受含环磷酰胺、肠出血及和强的松的化疗方案，联合</w:t>
      </w:r>
      <w:r w:rsidRPr="00094924">
        <w:rPr>
          <w:rFonts w:ascii="Arial" w:eastAsia="宋体" w:hAnsi="Arial" w:cs="Arial"/>
          <w:kern w:val="0"/>
          <w:sz w:val="20"/>
          <w:szCs w:val="20"/>
        </w:rPr>
        <w:t>β-</w:t>
      </w:r>
      <w:r w:rsidRPr="00094924">
        <w:rPr>
          <w:rFonts w:ascii="Arial" w:eastAsia="宋体" w:hAnsi="Arial" w:cs="Arial"/>
          <w:kern w:val="0"/>
          <w:sz w:val="20"/>
          <w:szCs w:val="20"/>
        </w:rPr>
        <w:t>醋地高辛治疗，地高辛稳态血浆浓度和肾葡萄糖分泌发生可逆性低下降。</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处理：接受类似联合化疗方案治疗的患者需密切监测地高辛的浓度。因洋地黄毒苷的稳态年度似不变，可考虑用洋地黄毒苷替代地高辛的使用。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lastRenderedPageBreak/>
        <w:t>6.</w:t>
      </w:r>
      <w:r w:rsidRPr="00094924">
        <w:rPr>
          <w:rFonts w:ascii="Arial" w:eastAsia="宋体" w:hAnsi="Arial" w:cs="Arial"/>
          <w:kern w:val="0"/>
          <w:sz w:val="20"/>
          <w:szCs w:val="20"/>
        </w:rPr>
        <w:t>活疫苗</w:t>
      </w:r>
      <w:r w:rsidRPr="00094924">
        <w:rPr>
          <w:rFonts w:ascii="Arial" w:eastAsia="宋体" w:hAnsi="Arial" w:cs="Arial"/>
          <w:kern w:val="0"/>
          <w:sz w:val="20"/>
          <w:szCs w:val="20"/>
        </w:rPr>
        <w:t>(</w:t>
      </w:r>
      <w:r w:rsidRPr="00094924">
        <w:rPr>
          <w:rFonts w:ascii="Arial" w:eastAsia="宋体" w:hAnsi="Arial" w:cs="Arial"/>
          <w:kern w:val="0"/>
          <w:sz w:val="20"/>
          <w:szCs w:val="20"/>
        </w:rPr>
        <w:t>如轮状病毒疫苗、</w:t>
      </w:r>
      <w:r w:rsidRPr="00094924">
        <w:rPr>
          <w:rFonts w:ascii="Arial" w:eastAsia="宋体" w:hAnsi="Arial" w:cs="Arial"/>
          <w:kern w:val="0"/>
          <w:sz w:val="20"/>
          <w:szCs w:val="20"/>
        </w:rPr>
        <w:t>4</w:t>
      </w:r>
      <w:r w:rsidRPr="00094924">
        <w:rPr>
          <w:rFonts w:ascii="Arial" w:eastAsia="宋体" w:hAnsi="Arial" w:cs="Arial"/>
          <w:kern w:val="0"/>
          <w:sz w:val="20"/>
          <w:szCs w:val="20"/>
        </w:rPr>
        <w:t>型腺病毒疫苗、</w:t>
      </w:r>
      <w:r w:rsidRPr="00094924">
        <w:rPr>
          <w:rFonts w:ascii="Arial" w:eastAsia="宋体" w:hAnsi="Arial" w:cs="Arial"/>
          <w:kern w:val="0"/>
          <w:sz w:val="20"/>
          <w:szCs w:val="20"/>
        </w:rPr>
        <w:t>7</w:t>
      </w:r>
      <w:r w:rsidRPr="00094924">
        <w:rPr>
          <w:rFonts w:ascii="Arial" w:eastAsia="宋体" w:hAnsi="Arial" w:cs="Arial"/>
          <w:kern w:val="0"/>
          <w:sz w:val="20"/>
          <w:szCs w:val="20"/>
        </w:rPr>
        <w:t>型腺病毒疫苗、芽孢杆菌卡介苗、流感病毒疫苗、麻疹病毒疫苗、腮腺炎病毒疫苗、风疹病毒疫苗、天花疫苗、伤寒疫苗、水痘病毒疫苗、黄热病疫苗</w:t>
      </w:r>
      <w:r w:rsidRPr="00094924">
        <w:rPr>
          <w:rFonts w:ascii="Arial" w:eastAsia="宋体" w:hAnsi="Arial" w:cs="Arial"/>
          <w:kern w:val="0"/>
          <w:sz w:val="20"/>
          <w:szCs w:val="20"/>
        </w:rPr>
        <w:t>)</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结果：用药时接种以上疫苗将增加活疫苗感染的风险。</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处理：接受免疫抑制化疗的患者不能接种活疫苗。缓解期白血病患者，至少要停止化疗</w:t>
      </w:r>
      <w:r w:rsidRPr="00094924">
        <w:rPr>
          <w:rFonts w:ascii="Arial" w:eastAsia="宋体" w:hAnsi="Arial" w:cs="Arial"/>
          <w:kern w:val="0"/>
          <w:sz w:val="20"/>
          <w:szCs w:val="20"/>
        </w:rPr>
        <w:t>3</w:t>
      </w:r>
      <w:r w:rsidRPr="00094924">
        <w:rPr>
          <w:rFonts w:ascii="Arial" w:eastAsia="宋体" w:hAnsi="Arial" w:cs="Arial"/>
          <w:kern w:val="0"/>
          <w:sz w:val="20"/>
          <w:szCs w:val="20"/>
        </w:rPr>
        <w:t>个月，才允许接种活疫苗。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7.</w:t>
      </w:r>
      <w:r w:rsidRPr="00094924">
        <w:rPr>
          <w:rFonts w:ascii="Arial" w:eastAsia="宋体" w:hAnsi="Arial" w:cs="Arial"/>
          <w:kern w:val="0"/>
          <w:sz w:val="20"/>
          <w:szCs w:val="20"/>
        </w:rPr>
        <w:t>庆大霉素：</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结果：在体本药和庆大霉素药物相互作用的研究中，</w:t>
      </w:r>
      <w:r w:rsidRPr="00094924">
        <w:rPr>
          <w:rFonts w:ascii="Arial" w:eastAsia="宋体" w:hAnsi="Arial" w:cs="Arial"/>
          <w:kern w:val="0"/>
          <w:sz w:val="20"/>
          <w:szCs w:val="20"/>
        </w:rPr>
        <w:t>K.</w:t>
      </w:r>
      <w:r w:rsidRPr="00094924">
        <w:rPr>
          <w:rFonts w:ascii="Arial" w:eastAsia="宋体" w:hAnsi="Arial" w:cs="Arial"/>
          <w:kern w:val="0"/>
          <w:sz w:val="20"/>
          <w:szCs w:val="20"/>
        </w:rPr>
        <w:t>肺炎菌株对庆大霉素敏感性的拮抗作用与本药相关。</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处理：在使用庆大霉素治疗</w:t>
      </w:r>
      <w:r w:rsidRPr="00094924">
        <w:rPr>
          <w:rFonts w:ascii="Arial" w:eastAsia="宋体" w:hAnsi="Arial" w:cs="Arial"/>
          <w:kern w:val="0"/>
          <w:sz w:val="20"/>
          <w:szCs w:val="20"/>
        </w:rPr>
        <w:t>K.</w:t>
      </w:r>
      <w:r w:rsidRPr="00094924">
        <w:rPr>
          <w:rFonts w:ascii="Arial" w:eastAsia="宋体" w:hAnsi="Arial" w:cs="Arial"/>
          <w:kern w:val="0"/>
          <w:sz w:val="20"/>
          <w:szCs w:val="20"/>
        </w:rPr>
        <w:t>肺炎菌感染时，应用本药的患者如不迅速出现治疗作用可能需重新调整抗菌治疗方案。</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【注意事项】</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用药警示</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对应用高剂量本药治疗的患者应观察神经毒性，因为剂量方案的改变需要尽量避免不可逆的神经病变。</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不良反应的处理方法</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如出现各种严重不良反应时，应立即停药，并立即采取各种有效措施治疗。部分患者给予肾上腺皮质激素，可能减轻中剂量或大剂量本药引起的不良反应。</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快速静脉注射引起的恶心、呕吐反应虽较严重，但对骨髓的抑制较轻，患者一般能耐受。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用药前后及用药时应当检查或监测</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用药期间应定期检查血细胞和血小板计数以及肝肾功能。</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接受本药治疗的患者，由于肿瘤细胞迅速崩解可继发高尿酸血症，应监测血清尿酸浓度。</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3.</w:t>
      </w:r>
      <w:r w:rsidRPr="00094924">
        <w:rPr>
          <w:rFonts w:ascii="Arial" w:eastAsia="宋体" w:hAnsi="Arial" w:cs="Arial"/>
          <w:kern w:val="0"/>
          <w:sz w:val="20"/>
          <w:szCs w:val="20"/>
        </w:rPr>
        <w:t>患者在诱导治疗时，应监测患者对药物的耐受性，确保患者免遭药物的毒性损害。</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高警讯药物</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美国安全用药规范研究院</w:t>
      </w:r>
      <w:r w:rsidRPr="00094924">
        <w:rPr>
          <w:rFonts w:ascii="Arial" w:eastAsia="宋体" w:hAnsi="Arial" w:cs="Arial"/>
          <w:kern w:val="0"/>
          <w:sz w:val="20"/>
          <w:szCs w:val="20"/>
        </w:rPr>
        <w:t>(ISMP)</w:t>
      </w:r>
      <w:r w:rsidRPr="00094924">
        <w:rPr>
          <w:rFonts w:ascii="Arial" w:eastAsia="宋体" w:hAnsi="Arial" w:cs="Arial"/>
          <w:kern w:val="0"/>
          <w:sz w:val="20"/>
          <w:szCs w:val="20"/>
        </w:rPr>
        <w:t>将本药定为高警讯药物，使用不当将给患者带来严重危害。</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lastRenderedPageBreak/>
        <w:t>制剂注意事项</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苯甲醇：本药部分剂型含有苯甲醇，此类药品不得用于大剂量鞘内注射。</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其他注意事项</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配制好的注射液可在冰箱中保存</w:t>
      </w:r>
      <w:r w:rsidRPr="00094924">
        <w:rPr>
          <w:rFonts w:ascii="Arial" w:eastAsia="宋体" w:hAnsi="Arial" w:cs="Arial"/>
          <w:kern w:val="0"/>
          <w:sz w:val="20"/>
          <w:szCs w:val="20"/>
        </w:rPr>
        <w:t>7</w:t>
      </w:r>
      <w:r w:rsidRPr="00094924">
        <w:rPr>
          <w:rFonts w:ascii="Arial" w:eastAsia="宋体" w:hAnsi="Arial" w:cs="Arial"/>
          <w:kern w:val="0"/>
          <w:sz w:val="20"/>
          <w:szCs w:val="20"/>
        </w:rPr>
        <w:t>日，室温下仅能保存</w:t>
      </w:r>
      <w:r w:rsidRPr="00094924">
        <w:rPr>
          <w:rFonts w:ascii="Arial" w:eastAsia="宋体" w:hAnsi="Arial" w:cs="Arial"/>
          <w:kern w:val="0"/>
          <w:sz w:val="20"/>
          <w:szCs w:val="20"/>
        </w:rPr>
        <w:t>24</w:t>
      </w:r>
      <w:r w:rsidRPr="00094924">
        <w:rPr>
          <w:rFonts w:ascii="Arial" w:eastAsia="宋体" w:hAnsi="Arial" w:cs="Arial"/>
          <w:kern w:val="0"/>
          <w:sz w:val="20"/>
          <w:szCs w:val="20"/>
        </w:rPr>
        <w:t>小时。</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使用本药时，应适当增加患者的液体摄入量，使尿液保持碱性，必要时可合用别嘌醇，以防止血尿酸增高及尿酸性肾病。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【国外专科用药信息参考】</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牙科用药信息</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与牙科相关的主要不良反应：黏膜炎。</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化疗可引起明显的骨髓抑制</w:t>
      </w:r>
      <w:r w:rsidRPr="00094924">
        <w:rPr>
          <w:rFonts w:ascii="Arial" w:eastAsia="宋体" w:hAnsi="Arial" w:cs="Arial"/>
          <w:kern w:val="0"/>
          <w:sz w:val="20"/>
          <w:szCs w:val="20"/>
        </w:rPr>
        <w:t>(</w:t>
      </w:r>
      <w:r w:rsidRPr="00094924">
        <w:rPr>
          <w:rFonts w:ascii="Arial" w:eastAsia="宋体" w:hAnsi="Arial" w:cs="Arial"/>
          <w:kern w:val="0"/>
          <w:sz w:val="20"/>
          <w:szCs w:val="20"/>
        </w:rPr>
        <w:t>包括血小板减少和凝血功能改变</w:t>
      </w:r>
      <w:r w:rsidRPr="00094924">
        <w:rPr>
          <w:rFonts w:ascii="Arial" w:eastAsia="宋体" w:hAnsi="Arial" w:cs="Arial"/>
          <w:kern w:val="0"/>
          <w:sz w:val="20"/>
          <w:szCs w:val="20"/>
        </w:rPr>
        <w:t>)</w:t>
      </w:r>
      <w:r w:rsidRPr="00094924">
        <w:rPr>
          <w:rFonts w:ascii="Arial" w:eastAsia="宋体" w:hAnsi="Arial" w:cs="Arial"/>
          <w:kern w:val="0"/>
          <w:sz w:val="20"/>
          <w:szCs w:val="20"/>
        </w:rPr>
        <w:t>，牙科操作时应注意其对出血和止血的影响。</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精神状况信息</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对精神状态的影响：本药可能引起镇静和意识错乱。</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对精神障碍治疗的影响：本药可引起骨髓抑制，与氯氮平和卡马西平合用应谨慎。</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护理注意事项</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1.</w:t>
      </w:r>
      <w:r w:rsidRPr="00094924">
        <w:rPr>
          <w:rFonts w:ascii="Arial" w:eastAsia="宋体" w:hAnsi="Arial" w:cs="Arial"/>
          <w:kern w:val="0"/>
          <w:sz w:val="20"/>
          <w:szCs w:val="20"/>
        </w:rPr>
        <w:t>眼科使用本药前可预先使用糖皮质激素，可使眼部疼痛和结膜炎症状减轻。</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2.</w:t>
      </w:r>
      <w:r w:rsidRPr="00094924">
        <w:rPr>
          <w:rFonts w:ascii="Arial" w:eastAsia="宋体" w:hAnsi="Arial" w:cs="Arial"/>
          <w:kern w:val="0"/>
          <w:sz w:val="20"/>
          <w:szCs w:val="20"/>
        </w:rPr>
        <w:t>治疗</w:t>
      </w:r>
      <w:r w:rsidRPr="00094924">
        <w:rPr>
          <w:rFonts w:ascii="Arial" w:eastAsia="宋体" w:hAnsi="Arial" w:cs="Arial"/>
          <w:kern w:val="0"/>
          <w:sz w:val="20"/>
          <w:szCs w:val="20"/>
        </w:rPr>
        <w:t>(</w:t>
      </w:r>
      <w:r w:rsidRPr="00094924">
        <w:rPr>
          <w:rFonts w:ascii="Arial" w:eastAsia="宋体" w:hAnsi="Arial" w:cs="Arial"/>
          <w:kern w:val="0"/>
          <w:sz w:val="20"/>
          <w:szCs w:val="20"/>
        </w:rPr>
        <w:t>特别是使用大剂量时</w:t>
      </w:r>
      <w:r w:rsidRPr="00094924">
        <w:rPr>
          <w:rFonts w:ascii="Arial" w:eastAsia="宋体" w:hAnsi="Arial" w:cs="Arial"/>
          <w:kern w:val="0"/>
          <w:sz w:val="20"/>
          <w:szCs w:val="20"/>
        </w:rPr>
        <w:t>)</w:t>
      </w:r>
      <w:r w:rsidRPr="00094924">
        <w:rPr>
          <w:rFonts w:ascii="Arial" w:eastAsia="宋体" w:hAnsi="Arial" w:cs="Arial"/>
          <w:kern w:val="0"/>
          <w:sz w:val="20"/>
          <w:szCs w:val="20"/>
        </w:rPr>
        <w:t>过程中应严密观察患者有无胃肠道和肺部不良反应、中枢神经系统毒性以及心肌病。</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3.</w:t>
      </w:r>
      <w:r w:rsidRPr="00094924">
        <w:rPr>
          <w:rFonts w:ascii="Arial" w:eastAsia="宋体" w:hAnsi="Arial" w:cs="Arial"/>
          <w:kern w:val="0"/>
          <w:sz w:val="20"/>
          <w:szCs w:val="20"/>
        </w:rPr>
        <w:t>实验室检查：监测肝功能、全血细胞计数、血肌酸酐、血尿素氮、血尿酸。</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【药物过量】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过量的表现</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过量时的表现有严重的骨髓抑制、消化道毒性和呕吐。</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过量的处理</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无解毒药，应停止本药治疗，并采用支持治疗。</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lastRenderedPageBreak/>
        <w:t>【药理】</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药效学</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本药为嘧啶类抗代谢性抗肿瘤药，具有细胞周期特异性，对</w:t>
      </w:r>
      <w:r w:rsidRPr="00094924">
        <w:rPr>
          <w:rFonts w:ascii="Arial" w:eastAsia="宋体" w:hAnsi="Arial" w:cs="Arial"/>
          <w:kern w:val="0"/>
          <w:sz w:val="20"/>
          <w:szCs w:val="20"/>
        </w:rPr>
        <w:t>S</w:t>
      </w:r>
      <w:r w:rsidRPr="00094924">
        <w:rPr>
          <w:rFonts w:ascii="Arial" w:eastAsia="宋体" w:hAnsi="Arial" w:cs="Arial"/>
          <w:kern w:val="0"/>
          <w:sz w:val="20"/>
          <w:szCs w:val="20"/>
        </w:rPr>
        <w:t>期细胞最为敏感，通过抑制细胞</w:t>
      </w:r>
      <w:r w:rsidRPr="00094924">
        <w:rPr>
          <w:rFonts w:ascii="Arial" w:eastAsia="宋体" w:hAnsi="Arial" w:cs="Arial"/>
          <w:kern w:val="0"/>
          <w:sz w:val="20"/>
          <w:szCs w:val="20"/>
        </w:rPr>
        <w:t>DNA</w:t>
      </w:r>
      <w:r w:rsidRPr="00094924">
        <w:rPr>
          <w:rFonts w:ascii="Arial" w:eastAsia="宋体" w:hAnsi="Arial" w:cs="Arial"/>
          <w:kern w:val="0"/>
          <w:sz w:val="20"/>
          <w:szCs w:val="20"/>
        </w:rPr>
        <w:t>的合成而干扰细胞的增殖。本药进入人体后经激酶磷酸化后转变为阿糖胞苷三磷酸及阿糖胞苷二磷酸，前者能强有力地抑制</w:t>
      </w:r>
      <w:r w:rsidRPr="00094924">
        <w:rPr>
          <w:rFonts w:ascii="Arial" w:eastAsia="宋体" w:hAnsi="Arial" w:cs="Arial"/>
          <w:kern w:val="0"/>
          <w:sz w:val="20"/>
          <w:szCs w:val="20"/>
        </w:rPr>
        <w:t>DNA</w:t>
      </w:r>
      <w:r w:rsidRPr="00094924">
        <w:rPr>
          <w:rFonts w:ascii="Arial" w:eastAsia="宋体" w:hAnsi="Arial" w:cs="Arial"/>
          <w:kern w:val="0"/>
          <w:sz w:val="20"/>
          <w:szCs w:val="20"/>
        </w:rPr>
        <w:t>聚合酶的合成，后者能抑制二磷酸胞苷转变为二磷酸脱氧胞苷，从而抑制细胞</w:t>
      </w:r>
      <w:r w:rsidRPr="00094924">
        <w:rPr>
          <w:rFonts w:ascii="Arial" w:eastAsia="宋体" w:hAnsi="Arial" w:cs="Arial"/>
          <w:kern w:val="0"/>
          <w:sz w:val="20"/>
          <w:szCs w:val="20"/>
        </w:rPr>
        <w:t>DNA</w:t>
      </w:r>
      <w:r w:rsidRPr="00094924">
        <w:rPr>
          <w:rFonts w:ascii="Arial" w:eastAsia="宋体" w:hAnsi="Arial" w:cs="Arial"/>
          <w:kern w:val="0"/>
          <w:sz w:val="20"/>
          <w:szCs w:val="20"/>
        </w:rPr>
        <w:t>的合成及聚合。对</w:t>
      </w:r>
      <w:r w:rsidRPr="00094924">
        <w:rPr>
          <w:rFonts w:ascii="Arial" w:eastAsia="宋体" w:hAnsi="Arial" w:cs="Arial"/>
          <w:kern w:val="0"/>
          <w:sz w:val="20"/>
          <w:szCs w:val="20"/>
        </w:rPr>
        <w:t>RNA</w:t>
      </w:r>
      <w:r w:rsidRPr="00094924">
        <w:rPr>
          <w:rFonts w:ascii="Arial" w:eastAsia="宋体" w:hAnsi="Arial" w:cs="Arial"/>
          <w:kern w:val="0"/>
          <w:sz w:val="20"/>
          <w:szCs w:val="20"/>
        </w:rPr>
        <w:t>及蛋白质合成的抑制作用则十分轻微。此外，本药对单纯疱疹病毒、牛痘病毒的繁殖亦有抑制作用。</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药动学</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本药口服吸收量少，又极易在胃肠道黏膜及肝脏的胞嘧啶脱氨酶作用下脱氨而失去活性，故不宜口服。可经静脉、皮下、肌内或鞘内注射而吸收。静脉注射后能广泛分布于体液、组织及细胞内。静脉滴注后约有中等量的药物透入血</w:t>
      </w:r>
      <w:r w:rsidRPr="00094924">
        <w:rPr>
          <w:rFonts w:ascii="Arial" w:eastAsia="宋体" w:hAnsi="Arial" w:cs="Arial"/>
          <w:kern w:val="0"/>
          <w:sz w:val="20"/>
          <w:szCs w:val="20"/>
        </w:rPr>
        <w:t>-</w:t>
      </w:r>
      <w:r w:rsidRPr="00094924">
        <w:rPr>
          <w:rFonts w:ascii="Arial" w:eastAsia="宋体" w:hAnsi="Arial" w:cs="Arial"/>
          <w:kern w:val="0"/>
          <w:sz w:val="20"/>
          <w:szCs w:val="20"/>
        </w:rPr>
        <w:t>脑脊液屏障，脑脊液中药物浓度约为血药浓度的</w:t>
      </w:r>
      <w:r w:rsidRPr="00094924">
        <w:rPr>
          <w:rFonts w:ascii="Arial" w:eastAsia="宋体" w:hAnsi="Arial" w:cs="Arial"/>
          <w:kern w:val="0"/>
          <w:sz w:val="20"/>
          <w:szCs w:val="20"/>
        </w:rPr>
        <w:t>40%</w:t>
      </w:r>
      <w:r w:rsidRPr="00094924">
        <w:rPr>
          <w:rFonts w:ascii="Arial" w:eastAsia="宋体" w:hAnsi="Arial" w:cs="Arial"/>
          <w:kern w:val="0"/>
          <w:sz w:val="20"/>
          <w:szCs w:val="20"/>
        </w:rPr>
        <w:t>。本药在肝、肾等组织内代谢，被胞嘧啶脱氨酶迅速脱氨而形成无活性的尿嘧啶阿拉伯糖苷，在脑脊液内，由于该脱氨酶含量较低，故其脱氨作用较缓慢。静脉给药时，半衰期</w:t>
      </w:r>
      <w:r w:rsidRPr="00094924">
        <w:rPr>
          <w:rFonts w:ascii="Arial" w:eastAsia="宋体" w:hAnsi="Arial" w:cs="Arial"/>
          <w:kern w:val="0"/>
          <w:sz w:val="20"/>
          <w:szCs w:val="20"/>
        </w:rPr>
        <w:t>α</w:t>
      </w:r>
      <w:r w:rsidRPr="00094924">
        <w:rPr>
          <w:rFonts w:ascii="Arial" w:eastAsia="宋体" w:hAnsi="Arial" w:cs="Arial"/>
          <w:kern w:val="0"/>
          <w:sz w:val="20"/>
          <w:szCs w:val="20"/>
        </w:rPr>
        <w:t>相为</w:t>
      </w:r>
      <w:r w:rsidRPr="00094924">
        <w:rPr>
          <w:rFonts w:ascii="Arial" w:eastAsia="宋体" w:hAnsi="Arial" w:cs="Arial"/>
          <w:kern w:val="0"/>
          <w:sz w:val="20"/>
          <w:szCs w:val="20"/>
        </w:rPr>
        <w:t>10-15</w:t>
      </w:r>
      <w:r w:rsidRPr="00094924">
        <w:rPr>
          <w:rFonts w:ascii="Arial" w:eastAsia="宋体" w:hAnsi="Arial" w:cs="Arial"/>
          <w:kern w:val="0"/>
          <w:sz w:val="20"/>
          <w:szCs w:val="20"/>
        </w:rPr>
        <w:t>分钟，</w:t>
      </w:r>
      <w:r w:rsidRPr="00094924">
        <w:rPr>
          <w:rFonts w:ascii="Arial" w:eastAsia="宋体" w:hAnsi="Arial" w:cs="Arial"/>
          <w:kern w:val="0"/>
          <w:sz w:val="20"/>
          <w:szCs w:val="20"/>
        </w:rPr>
        <w:t>β</w:t>
      </w:r>
      <w:r w:rsidRPr="00094924">
        <w:rPr>
          <w:rFonts w:ascii="Arial" w:eastAsia="宋体" w:hAnsi="Arial" w:cs="Arial"/>
          <w:kern w:val="0"/>
          <w:sz w:val="20"/>
          <w:szCs w:val="20"/>
        </w:rPr>
        <w:t>相为</w:t>
      </w:r>
      <w:r w:rsidRPr="00094924">
        <w:rPr>
          <w:rFonts w:ascii="Arial" w:eastAsia="宋体" w:hAnsi="Arial" w:cs="Arial"/>
          <w:kern w:val="0"/>
          <w:sz w:val="20"/>
          <w:szCs w:val="20"/>
        </w:rPr>
        <w:t>2-2.5</w:t>
      </w:r>
      <w:r w:rsidRPr="00094924">
        <w:rPr>
          <w:rFonts w:ascii="Arial" w:eastAsia="宋体" w:hAnsi="Arial" w:cs="Arial"/>
          <w:kern w:val="0"/>
          <w:sz w:val="20"/>
          <w:szCs w:val="20"/>
        </w:rPr>
        <w:t>小时；鞘内给药时，半衰期可延至</w:t>
      </w:r>
      <w:r w:rsidRPr="00094924">
        <w:rPr>
          <w:rFonts w:ascii="Arial" w:eastAsia="宋体" w:hAnsi="Arial" w:cs="Arial"/>
          <w:kern w:val="0"/>
          <w:sz w:val="20"/>
          <w:szCs w:val="20"/>
        </w:rPr>
        <w:t>11</w:t>
      </w:r>
      <w:r w:rsidRPr="00094924">
        <w:rPr>
          <w:rFonts w:ascii="Arial" w:eastAsia="宋体" w:hAnsi="Arial" w:cs="Arial"/>
          <w:kern w:val="0"/>
          <w:sz w:val="20"/>
          <w:szCs w:val="20"/>
        </w:rPr>
        <w:t>小时。在</w:t>
      </w:r>
      <w:r w:rsidRPr="00094924">
        <w:rPr>
          <w:rFonts w:ascii="Arial" w:eastAsia="宋体" w:hAnsi="Arial" w:cs="Arial"/>
          <w:kern w:val="0"/>
          <w:sz w:val="20"/>
          <w:szCs w:val="20"/>
        </w:rPr>
        <w:t>24</w:t>
      </w:r>
      <w:r w:rsidRPr="00094924">
        <w:rPr>
          <w:rFonts w:ascii="Arial" w:eastAsia="宋体" w:hAnsi="Arial" w:cs="Arial"/>
          <w:kern w:val="0"/>
          <w:sz w:val="20"/>
          <w:szCs w:val="20"/>
        </w:rPr>
        <w:t>小时内，所给药物中，约</w:t>
      </w:r>
      <w:r w:rsidRPr="00094924">
        <w:rPr>
          <w:rFonts w:ascii="Arial" w:eastAsia="宋体" w:hAnsi="Arial" w:cs="Arial"/>
          <w:kern w:val="0"/>
          <w:sz w:val="20"/>
          <w:szCs w:val="20"/>
        </w:rPr>
        <w:t>10%</w:t>
      </w:r>
      <w:r w:rsidRPr="00094924">
        <w:rPr>
          <w:rFonts w:ascii="Arial" w:eastAsia="宋体" w:hAnsi="Arial" w:cs="Arial"/>
          <w:kern w:val="0"/>
          <w:sz w:val="20"/>
          <w:szCs w:val="20"/>
        </w:rPr>
        <w:t>以药物原形、</w:t>
      </w:r>
      <w:r w:rsidRPr="00094924">
        <w:rPr>
          <w:rFonts w:ascii="Arial" w:eastAsia="宋体" w:hAnsi="Arial" w:cs="Arial"/>
          <w:kern w:val="0"/>
          <w:sz w:val="20"/>
          <w:szCs w:val="20"/>
        </w:rPr>
        <w:t>90%</w:t>
      </w:r>
      <w:r w:rsidRPr="00094924">
        <w:rPr>
          <w:rFonts w:ascii="Arial" w:eastAsia="宋体" w:hAnsi="Arial" w:cs="Arial"/>
          <w:kern w:val="0"/>
          <w:sz w:val="20"/>
          <w:szCs w:val="20"/>
        </w:rPr>
        <w:t>以尿嘧啶阿糖胞苷形式经肾脏排泄。</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遗传、生殖毒性与致癌性</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遗传毒性</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有本药导致广泛性染色体损害的报道，包括拟染色体断裂和啮齿类动物细胞恶性转化。</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生殖毒性</w:t>
      </w:r>
      <w:r w:rsidRPr="00094924">
        <w:rPr>
          <w:rFonts w:ascii="Arial" w:eastAsia="宋体" w:hAnsi="Arial" w:cs="Arial"/>
          <w:kern w:val="0"/>
          <w:sz w:val="20"/>
          <w:szCs w:val="20"/>
        </w:rPr>
        <w:t xml:space="preserve">  </w:t>
      </w:r>
      <w:r w:rsidRPr="00094924">
        <w:rPr>
          <w:rFonts w:ascii="Arial" w:eastAsia="宋体" w:hAnsi="Arial" w:cs="Arial"/>
          <w:kern w:val="0"/>
          <w:sz w:val="20"/>
          <w:szCs w:val="20"/>
        </w:rPr>
        <w:t>本药能导致仓鼠新生幼仔小脑发育异常，对大鼠胎仔有致畸性。</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【制剂与规格】</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阿糖胞苷注射液</w:t>
      </w:r>
      <w:r w:rsidRPr="00094924">
        <w:rPr>
          <w:rFonts w:ascii="Arial" w:eastAsia="宋体" w:hAnsi="Arial" w:cs="Arial"/>
          <w:kern w:val="0"/>
          <w:sz w:val="20"/>
          <w:szCs w:val="20"/>
        </w:rPr>
        <w:t xml:space="preserve">  (1)1ml:100mg</w:t>
      </w:r>
      <w:r w:rsidRPr="00094924">
        <w:rPr>
          <w:rFonts w:ascii="Arial" w:eastAsia="宋体" w:hAnsi="Arial" w:cs="Arial"/>
          <w:kern w:val="0"/>
          <w:sz w:val="20"/>
          <w:szCs w:val="20"/>
        </w:rPr>
        <w:t>。</w:t>
      </w:r>
      <w:r w:rsidRPr="00094924">
        <w:rPr>
          <w:rFonts w:ascii="Arial" w:eastAsia="宋体" w:hAnsi="Arial" w:cs="Arial"/>
          <w:kern w:val="0"/>
          <w:sz w:val="20"/>
          <w:szCs w:val="20"/>
        </w:rPr>
        <w:t>(2)5ml:100mg</w:t>
      </w:r>
      <w:r w:rsidRPr="00094924">
        <w:rPr>
          <w:rFonts w:ascii="Arial" w:eastAsia="宋体" w:hAnsi="Arial" w:cs="Arial"/>
          <w:kern w:val="0"/>
          <w:sz w:val="20"/>
          <w:szCs w:val="20"/>
        </w:rPr>
        <w:t>。</w:t>
      </w:r>
      <w:r w:rsidRPr="00094924">
        <w:rPr>
          <w:rFonts w:ascii="Arial" w:eastAsia="宋体" w:hAnsi="Arial" w:cs="Arial"/>
          <w:kern w:val="0"/>
          <w:sz w:val="20"/>
          <w:szCs w:val="20"/>
        </w:rPr>
        <w:t>(3)10ml:500mg</w:t>
      </w:r>
      <w:r w:rsidRPr="00094924">
        <w:rPr>
          <w:rFonts w:ascii="Arial" w:eastAsia="宋体" w:hAnsi="Arial" w:cs="Arial"/>
          <w:kern w:val="0"/>
          <w:sz w:val="20"/>
          <w:szCs w:val="20"/>
        </w:rPr>
        <w:t>。</w:t>
      </w:r>
      <w:r w:rsidRPr="00094924">
        <w:rPr>
          <w:rFonts w:ascii="Arial" w:eastAsia="宋体" w:hAnsi="Arial" w:cs="Arial"/>
          <w:kern w:val="0"/>
          <w:sz w:val="20"/>
          <w:szCs w:val="20"/>
        </w:rPr>
        <w:t>(4)10ml:1g</w:t>
      </w:r>
      <w:r w:rsidRPr="00094924">
        <w:rPr>
          <w:rFonts w:ascii="Arial" w:eastAsia="宋体" w:hAnsi="Arial" w:cs="Arial"/>
          <w:kern w:val="0"/>
          <w:sz w:val="20"/>
          <w:szCs w:val="20"/>
        </w:rPr>
        <w:t>。</w:t>
      </w:r>
      <w:r w:rsidRPr="00094924">
        <w:rPr>
          <w:rFonts w:ascii="Arial" w:eastAsia="宋体" w:hAnsi="Arial" w:cs="Arial"/>
          <w:kern w:val="0"/>
          <w:sz w:val="20"/>
          <w:szCs w:val="20"/>
        </w:rPr>
        <w:t>(5)20ml:1g</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注射用阿糖胞苷</w:t>
      </w:r>
      <w:r w:rsidRPr="00094924">
        <w:rPr>
          <w:rFonts w:ascii="Arial" w:eastAsia="宋体" w:hAnsi="Arial" w:cs="Arial"/>
          <w:kern w:val="0"/>
          <w:sz w:val="20"/>
          <w:szCs w:val="20"/>
        </w:rPr>
        <w:t xml:space="preserve">  (1)100mg</w:t>
      </w:r>
      <w:r w:rsidRPr="00094924">
        <w:rPr>
          <w:rFonts w:ascii="Arial" w:eastAsia="宋体" w:hAnsi="Arial" w:cs="Arial"/>
          <w:kern w:val="0"/>
          <w:sz w:val="20"/>
          <w:szCs w:val="20"/>
        </w:rPr>
        <w:t>。</w:t>
      </w:r>
      <w:r w:rsidRPr="00094924">
        <w:rPr>
          <w:rFonts w:ascii="Arial" w:eastAsia="宋体" w:hAnsi="Arial" w:cs="Arial"/>
          <w:kern w:val="0"/>
          <w:sz w:val="20"/>
          <w:szCs w:val="20"/>
        </w:rPr>
        <w:t>(2)500mg</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注射用盐酸阿糖胞苷</w:t>
      </w:r>
      <w:r w:rsidRPr="00094924">
        <w:rPr>
          <w:rFonts w:ascii="Arial" w:eastAsia="宋体" w:hAnsi="Arial" w:cs="Arial"/>
          <w:kern w:val="0"/>
          <w:sz w:val="20"/>
          <w:szCs w:val="20"/>
        </w:rPr>
        <w:t xml:space="preserve">  (1)50mg</w:t>
      </w:r>
      <w:r w:rsidRPr="00094924">
        <w:rPr>
          <w:rFonts w:ascii="Arial" w:eastAsia="宋体" w:hAnsi="Arial" w:cs="Arial"/>
          <w:kern w:val="0"/>
          <w:sz w:val="20"/>
          <w:szCs w:val="20"/>
        </w:rPr>
        <w:t>。</w:t>
      </w:r>
      <w:r w:rsidRPr="00094924">
        <w:rPr>
          <w:rFonts w:ascii="Arial" w:eastAsia="宋体" w:hAnsi="Arial" w:cs="Arial"/>
          <w:kern w:val="0"/>
          <w:sz w:val="20"/>
          <w:szCs w:val="20"/>
        </w:rPr>
        <w:t>(2)100mg</w:t>
      </w:r>
      <w:r w:rsidRPr="00094924">
        <w:rPr>
          <w:rFonts w:ascii="Arial" w:eastAsia="宋体" w:hAnsi="Arial" w:cs="Arial"/>
          <w:kern w:val="0"/>
          <w:sz w:val="20"/>
          <w:szCs w:val="20"/>
        </w:rPr>
        <w:t>。</w:t>
      </w:r>
      <w:r w:rsidRPr="00094924">
        <w:rPr>
          <w:rFonts w:ascii="Arial" w:eastAsia="宋体" w:hAnsi="Arial" w:cs="Arial"/>
          <w:kern w:val="0"/>
          <w:sz w:val="20"/>
          <w:szCs w:val="20"/>
        </w:rPr>
        <w:t>(3)300mg</w:t>
      </w:r>
      <w:r w:rsidRPr="00094924">
        <w:rPr>
          <w:rFonts w:ascii="Arial" w:eastAsia="宋体" w:hAnsi="Arial" w:cs="Arial"/>
          <w:kern w:val="0"/>
          <w:sz w:val="20"/>
          <w:szCs w:val="20"/>
        </w:rPr>
        <w:t>。</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b/>
          <w:bCs/>
          <w:kern w:val="0"/>
          <w:sz w:val="20"/>
          <w:szCs w:val="20"/>
        </w:rPr>
        <w:t>【贮藏】</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注射液：室温</w:t>
      </w:r>
      <w:r w:rsidRPr="00094924">
        <w:rPr>
          <w:rFonts w:ascii="Arial" w:eastAsia="宋体" w:hAnsi="Arial" w:cs="Arial"/>
          <w:kern w:val="0"/>
          <w:sz w:val="20"/>
          <w:szCs w:val="20"/>
        </w:rPr>
        <w:t>25</w:t>
      </w:r>
      <w:r w:rsidRPr="00094924">
        <w:rPr>
          <w:rFonts w:ascii="微软雅黑" w:eastAsia="微软雅黑" w:hAnsi="微软雅黑" w:cs="微软雅黑" w:hint="eastAsia"/>
          <w:kern w:val="0"/>
          <w:sz w:val="20"/>
          <w:szCs w:val="20"/>
        </w:rPr>
        <w:t>℃</w:t>
      </w:r>
      <w:r w:rsidRPr="00094924">
        <w:rPr>
          <w:rFonts w:ascii="Arial" w:eastAsia="宋体" w:hAnsi="Arial" w:cs="Arial"/>
          <w:kern w:val="0"/>
          <w:sz w:val="20"/>
          <w:szCs w:val="20"/>
        </w:rPr>
        <w:t>下干燥处保存。</w:t>
      </w:r>
    </w:p>
    <w:p w:rsidR="00094924" w:rsidRPr="00094924" w:rsidRDefault="00094924" w:rsidP="00094924">
      <w:pPr>
        <w:widowControl/>
        <w:spacing w:before="150" w:after="150" w:line="336" w:lineRule="auto"/>
        <w:jc w:val="left"/>
        <w:rPr>
          <w:rFonts w:ascii="Arial" w:eastAsia="宋体" w:hAnsi="Arial" w:cs="Arial"/>
          <w:kern w:val="0"/>
          <w:sz w:val="20"/>
          <w:szCs w:val="20"/>
        </w:rPr>
      </w:pPr>
      <w:r w:rsidRPr="00094924">
        <w:rPr>
          <w:rFonts w:ascii="Arial" w:eastAsia="宋体" w:hAnsi="Arial" w:cs="Arial"/>
          <w:kern w:val="0"/>
          <w:sz w:val="20"/>
          <w:szCs w:val="20"/>
        </w:rPr>
        <w:t>粉针剂：遮光、密封，冷处保存。</w:t>
      </w:r>
    </w:p>
    <w:p w:rsidR="00094924" w:rsidRPr="00094924" w:rsidRDefault="00094924" w:rsidP="00094924">
      <w:pPr>
        <w:widowControl/>
        <w:jc w:val="center"/>
        <w:rPr>
          <w:rFonts w:ascii="Arial" w:eastAsia="宋体" w:hAnsi="Arial" w:cs="Arial"/>
          <w:kern w:val="0"/>
          <w:sz w:val="20"/>
          <w:szCs w:val="20"/>
        </w:rPr>
      </w:pPr>
      <w:r w:rsidRPr="00094924">
        <w:rPr>
          <w:rFonts w:ascii="Arial" w:eastAsia="宋体" w:hAnsi="Arial" w:cs="Arial"/>
          <w:kern w:val="0"/>
          <w:sz w:val="20"/>
          <w:szCs w:val="20"/>
        </w:rPr>
        <w:lastRenderedPageBreak/>
        <w:t>使用</w:t>
      </w:r>
      <w:r w:rsidRPr="00094924">
        <w:rPr>
          <w:rFonts w:ascii="Arial" w:eastAsia="宋体" w:hAnsi="Arial" w:cs="Arial"/>
          <w:kern w:val="0"/>
          <w:sz w:val="20"/>
          <w:szCs w:val="20"/>
        </w:rPr>
        <w:t>UpToDate</w:t>
      </w:r>
      <w:r w:rsidRPr="00094924">
        <w:rPr>
          <w:rFonts w:ascii="Arial" w:eastAsia="宋体" w:hAnsi="Arial" w:cs="Arial"/>
          <w:kern w:val="0"/>
          <w:sz w:val="20"/>
          <w:szCs w:val="20"/>
        </w:rPr>
        <w:t>临床顾问须遵循</w:t>
      </w:r>
      <w:hyperlink r:id="rId4" w:tgtFrame="_blank" w:history="1">
        <w:r w:rsidRPr="00094924">
          <w:rPr>
            <w:rFonts w:ascii="Arial" w:eastAsia="宋体" w:hAnsi="Arial" w:cs="Arial"/>
            <w:color w:val="336633"/>
            <w:kern w:val="0"/>
            <w:sz w:val="20"/>
            <w:szCs w:val="20"/>
            <w:u w:val="single"/>
          </w:rPr>
          <w:t>用户协议</w:t>
        </w:r>
      </w:hyperlink>
      <w:r w:rsidRPr="00094924">
        <w:rPr>
          <w:rFonts w:ascii="Arial" w:eastAsia="宋体" w:hAnsi="Arial" w:cs="Arial"/>
          <w:kern w:val="0"/>
          <w:sz w:val="20"/>
          <w:szCs w:val="20"/>
        </w:rPr>
        <w:t>。</w:t>
      </w:r>
      <w:r w:rsidRPr="00094924">
        <w:rPr>
          <w:rFonts w:ascii="Arial" w:eastAsia="宋体" w:hAnsi="Arial" w:cs="Arial"/>
          <w:kern w:val="0"/>
          <w:sz w:val="20"/>
          <w:szCs w:val="20"/>
        </w:rPr>
        <w:t xml:space="preserve"> </w:t>
      </w:r>
    </w:p>
    <w:p w:rsidR="00094924" w:rsidRPr="00094924" w:rsidRDefault="00094924" w:rsidP="00094924">
      <w:pPr>
        <w:widowControl/>
        <w:jc w:val="left"/>
        <w:rPr>
          <w:rFonts w:ascii="Arial" w:eastAsia="宋体" w:hAnsi="Arial" w:cs="Arial"/>
          <w:kern w:val="0"/>
          <w:sz w:val="20"/>
          <w:szCs w:val="20"/>
        </w:rPr>
      </w:pPr>
      <w:r w:rsidRPr="00094924">
        <w:rPr>
          <w:rFonts w:ascii="Arial" w:eastAsia="宋体" w:hAnsi="Arial" w:cs="Arial"/>
          <w:kern w:val="0"/>
          <w:sz w:val="20"/>
          <w:szCs w:val="20"/>
        </w:rPr>
        <w:t>专题</w:t>
      </w:r>
      <w:r w:rsidRPr="00094924">
        <w:rPr>
          <w:rFonts w:ascii="Arial" w:eastAsia="宋体" w:hAnsi="Arial" w:cs="Arial"/>
          <w:kern w:val="0"/>
          <w:sz w:val="20"/>
          <w:szCs w:val="20"/>
        </w:rPr>
        <w:t xml:space="preserve"> 92802 </w:t>
      </w:r>
      <w:r w:rsidRPr="00094924">
        <w:rPr>
          <w:rFonts w:ascii="Arial" w:eastAsia="宋体" w:hAnsi="Arial" w:cs="Arial"/>
          <w:kern w:val="0"/>
          <w:sz w:val="20"/>
          <w:szCs w:val="20"/>
        </w:rPr>
        <w:t>版本</w:t>
      </w:r>
      <w:r w:rsidRPr="00094924">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FD8"/>
    <w:rsid w:val="00094924"/>
    <w:rsid w:val="0048715B"/>
    <w:rsid w:val="00792049"/>
    <w:rsid w:val="00A3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A79EF-9258-42B8-835F-E919D7B7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094924"/>
    <w:rPr>
      <w:b/>
      <w:bCs/>
    </w:rPr>
  </w:style>
  <w:style w:type="character" w:customStyle="1" w:styleId="h22">
    <w:name w:val="h22"/>
    <w:basedOn w:val="a0"/>
    <w:rsid w:val="00094924"/>
    <w:rPr>
      <w:b/>
      <w:bCs/>
    </w:rPr>
  </w:style>
  <w:style w:type="character" w:customStyle="1" w:styleId="nowrap1">
    <w:name w:val="nowrap1"/>
    <w:basedOn w:val="a0"/>
    <w:rsid w:val="000949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793024">
      <w:bodyDiv w:val="1"/>
      <w:marLeft w:val="0"/>
      <w:marRight w:val="0"/>
      <w:marTop w:val="0"/>
      <w:marBottom w:val="0"/>
      <w:divBdr>
        <w:top w:val="none" w:sz="0" w:space="0" w:color="auto"/>
        <w:left w:val="none" w:sz="0" w:space="0" w:color="auto"/>
        <w:bottom w:val="none" w:sz="0" w:space="0" w:color="auto"/>
        <w:right w:val="none" w:sz="0" w:space="0" w:color="auto"/>
      </w:divBdr>
      <w:divsChild>
        <w:div w:id="111635168">
          <w:marLeft w:val="0"/>
          <w:marRight w:val="0"/>
          <w:marTop w:val="0"/>
          <w:marBottom w:val="0"/>
          <w:divBdr>
            <w:top w:val="none" w:sz="0" w:space="0" w:color="auto"/>
            <w:left w:val="none" w:sz="0" w:space="0" w:color="auto"/>
            <w:bottom w:val="none" w:sz="0" w:space="0" w:color="auto"/>
            <w:right w:val="none" w:sz="0" w:space="0" w:color="auto"/>
          </w:divBdr>
          <w:divsChild>
            <w:div w:id="585843683">
              <w:marLeft w:val="0"/>
              <w:marRight w:val="0"/>
              <w:marTop w:val="0"/>
              <w:marBottom w:val="0"/>
              <w:divBdr>
                <w:top w:val="none" w:sz="0" w:space="0" w:color="auto"/>
                <w:left w:val="none" w:sz="0" w:space="0" w:color="auto"/>
                <w:bottom w:val="none" w:sz="0" w:space="0" w:color="auto"/>
                <w:right w:val="none" w:sz="0" w:space="0" w:color="auto"/>
              </w:divBdr>
              <w:divsChild>
                <w:div w:id="241646544">
                  <w:marLeft w:val="450"/>
                  <w:marRight w:val="900"/>
                  <w:marTop w:val="450"/>
                  <w:marBottom w:val="450"/>
                  <w:divBdr>
                    <w:top w:val="none" w:sz="0" w:space="0" w:color="auto"/>
                    <w:left w:val="none" w:sz="0" w:space="0" w:color="auto"/>
                    <w:bottom w:val="none" w:sz="0" w:space="0" w:color="auto"/>
                    <w:right w:val="none" w:sz="0" w:space="0" w:color="auto"/>
                  </w:divBdr>
                  <w:divsChild>
                    <w:div w:id="1724056591">
                      <w:marLeft w:val="0"/>
                      <w:marRight w:val="0"/>
                      <w:marTop w:val="0"/>
                      <w:marBottom w:val="0"/>
                      <w:divBdr>
                        <w:top w:val="none" w:sz="0" w:space="0" w:color="auto"/>
                        <w:left w:val="none" w:sz="0" w:space="0" w:color="auto"/>
                        <w:bottom w:val="none" w:sz="0" w:space="0" w:color="auto"/>
                        <w:right w:val="none" w:sz="0" w:space="0" w:color="auto"/>
                      </w:divBdr>
                    </w:div>
                    <w:div w:id="856847331">
                      <w:marLeft w:val="0"/>
                      <w:marRight w:val="0"/>
                      <w:marTop w:val="0"/>
                      <w:marBottom w:val="0"/>
                      <w:divBdr>
                        <w:top w:val="none" w:sz="0" w:space="0" w:color="auto"/>
                        <w:left w:val="none" w:sz="0" w:space="0" w:color="auto"/>
                        <w:bottom w:val="none" w:sz="0" w:space="0" w:color="auto"/>
                        <w:right w:val="none" w:sz="0" w:space="0" w:color="auto"/>
                      </w:divBdr>
                    </w:div>
                    <w:div w:id="1732070645">
                      <w:marLeft w:val="0"/>
                      <w:marRight w:val="0"/>
                      <w:marTop w:val="480"/>
                      <w:marBottom w:val="480"/>
                      <w:divBdr>
                        <w:top w:val="none" w:sz="0" w:space="0" w:color="auto"/>
                        <w:left w:val="none" w:sz="0" w:space="0" w:color="auto"/>
                        <w:bottom w:val="none" w:sz="0" w:space="0" w:color="auto"/>
                        <w:right w:val="none" w:sz="0" w:space="0" w:color="auto"/>
                      </w:divBdr>
                    </w:div>
                    <w:div w:id="1870023559">
                      <w:marLeft w:val="0"/>
                      <w:marRight w:val="0"/>
                      <w:marTop w:val="0"/>
                      <w:marBottom w:val="0"/>
                      <w:divBdr>
                        <w:top w:val="none" w:sz="0" w:space="0" w:color="auto"/>
                        <w:left w:val="none" w:sz="0" w:space="0" w:color="auto"/>
                        <w:bottom w:val="none" w:sz="0" w:space="0" w:color="auto"/>
                        <w:right w:val="none" w:sz="0" w:space="0" w:color="auto"/>
                      </w:divBdr>
                      <w:divsChild>
                        <w:div w:id="20819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1033</Words>
  <Characters>5889</Characters>
  <Application>Microsoft Office Word</Application>
  <DocSecurity>0</DocSecurity>
  <Lines>49</Lines>
  <Paragraphs>13</Paragraphs>
  <ScaleCrop>false</ScaleCrop>
  <Company/>
  <LinksUpToDate>false</LinksUpToDate>
  <CharactersWithSpaces>6909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2015-02-09T03:40:00Z</dcterms:created>
  <dcterms:modified xsi:type="dcterms:W3CDTF">2015-02-09T03:40:00Z</dcterms:modified>
</cp:coreProperties>
</file>