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D5" w:rsidRPr="00B42C66" w:rsidRDefault="00DA41D5" w:rsidP="00B42C66">
      <w:pPr>
        <w:widowControl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kern w:val="0"/>
          <w:sz w:val="20"/>
          <w:szCs w:val="20"/>
        </w:rPr>
        <w:t>&lt;</w:t>
      </w: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吡嗪酰胺</w:t>
      </w:r>
      <w:r>
        <w:rPr>
          <w:rFonts w:ascii="Arial" w:hAnsi="Arial" w:cs="Arial"/>
          <w:b/>
          <w:bCs/>
          <w:kern w:val="0"/>
          <w:sz w:val="20"/>
          <w:szCs w:val="20"/>
        </w:rPr>
        <w:t>&gt;</w:t>
      </w:r>
    </w:p>
    <w:bookmarkEnd w:id="0"/>
    <w:p w:rsidR="00DA41D5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b/>
          <w:bCs/>
          <w:kern w:val="0"/>
          <w:sz w:val="20"/>
          <w:szCs w:val="20"/>
        </w:rPr>
      </w:pP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【药物名称】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中文通用名称：吡嗪酰胺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英文通用名称：</w:t>
      </w:r>
      <w:r w:rsidRPr="00B42C66">
        <w:rPr>
          <w:rFonts w:ascii="Arial" w:hAnsi="Arial" w:cs="Arial"/>
          <w:kern w:val="0"/>
          <w:sz w:val="20"/>
          <w:szCs w:val="20"/>
        </w:rPr>
        <w:t>Pyrazinamide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其他名称：异烟酰胺、</w:t>
      </w:r>
      <w:r w:rsidRPr="00B42C66">
        <w:rPr>
          <w:rFonts w:ascii="Arial" w:hAnsi="Arial" w:cs="Arial"/>
          <w:kern w:val="0"/>
          <w:sz w:val="20"/>
          <w:szCs w:val="20"/>
        </w:rPr>
        <w:t>Pyrafat</w:t>
      </w:r>
      <w:r w:rsidRPr="00B42C66">
        <w:rPr>
          <w:rFonts w:ascii="Arial" w:hAnsi="Arial" w:cs="Arial" w:hint="eastAsia"/>
          <w:kern w:val="0"/>
          <w:sz w:val="20"/>
          <w:szCs w:val="20"/>
        </w:rPr>
        <w:t>、</w:t>
      </w:r>
      <w:r w:rsidRPr="00B42C66">
        <w:rPr>
          <w:rFonts w:ascii="Arial" w:hAnsi="Arial" w:cs="Arial"/>
          <w:kern w:val="0"/>
          <w:sz w:val="20"/>
          <w:szCs w:val="20"/>
        </w:rPr>
        <w:t>Pyrazinamidum</w:t>
      </w:r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【药理分类】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抗感染药</w:t>
      </w:r>
      <w:r w:rsidRPr="00B42C66">
        <w:rPr>
          <w:rFonts w:ascii="Arial" w:hAnsi="Arial" w:cs="Arial"/>
          <w:kern w:val="0"/>
          <w:sz w:val="20"/>
          <w:szCs w:val="20"/>
        </w:rPr>
        <w:t>&gt;&gt;</w:t>
      </w:r>
      <w:r w:rsidRPr="00B42C66">
        <w:rPr>
          <w:rFonts w:ascii="Arial" w:hAnsi="Arial" w:cs="Arial" w:hint="eastAsia"/>
          <w:kern w:val="0"/>
          <w:sz w:val="20"/>
          <w:szCs w:val="20"/>
        </w:rPr>
        <w:t>抗分枝杆菌药</w:t>
      </w:r>
      <w:r w:rsidRPr="00B42C66">
        <w:rPr>
          <w:rFonts w:ascii="Arial" w:hAnsi="Arial" w:cs="Arial"/>
          <w:kern w:val="0"/>
          <w:sz w:val="20"/>
          <w:szCs w:val="20"/>
        </w:rPr>
        <w:t>&gt;&gt;</w:t>
      </w:r>
      <w:r w:rsidRPr="00B42C66">
        <w:rPr>
          <w:rFonts w:ascii="Arial" w:hAnsi="Arial" w:cs="Arial" w:hint="eastAsia"/>
          <w:kern w:val="0"/>
          <w:sz w:val="20"/>
          <w:szCs w:val="20"/>
        </w:rPr>
        <w:t>抗结核病药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【临床应用】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b/>
          <w:bCs/>
          <w:kern w:val="0"/>
          <w:sz w:val="20"/>
          <w:szCs w:val="20"/>
        </w:rPr>
        <w:t>CFDA</w:t>
      </w: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说明书适应症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与其他抗结核药</w:t>
      </w:r>
      <w:r w:rsidRPr="00B42C66">
        <w:rPr>
          <w:rFonts w:ascii="Arial" w:hAnsi="Arial" w:cs="Arial"/>
          <w:kern w:val="0"/>
          <w:sz w:val="20"/>
          <w:szCs w:val="20"/>
        </w:rPr>
        <w:t>(</w:t>
      </w:r>
      <w:r w:rsidRPr="00B42C66">
        <w:rPr>
          <w:rFonts w:ascii="Arial" w:hAnsi="Arial" w:cs="Arial" w:hint="eastAsia"/>
          <w:kern w:val="0"/>
          <w:sz w:val="20"/>
          <w:szCs w:val="20"/>
        </w:rPr>
        <w:t>如链霉素、异烟肼、利福平及乙胺丁醇</w:t>
      </w:r>
      <w:r w:rsidRPr="00B42C66">
        <w:rPr>
          <w:rFonts w:ascii="Arial" w:hAnsi="Arial" w:cs="Arial"/>
          <w:kern w:val="0"/>
          <w:sz w:val="20"/>
          <w:szCs w:val="20"/>
        </w:rPr>
        <w:t>)</w:t>
      </w:r>
      <w:r w:rsidRPr="00B42C66">
        <w:rPr>
          <w:rFonts w:ascii="Arial" w:hAnsi="Arial" w:cs="Arial" w:hint="eastAsia"/>
          <w:kern w:val="0"/>
          <w:sz w:val="20"/>
          <w:szCs w:val="20"/>
        </w:rPr>
        <w:t>联合用于治疗结核病。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【用法与用量】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成人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B42C66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·</w:t>
      </w:r>
      <w:r w:rsidRPr="00B42C66">
        <w:rPr>
          <w:rFonts w:ascii="Arial" w:hAnsi="Arial" w:cs="Arial" w:hint="eastAsia"/>
          <w:kern w:val="0"/>
          <w:sz w:val="20"/>
          <w:szCs w:val="20"/>
        </w:rPr>
        <w:t>结核病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(1)</w:t>
      </w:r>
      <w:r w:rsidRPr="00B42C66">
        <w:rPr>
          <w:rFonts w:ascii="Arial" w:hAnsi="Arial" w:cs="Arial" w:hint="eastAsia"/>
          <w:kern w:val="0"/>
          <w:sz w:val="20"/>
          <w:szCs w:val="20"/>
        </w:rPr>
        <w:t>与其他抗结核药合用，一日</w:t>
      </w:r>
      <w:r w:rsidRPr="00B42C66">
        <w:rPr>
          <w:rFonts w:ascii="Arial" w:hAnsi="Arial" w:cs="Arial"/>
          <w:kern w:val="0"/>
          <w:sz w:val="20"/>
          <w:szCs w:val="20"/>
        </w:rPr>
        <w:t>15-30mg/kg</w:t>
      </w:r>
      <w:r w:rsidRPr="00B42C66">
        <w:rPr>
          <w:rFonts w:ascii="Arial" w:hAnsi="Arial" w:cs="Arial" w:hint="eastAsia"/>
          <w:kern w:val="0"/>
          <w:sz w:val="20"/>
          <w:szCs w:val="20"/>
        </w:rPr>
        <w:t>，顿服，最大日剂量为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2g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；或一次</w:t>
      </w:r>
      <w:r w:rsidRPr="00B42C66">
        <w:rPr>
          <w:rFonts w:ascii="Arial" w:hAnsi="Arial" w:cs="Arial"/>
          <w:kern w:val="0"/>
          <w:sz w:val="20"/>
          <w:szCs w:val="20"/>
        </w:rPr>
        <w:t>50-70mg/kg</w:t>
      </w:r>
      <w:r w:rsidRPr="00B42C66">
        <w:rPr>
          <w:rFonts w:ascii="Arial" w:hAnsi="Arial" w:cs="Arial" w:hint="eastAsia"/>
          <w:kern w:val="0"/>
          <w:sz w:val="20"/>
          <w:szCs w:val="20"/>
        </w:rPr>
        <w:t>，每周</w:t>
      </w:r>
      <w:r w:rsidRPr="00B42C66">
        <w:rPr>
          <w:rFonts w:ascii="Arial" w:hAnsi="Arial" w:cs="Arial"/>
          <w:kern w:val="0"/>
          <w:sz w:val="20"/>
          <w:szCs w:val="20"/>
        </w:rPr>
        <w:t>2-3</w:t>
      </w:r>
      <w:r w:rsidRPr="00B42C66">
        <w:rPr>
          <w:rFonts w:ascii="Arial" w:hAnsi="Arial" w:cs="Arial" w:hint="eastAsia"/>
          <w:kern w:val="0"/>
          <w:sz w:val="20"/>
          <w:szCs w:val="20"/>
        </w:rPr>
        <w:t>次，每周服</w:t>
      </w:r>
      <w:r w:rsidRPr="00B42C66">
        <w:rPr>
          <w:rFonts w:ascii="Arial" w:hAnsi="Arial" w:cs="Arial"/>
          <w:kern w:val="0"/>
          <w:sz w:val="20"/>
          <w:szCs w:val="20"/>
        </w:rPr>
        <w:t>2</w:t>
      </w:r>
      <w:r w:rsidRPr="00B42C66">
        <w:rPr>
          <w:rFonts w:ascii="Arial" w:hAnsi="Arial" w:cs="Arial" w:hint="eastAsia"/>
          <w:kern w:val="0"/>
          <w:sz w:val="20"/>
          <w:szCs w:val="20"/>
        </w:rPr>
        <w:t>次者单次最大剂量为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4g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，每周</w:t>
      </w:r>
      <w:r w:rsidRPr="00B42C66">
        <w:rPr>
          <w:rFonts w:ascii="Arial" w:hAnsi="Arial" w:cs="Arial"/>
          <w:kern w:val="0"/>
          <w:sz w:val="20"/>
          <w:szCs w:val="20"/>
        </w:rPr>
        <w:t>3</w:t>
      </w:r>
      <w:r w:rsidRPr="00B42C66">
        <w:rPr>
          <w:rFonts w:ascii="Arial" w:hAnsi="Arial" w:cs="Arial" w:hint="eastAsia"/>
          <w:kern w:val="0"/>
          <w:sz w:val="20"/>
          <w:szCs w:val="20"/>
        </w:rPr>
        <w:t>次者单次最大剂量为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3g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  <w:r w:rsidRPr="00B42C66">
        <w:rPr>
          <w:rFonts w:ascii="Arial" w:hAnsi="Arial" w:cs="Arial"/>
          <w:kern w:val="0"/>
          <w:sz w:val="20"/>
          <w:szCs w:val="20"/>
        </w:rPr>
        <w:t>(2)</w:t>
      </w:r>
      <w:r w:rsidRPr="00B42C66">
        <w:rPr>
          <w:rFonts w:ascii="Arial" w:hAnsi="Arial" w:cs="Arial" w:hint="eastAsia"/>
          <w:kern w:val="0"/>
          <w:sz w:val="20"/>
          <w:szCs w:val="20"/>
        </w:rPr>
        <w:t>也可采用间歇疗法，一次</w:t>
      </w:r>
      <w:r w:rsidRPr="00B42C66">
        <w:rPr>
          <w:rFonts w:ascii="Arial" w:hAnsi="Arial" w:cs="Arial"/>
          <w:kern w:val="0"/>
          <w:sz w:val="20"/>
          <w:szCs w:val="20"/>
        </w:rPr>
        <w:t>50mg/kg</w:t>
      </w:r>
      <w:r w:rsidRPr="00B42C66">
        <w:rPr>
          <w:rFonts w:ascii="Arial" w:hAnsi="Arial" w:cs="Arial" w:hint="eastAsia"/>
          <w:kern w:val="0"/>
          <w:sz w:val="20"/>
          <w:szCs w:val="20"/>
        </w:rPr>
        <w:t>，一周</w:t>
      </w:r>
      <w:r w:rsidRPr="00B42C66">
        <w:rPr>
          <w:rFonts w:ascii="Arial" w:hAnsi="Arial" w:cs="Arial"/>
          <w:kern w:val="0"/>
          <w:sz w:val="20"/>
          <w:szCs w:val="20"/>
        </w:rPr>
        <w:t>2</w:t>
      </w:r>
      <w:r w:rsidRPr="00B42C66">
        <w:rPr>
          <w:rFonts w:ascii="Arial" w:hAnsi="Arial" w:cs="Arial" w:hint="eastAsia"/>
          <w:kern w:val="0"/>
          <w:sz w:val="20"/>
          <w:szCs w:val="20"/>
        </w:rPr>
        <w:t>次。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儿童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B42C66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·</w:t>
      </w:r>
      <w:r w:rsidRPr="00B42C66">
        <w:rPr>
          <w:rFonts w:ascii="Arial" w:hAnsi="Arial" w:cs="Arial" w:hint="eastAsia"/>
          <w:kern w:val="0"/>
          <w:sz w:val="20"/>
          <w:szCs w:val="20"/>
        </w:rPr>
        <w:t>结核病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一日</w:t>
      </w:r>
      <w:r w:rsidRPr="00B42C66">
        <w:rPr>
          <w:rFonts w:ascii="Arial" w:hAnsi="Arial" w:cs="Arial"/>
          <w:kern w:val="0"/>
          <w:sz w:val="20"/>
          <w:szCs w:val="20"/>
        </w:rPr>
        <w:t>20-30mg/kg</w:t>
      </w:r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【国外用法用量参考】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成人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B42C66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·</w:t>
      </w:r>
      <w:r w:rsidRPr="00B42C66">
        <w:rPr>
          <w:rFonts w:ascii="Arial" w:hAnsi="Arial" w:cs="Arial" w:hint="eastAsia"/>
          <w:kern w:val="0"/>
          <w:sz w:val="20"/>
          <w:szCs w:val="20"/>
        </w:rPr>
        <w:t>结核病</w:t>
      </w:r>
      <w:r w:rsidRPr="00B42C66">
        <w:rPr>
          <w:rFonts w:ascii="Arial" w:hAnsi="Arial" w:cs="Arial"/>
          <w:kern w:val="0"/>
          <w:sz w:val="20"/>
          <w:szCs w:val="20"/>
        </w:rPr>
        <w:t>[</w:t>
      </w:r>
      <w:r w:rsidRPr="00B42C66">
        <w:rPr>
          <w:rFonts w:ascii="Arial" w:hAnsi="Arial" w:cs="Arial" w:hint="eastAsia"/>
          <w:kern w:val="0"/>
          <w:sz w:val="20"/>
          <w:szCs w:val="20"/>
        </w:rPr>
        <w:t>包括人类免疫缺陷病毒</w:t>
      </w:r>
      <w:r w:rsidRPr="00B42C66">
        <w:rPr>
          <w:rFonts w:ascii="Arial" w:hAnsi="Arial" w:cs="Arial"/>
          <w:kern w:val="0"/>
          <w:sz w:val="20"/>
          <w:szCs w:val="20"/>
        </w:rPr>
        <w:t>(HIV)</w:t>
      </w:r>
      <w:r w:rsidRPr="00B42C66">
        <w:rPr>
          <w:rFonts w:ascii="Arial" w:hAnsi="Arial" w:cs="Arial" w:hint="eastAsia"/>
          <w:kern w:val="0"/>
          <w:sz w:val="20"/>
          <w:szCs w:val="20"/>
        </w:rPr>
        <w:t>感染者</w:t>
      </w:r>
      <w:r w:rsidRPr="00B42C66">
        <w:rPr>
          <w:rFonts w:ascii="Arial" w:hAnsi="Arial" w:cs="Arial"/>
          <w:kern w:val="0"/>
          <w:sz w:val="20"/>
          <w:szCs w:val="20"/>
        </w:rPr>
        <w:t>]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(1)</w:t>
      </w:r>
      <w:r w:rsidRPr="00B42C66">
        <w:rPr>
          <w:rFonts w:ascii="Arial" w:hAnsi="Arial" w:cs="Arial" w:hint="eastAsia"/>
          <w:kern w:val="0"/>
          <w:sz w:val="20"/>
          <w:szCs w:val="20"/>
        </w:rPr>
        <w:t>体重为</w:t>
      </w:r>
      <w:r w:rsidRPr="00B42C66">
        <w:rPr>
          <w:rFonts w:ascii="Arial" w:hAnsi="Arial" w:cs="Arial"/>
          <w:kern w:val="0"/>
          <w:sz w:val="20"/>
          <w:szCs w:val="20"/>
        </w:rPr>
        <w:t>40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5"/>
          <w:attr w:name="UnitName" w:val="k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-55kg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者，一次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1g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，一日</w:t>
      </w:r>
      <w:r w:rsidRPr="00B42C66">
        <w:rPr>
          <w:rFonts w:ascii="Arial" w:hAnsi="Arial" w:cs="Arial"/>
          <w:kern w:val="0"/>
          <w:sz w:val="20"/>
          <w:szCs w:val="20"/>
        </w:rPr>
        <w:t>1</w:t>
      </w:r>
      <w:r w:rsidRPr="00B42C66">
        <w:rPr>
          <w:rFonts w:ascii="Arial" w:hAnsi="Arial" w:cs="Arial" w:hint="eastAsia"/>
          <w:kern w:val="0"/>
          <w:sz w:val="20"/>
          <w:szCs w:val="20"/>
        </w:rPr>
        <w:t>次；或一次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1.5g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，一周</w:t>
      </w:r>
      <w:r w:rsidRPr="00B42C66">
        <w:rPr>
          <w:rFonts w:ascii="Arial" w:hAnsi="Arial" w:cs="Arial"/>
          <w:kern w:val="0"/>
          <w:sz w:val="20"/>
          <w:szCs w:val="20"/>
        </w:rPr>
        <w:t>3</w:t>
      </w:r>
      <w:r w:rsidRPr="00B42C66">
        <w:rPr>
          <w:rFonts w:ascii="Arial" w:hAnsi="Arial" w:cs="Arial" w:hint="eastAsia"/>
          <w:kern w:val="0"/>
          <w:sz w:val="20"/>
          <w:szCs w:val="20"/>
        </w:rPr>
        <w:t>次；或一次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2g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，一周</w:t>
      </w:r>
      <w:r w:rsidRPr="00B42C66">
        <w:rPr>
          <w:rFonts w:ascii="Arial" w:hAnsi="Arial" w:cs="Arial"/>
          <w:kern w:val="0"/>
          <w:sz w:val="20"/>
          <w:szCs w:val="20"/>
        </w:rPr>
        <w:t>2</w:t>
      </w:r>
      <w:r w:rsidRPr="00B42C66">
        <w:rPr>
          <w:rFonts w:ascii="Arial" w:hAnsi="Arial" w:cs="Arial" w:hint="eastAsia"/>
          <w:kern w:val="0"/>
          <w:sz w:val="20"/>
          <w:szCs w:val="20"/>
        </w:rPr>
        <w:t>次，与其他抗结核病药合用。一周</w:t>
      </w:r>
      <w:r w:rsidRPr="00B42C66">
        <w:rPr>
          <w:rFonts w:ascii="Arial" w:hAnsi="Arial" w:cs="Arial"/>
          <w:kern w:val="0"/>
          <w:sz w:val="20"/>
          <w:szCs w:val="20"/>
        </w:rPr>
        <w:t>2</w:t>
      </w:r>
      <w:r w:rsidRPr="00B42C66">
        <w:rPr>
          <w:rFonts w:ascii="Arial" w:hAnsi="Arial" w:cs="Arial" w:hint="eastAsia"/>
          <w:kern w:val="0"/>
          <w:sz w:val="20"/>
          <w:szCs w:val="20"/>
        </w:rPr>
        <w:t>次的剂量不适用于</w:t>
      </w:r>
      <w:r w:rsidRPr="00B42C66">
        <w:rPr>
          <w:rFonts w:ascii="Arial" w:hAnsi="Arial" w:cs="Arial"/>
          <w:kern w:val="0"/>
          <w:sz w:val="20"/>
          <w:szCs w:val="20"/>
        </w:rPr>
        <w:t>HIV</w:t>
      </w:r>
      <w:r w:rsidRPr="00B42C66">
        <w:rPr>
          <w:rFonts w:ascii="Arial" w:hAnsi="Arial" w:cs="Arial" w:hint="eastAsia"/>
          <w:kern w:val="0"/>
          <w:sz w:val="20"/>
          <w:szCs w:val="20"/>
        </w:rPr>
        <w:t>感染者中</w:t>
      </w:r>
      <w:r w:rsidRPr="00B42C66">
        <w:rPr>
          <w:rFonts w:ascii="Arial" w:hAnsi="Arial" w:cs="Arial"/>
          <w:kern w:val="0"/>
          <w:sz w:val="20"/>
          <w:szCs w:val="20"/>
        </w:rPr>
        <w:t>CD4</w:t>
      </w:r>
      <w:r w:rsidRPr="00B42C66">
        <w:rPr>
          <w:rFonts w:ascii="Arial" w:hAnsi="Arial" w:cs="Arial" w:hint="eastAsia"/>
          <w:kern w:val="0"/>
          <w:sz w:val="20"/>
          <w:szCs w:val="20"/>
        </w:rPr>
        <w:t>细胞计数小于</w:t>
      </w:r>
      <w:r w:rsidRPr="00B42C66">
        <w:rPr>
          <w:rFonts w:ascii="Arial" w:hAnsi="Arial" w:cs="Arial"/>
          <w:kern w:val="0"/>
          <w:sz w:val="20"/>
          <w:szCs w:val="20"/>
        </w:rPr>
        <w:t>100/μl</w:t>
      </w:r>
      <w:r w:rsidRPr="00B42C66">
        <w:rPr>
          <w:rFonts w:ascii="Arial" w:hAnsi="Arial" w:cs="Arial" w:hint="eastAsia"/>
          <w:kern w:val="0"/>
          <w:sz w:val="20"/>
          <w:szCs w:val="20"/>
        </w:rPr>
        <w:t>者。</w:t>
      </w:r>
      <w:r w:rsidRPr="00B42C66">
        <w:rPr>
          <w:rFonts w:ascii="Arial" w:hAnsi="Arial" w:cs="Arial"/>
          <w:kern w:val="0"/>
          <w:sz w:val="20"/>
          <w:szCs w:val="20"/>
        </w:rPr>
        <w:t>(2)</w:t>
      </w:r>
      <w:r w:rsidRPr="00B42C66">
        <w:rPr>
          <w:rFonts w:ascii="Arial" w:hAnsi="Arial" w:cs="Arial" w:hint="eastAsia"/>
          <w:kern w:val="0"/>
          <w:sz w:val="20"/>
          <w:szCs w:val="20"/>
        </w:rPr>
        <w:t>体重为</w:t>
      </w:r>
      <w:r w:rsidRPr="00B42C66">
        <w:rPr>
          <w:rFonts w:ascii="Arial" w:hAnsi="Arial" w:cs="Arial"/>
          <w:kern w:val="0"/>
          <w:sz w:val="20"/>
          <w:szCs w:val="20"/>
        </w:rPr>
        <w:t>56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5"/>
          <w:attr w:name="UnitName" w:val="k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-75kg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者，一次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1.5g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，一日</w:t>
      </w:r>
      <w:r w:rsidRPr="00B42C66">
        <w:rPr>
          <w:rFonts w:ascii="Arial" w:hAnsi="Arial" w:cs="Arial"/>
          <w:kern w:val="0"/>
          <w:sz w:val="20"/>
          <w:szCs w:val="20"/>
        </w:rPr>
        <w:t>1</w:t>
      </w:r>
      <w:r w:rsidRPr="00B42C66">
        <w:rPr>
          <w:rFonts w:ascii="Arial" w:hAnsi="Arial" w:cs="Arial" w:hint="eastAsia"/>
          <w:kern w:val="0"/>
          <w:sz w:val="20"/>
          <w:szCs w:val="20"/>
        </w:rPr>
        <w:t>次；或一次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2.5g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，一周</w:t>
      </w:r>
      <w:r w:rsidRPr="00B42C66">
        <w:rPr>
          <w:rFonts w:ascii="Arial" w:hAnsi="Arial" w:cs="Arial"/>
          <w:kern w:val="0"/>
          <w:sz w:val="20"/>
          <w:szCs w:val="20"/>
        </w:rPr>
        <w:t>3</w:t>
      </w:r>
      <w:r w:rsidRPr="00B42C66">
        <w:rPr>
          <w:rFonts w:ascii="Arial" w:hAnsi="Arial" w:cs="Arial" w:hint="eastAsia"/>
          <w:kern w:val="0"/>
          <w:sz w:val="20"/>
          <w:szCs w:val="20"/>
        </w:rPr>
        <w:t>次，或一次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3g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，一周</w:t>
      </w:r>
      <w:r w:rsidRPr="00B42C66">
        <w:rPr>
          <w:rFonts w:ascii="Arial" w:hAnsi="Arial" w:cs="Arial"/>
          <w:kern w:val="0"/>
          <w:sz w:val="20"/>
          <w:szCs w:val="20"/>
        </w:rPr>
        <w:t>2</w:t>
      </w:r>
      <w:r w:rsidRPr="00B42C66">
        <w:rPr>
          <w:rFonts w:ascii="Arial" w:hAnsi="Arial" w:cs="Arial" w:hint="eastAsia"/>
          <w:kern w:val="0"/>
          <w:sz w:val="20"/>
          <w:szCs w:val="20"/>
        </w:rPr>
        <w:t>次，与其他抗结核病药合用。一周</w:t>
      </w:r>
      <w:r w:rsidRPr="00B42C66">
        <w:rPr>
          <w:rFonts w:ascii="Arial" w:hAnsi="Arial" w:cs="Arial"/>
          <w:kern w:val="0"/>
          <w:sz w:val="20"/>
          <w:szCs w:val="20"/>
        </w:rPr>
        <w:t>2</w:t>
      </w:r>
      <w:r w:rsidRPr="00B42C66">
        <w:rPr>
          <w:rFonts w:ascii="Arial" w:hAnsi="Arial" w:cs="Arial" w:hint="eastAsia"/>
          <w:kern w:val="0"/>
          <w:sz w:val="20"/>
          <w:szCs w:val="20"/>
        </w:rPr>
        <w:t>次的剂量不适用于</w:t>
      </w:r>
      <w:r w:rsidRPr="00B42C66">
        <w:rPr>
          <w:rFonts w:ascii="Arial" w:hAnsi="Arial" w:cs="Arial"/>
          <w:kern w:val="0"/>
          <w:sz w:val="20"/>
          <w:szCs w:val="20"/>
        </w:rPr>
        <w:t>HIV</w:t>
      </w:r>
      <w:r w:rsidRPr="00B42C66">
        <w:rPr>
          <w:rFonts w:ascii="Arial" w:hAnsi="Arial" w:cs="Arial" w:hint="eastAsia"/>
          <w:kern w:val="0"/>
          <w:sz w:val="20"/>
          <w:szCs w:val="20"/>
        </w:rPr>
        <w:t>感染者中</w:t>
      </w:r>
      <w:r w:rsidRPr="00B42C66">
        <w:rPr>
          <w:rFonts w:ascii="Arial" w:hAnsi="Arial" w:cs="Arial"/>
          <w:kern w:val="0"/>
          <w:sz w:val="20"/>
          <w:szCs w:val="20"/>
        </w:rPr>
        <w:t>CD4</w:t>
      </w:r>
      <w:r w:rsidRPr="00B42C66">
        <w:rPr>
          <w:rFonts w:ascii="Arial" w:hAnsi="Arial" w:cs="Arial" w:hint="eastAsia"/>
          <w:kern w:val="0"/>
          <w:sz w:val="20"/>
          <w:szCs w:val="20"/>
        </w:rPr>
        <w:t>细胞计数小于</w:t>
      </w:r>
      <w:r w:rsidRPr="00B42C66">
        <w:rPr>
          <w:rFonts w:ascii="Arial" w:hAnsi="Arial" w:cs="Arial"/>
          <w:kern w:val="0"/>
          <w:sz w:val="20"/>
          <w:szCs w:val="20"/>
        </w:rPr>
        <w:t>100/μl</w:t>
      </w:r>
      <w:r w:rsidRPr="00B42C66">
        <w:rPr>
          <w:rFonts w:ascii="Arial" w:hAnsi="Arial" w:cs="Arial" w:hint="eastAsia"/>
          <w:kern w:val="0"/>
          <w:sz w:val="20"/>
          <w:szCs w:val="20"/>
        </w:rPr>
        <w:t>者。</w:t>
      </w:r>
      <w:r w:rsidRPr="00B42C66">
        <w:rPr>
          <w:rFonts w:ascii="Arial" w:hAnsi="Arial" w:cs="Arial"/>
          <w:kern w:val="0"/>
          <w:sz w:val="20"/>
          <w:szCs w:val="20"/>
        </w:rPr>
        <w:t>(3)</w:t>
      </w:r>
      <w:r w:rsidRPr="00B42C66">
        <w:rPr>
          <w:rFonts w:ascii="Arial" w:hAnsi="Arial" w:cs="Arial" w:hint="eastAsia"/>
          <w:kern w:val="0"/>
          <w:sz w:val="20"/>
          <w:szCs w:val="20"/>
        </w:rPr>
        <w:t>体重为</w:t>
      </w:r>
      <w:r w:rsidRPr="00B42C66">
        <w:rPr>
          <w:rFonts w:ascii="Arial" w:hAnsi="Arial" w:cs="Arial"/>
          <w:kern w:val="0"/>
          <w:sz w:val="20"/>
          <w:szCs w:val="20"/>
        </w:rPr>
        <w:t>76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0"/>
          <w:attr w:name="UnitName" w:val="k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-90kg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者，一次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2g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，一日</w:t>
      </w:r>
      <w:r w:rsidRPr="00B42C66">
        <w:rPr>
          <w:rFonts w:ascii="Arial" w:hAnsi="Arial" w:cs="Arial"/>
          <w:kern w:val="0"/>
          <w:sz w:val="20"/>
          <w:szCs w:val="20"/>
        </w:rPr>
        <w:t>1</w:t>
      </w:r>
      <w:r w:rsidRPr="00B42C66">
        <w:rPr>
          <w:rFonts w:ascii="Arial" w:hAnsi="Arial" w:cs="Arial" w:hint="eastAsia"/>
          <w:kern w:val="0"/>
          <w:sz w:val="20"/>
          <w:szCs w:val="20"/>
        </w:rPr>
        <w:t>次；或一次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3g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，一周</w:t>
      </w:r>
      <w:r w:rsidRPr="00B42C66">
        <w:rPr>
          <w:rFonts w:ascii="Arial" w:hAnsi="Arial" w:cs="Arial"/>
          <w:kern w:val="0"/>
          <w:sz w:val="20"/>
          <w:szCs w:val="20"/>
        </w:rPr>
        <w:t>3</w:t>
      </w:r>
      <w:r w:rsidRPr="00B42C66">
        <w:rPr>
          <w:rFonts w:ascii="Arial" w:hAnsi="Arial" w:cs="Arial" w:hint="eastAsia"/>
          <w:kern w:val="0"/>
          <w:sz w:val="20"/>
          <w:szCs w:val="20"/>
        </w:rPr>
        <w:t>次；或一次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4g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，一周</w:t>
      </w:r>
      <w:r w:rsidRPr="00B42C66">
        <w:rPr>
          <w:rFonts w:ascii="Arial" w:hAnsi="Arial" w:cs="Arial"/>
          <w:kern w:val="0"/>
          <w:sz w:val="20"/>
          <w:szCs w:val="20"/>
        </w:rPr>
        <w:t>2</w:t>
      </w:r>
      <w:r w:rsidRPr="00B42C66">
        <w:rPr>
          <w:rFonts w:ascii="Arial" w:hAnsi="Arial" w:cs="Arial" w:hint="eastAsia"/>
          <w:kern w:val="0"/>
          <w:sz w:val="20"/>
          <w:szCs w:val="20"/>
        </w:rPr>
        <w:t>次，与其他抗结核病药合用。一周</w:t>
      </w:r>
      <w:r w:rsidRPr="00B42C66">
        <w:rPr>
          <w:rFonts w:ascii="Arial" w:hAnsi="Arial" w:cs="Arial"/>
          <w:kern w:val="0"/>
          <w:sz w:val="20"/>
          <w:szCs w:val="20"/>
        </w:rPr>
        <w:t>2</w:t>
      </w:r>
      <w:r w:rsidRPr="00B42C66">
        <w:rPr>
          <w:rFonts w:ascii="Arial" w:hAnsi="Arial" w:cs="Arial" w:hint="eastAsia"/>
          <w:kern w:val="0"/>
          <w:sz w:val="20"/>
          <w:szCs w:val="20"/>
        </w:rPr>
        <w:t>次的剂量不适用于</w:t>
      </w:r>
      <w:r w:rsidRPr="00B42C66">
        <w:rPr>
          <w:rFonts w:ascii="Arial" w:hAnsi="Arial" w:cs="Arial"/>
          <w:kern w:val="0"/>
          <w:sz w:val="20"/>
          <w:szCs w:val="20"/>
        </w:rPr>
        <w:t>HIV</w:t>
      </w:r>
      <w:r w:rsidRPr="00B42C66">
        <w:rPr>
          <w:rFonts w:ascii="Arial" w:hAnsi="Arial" w:cs="Arial" w:hint="eastAsia"/>
          <w:kern w:val="0"/>
          <w:sz w:val="20"/>
          <w:szCs w:val="20"/>
        </w:rPr>
        <w:t>感染者中</w:t>
      </w:r>
      <w:r w:rsidRPr="00B42C66">
        <w:rPr>
          <w:rFonts w:ascii="Arial" w:hAnsi="Arial" w:cs="Arial"/>
          <w:kern w:val="0"/>
          <w:sz w:val="20"/>
          <w:szCs w:val="20"/>
        </w:rPr>
        <w:t>CD4</w:t>
      </w:r>
      <w:r w:rsidRPr="00B42C66">
        <w:rPr>
          <w:rFonts w:ascii="Arial" w:hAnsi="Arial" w:cs="Arial" w:hint="eastAsia"/>
          <w:kern w:val="0"/>
          <w:sz w:val="20"/>
          <w:szCs w:val="20"/>
        </w:rPr>
        <w:t>细胞计数小于</w:t>
      </w:r>
      <w:r w:rsidRPr="00B42C66">
        <w:rPr>
          <w:rFonts w:ascii="Arial" w:hAnsi="Arial" w:cs="Arial"/>
          <w:kern w:val="0"/>
          <w:sz w:val="20"/>
          <w:szCs w:val="20"/>
        </w:rPr>
        <w:t>100/μl</w:t>
      </w:r>
      <w:r w:rsidRPr="00B42C66">
        <w:rPr>
          <w:rFonts w:ascii="Arial" w:hAnsi="Arial" w:cs="Arial" w:hint="eastAsia"/>
          <w:kern w:val="0"/>
          <w:sz w:val="20"/>
          <w:szCs w:val="20"/>
        </w:rPr>
        <w:t>者。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B42C66">
        <w:rPr>
          <w:rFonts w:ascii="Arial" w:hAnsi="Arial" w:cs="Arial" w:hint="eastAsia"/>
          <w:kern w:val="0"/>
          <w:sz w:val="20"/>
          <w:szCs w:val="20"/>
        </w:rPr>
        <w:t>肾功能不全时剂量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感染</w:t>
      </w:r>
      <w:r w:rsidRPr="00B42C66">
        <w:rPr>
          <w:rFonts w:ascii="Arial" w:hAnsi="Arial" w:cs="Arial"/>
          <w:kern w:val="0"/>
          <w:sz w:val="20"/>
          <w:szCs w:val="20"/>
        </w:rPr>
        <w:t>HIV</w:t>
      </w:r>
      <w:r w:rsidRPr="00B42C66">
        <w:rPr>
          <w:rFonts w:ascii="Arial" w:hAnsi="Arial" w:cs="Arial" w:hint="eastAsia"/>
          <w:kern w:val="0"/>
          <w:sz w:val="20"/>
          <w:szCs w:val="20"/>
        </w:rPr>
        <w:t>的慢性肾病患者或终末期肾病患者</w:t>
      </w:r>
      <w:r w:rsidRPr="00B42C66">
        <w:rPr>
          <w:rFonts w:ascii="Arial" w:hAnsi="Arial" w:cs="Arial"/>
          <w:kern w:val="0"/>
          <w:sz w:val="20"/>
          <w:szCs w:val="20"/>
        </w:rPr>
        <w:t>(</w:t>
      </w:r>
      <w:r w:rsidRPr="00B42C66">
        <w:rPr>
          <w:rFonts w:ascii="Arial" w:hAnsi="Arial" w:cs="Arial" w:hint="eastAsia"/>
          <w:kern w:val="0"/>
          <w:sz w:val="20"/>
          <w:szCs w:val="20"/>
        </w:rPr>
        <w:t>肌酐清除率＜</w:t>
      </w:r>
      <w:r w:rsidRPr="00B42C66">
        <w:rPr>
          <w:rFonts w:ascii="Arial" w:hAnsi="Arial" w:cs="Arial"/>
          <w:kern w:val="0"/>
          <w:sz w:val="20"/>
          <w:szCs w:val="20"/>
        </w:rPr>
        <w:t>10ml/min)</w:t>
      </w:r>
      <w:r w:rsidRPr="00B42C66">
        <w:rPr>
          <w:rFonts w:ascii="Arial" w:hAnsi="Arial" w:cs="Arial" w:hint="eastAsia"/>
          <w:kern w:val="0"/>
          <w:sz w:val="20"/>
          <w:szCs w:val="20"/>
        </w:rPr>
        <w:t>使用常规剂量的</w:t>
      </w:r>
      <w:r w:rsidRPr="00B42C66">
        <w:rPr>
          <w:rFonts w:ascii="Arial" w:hAnsi="Arial" w:cs="Arial"/>
          <w:kern w:val="0"/>
          <w:sz w:val="20"/>
          <w:szCs w:val="20"/>
        </w:rPr>
        <w:t>50%-100%</w:t>
      </w:r>
      <w:r w:rsidRPr="00B42C66">
        <w:rPr>
          <w:rFonts w:ascii="Arial" w:hAnsi="Arial" w:cs="Arial" w:hint="eastAsia"/>
          <w:kern w:val="0"/>
          <w:sz w:val="20"/>
          <w:szCs w:val="20"/>
        </w:rPr>
        <w:t>，每</w:t>
      </w:r>
      <w:r w:rsidRPr="00B42C66">
        <w:rPr>
          <w:rFonts w:ascii="Arial" w:hAnsi="Arial" w:cs="Arial"/>
          <w:kern w:val="0"/>
          <w:sz w:val="20"/>
          <w:szCs w:val="20"/>
        </w:rPr>
        <w:t>24</w:t>
      </w:r>
      <w:r w:rsidRPr="00B42C66">
        <w:rPr>
          <w:rFonts w:ascii="Arial" w:hAnsi="Arial" w:cs="Arial" w:hint="eastAsia"/>
          <w:kern w:val="0"/>
          <w:sz w:val="20"/>
          <w:szCs w:val="20"/>
        </w:rPr>
        <w:t>小时</w:t>
      </w:r>
      <w:r w:rsidRPr="00B42C66">
        <w:rPr>
          <w:rFonts w:ascii="Arial" w:hAnsi="Arial" w:cs="Arial"/>
          <w:kern w:val="0"/>
          <w:sz w:val="20"/>
          <w:szCs w:val="20"/>
        </w:rPr>
        <w:t>1</w:t>
      </w:r>
      <w:r w:rsidRPr="00B42C66">
        <w:rPr>
          <w:rFonts w:ascii="Arial" w:hAnsi="Arial" w:cs="Arial" w:hint="eastAsia"/>
          <w:kern w:val="0"/>
          <w:sz w:val="20"/>
          <w:szCs w:val="20"/>
        </w:rPr>
        <w:t>次。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儿童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B42C66">
        <w:rPr>
          <w:rFonts w:ascii="Arial" w:hAnsi="Arial" w:cs="Arial" w:hint="eastAsia"/>
          <w:kern w:val="0"/>
          <w:sz w:val="20"/>
          <w:szCs w:val="20"/>
        </w:rPr>
        <w:t>常规剂量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·</w:t>
      </w:r>
      <w:r w:rsidRPr="00B42C66">
        <w:rPr>
          <w:rFonts w:ascii="Arial" w:hAnsi="Arial" w:cs="Arial" w:hint="eastAsia"/>
          <w:kern w:val="0"/>
          <w:sz w:val="20"/>
          <w:szCs w:val="20"/>
        </w:rPr>
        <w:t>结核病</w:t>
      </w:r>
      <w:r w:rsidRPr="00B42C66">
        <w:rPr>
          <w:rFonts w:ascii="Arial" w:hAnsi="Arial" w:cs="Arial"/>
          <w:kern w:val="0"/>
          <w:sz w:val="20"/>
          <w:szCs w:val="20"/>
        </w:rPr>
        <w:t>(</w:t>
      </w:r>
      <w:r w:rsidRPr="00B42C66">
        <w:rPr>
          <w:rFonts w:ascii="Arial" w:hAnsi="Arial" w:cs="Arial" w:hint="eastAsia"/>
          <w:kern w:val="0"/>
          <w:sz w:val="20"/>
          <w:szCs w:val="20"/>
        </w:rPr>
        <w:t>包括</w:t>
      </w:r>
      <w:r w:rsidRPr="00B42C66">
        <w:rPr>
          <w:rFonts w:ascii="Arial" w:hAnsi="Arial" w:cs="Arial"/>
          <w:kern w:val="0"/>
          <w:sz w:val="20"/>
          <w:szCs w:val="20"/>
        </w:rPr>
        <w:t>HIV</w:t>
      </w:r>
      <w:r w:rsidRPr="00B42C66">
        <w:rPr>
          <w:rFonts w:ascii="Arial" w:hAnsi="Arial" w:cs="Arial" w:hint="eastAsia"/>
          <w:kern w:val="0"/>
          <w:sz w:val="20"/>
          <w:szCs w:val="20"/>
        </w:rPr>
        <w:t>感染者</w:t>
      </w:r>
      <w:r w:rsidRPr="00B42C66">
        <w:rPr>
          <w:rFonts w:ascii="Arial" w:hAnsi="Arial" w:cs="Arial"/>
          <w:kern w:val="0"/>
          <w:sz w:val="20"/>
          <w:szCs w:val="20"/>
        </w:rPr>
        <w:t>)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口服给药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一次</w:t>
      </w:r>
      <w:r w:rsidRPr="00B42C66">
        <w:rPr>
          <w:rFonts w:ascii="Arial" w:hAnsi="Arial" w:cs="Arial"/>
          <w:kern w:val="0"/>
          <w:sz w:val="20"/>
          <w:szCs w:val="20"/>
        </w:rPr>
        <w:t>15-30mg/kg</w:t>
      </w:r>
      <w:r w:rsidRPr="00B42C66">
        <w:rPr>
          <w:rFonts w:ascii="Arial" w:hAnsi="Arial" w:cs="Arial" w:hint="eastAsia"/>
          <w:kern w:val="0"/>
          <w:sz w:val="20"/>
          <w:szCs w:val="20"/>
        </w:rPr>
        <w:t>，一日</w:t>
      </w:r>
      <w:r w:rsidRPr="00B42C66">
        <w:rPr>
          <w:rFonts w:ascii="Arial" w:hAnsi="Arial" w:cs="Arial"/>
          <w:kern w:val="0"/>
          <w:sz w:val="20"/>
          <w:szCs w:val="20"/>
        </w:rPr>
        <w:t>1</w:t>
      </w:r>
      <w:r w:rsidRPr="00B42C66">
        <w:rPr>
          <w:rFonts w:ascii="Arial" w:hAnsi="Arial" w:cs="Arial" w:hint="eastAsia"/>
          <w:kern w:val="0"/>
          <w:sz w:val="20"/>
          <w:szCs w:val="20"/>
        </w:rPr>
        <w:t>次，最大日剂量为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2g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；或一次</w:t>
      </w:r>
      <w:r w:rsidRPr="00B42C66">
        <w:rPr>
          <w:rFonts w:ascii="Arial" w:hAnsi="Arial" w:cs="Arial"/>
          <w:kern w:val="0"/>
          <w:sz w:val="20"/>
          <w:szCs w:val="20"/>
        </w:rPr>
        <w:t>50mg/kg</w:t>
      </w:r>
      <w:r w:rsidRPr="00B42C66">
        <w:rPr>
          <w:rFonts w:ascii="Arial" w:hAnsi="Arial" w:cs="Arial" w:hint="eastAsia"/>
          <w:kern w:val="0"/>
          <w:sz w:val="20"/>
          <w:szCs w:val="20"/>
        </w:rPr>
        <w:t>，一周</w:t>
      </w:r>
      <w:r w:rsidRPr="00B42C66">
        <w:rPr>
          <w:rFonts w:ascii="Arial" w:hAnsi="Arial" w:cs="Arial"/>
          <w:kern w:val="0"/>
          <w:sz w:val="20"/>
          <w:szCs w:val="20"/>
        </w:rPr>
        <w:t>2</w:t>
      </w:r>
      <w:r w:rsidRPr="00B42C66">
        <w:rPr>
          <w:rFonts w:ascii="Arial" w:hAnsi="Arial" w:cs="Arial" w:hint="eastAsia"/>
          <w:kern w:val="0"/>
          <w:sz w:val="20"/>
          <w:szCs w:val="20"/>
        </w:rPr>
        <w:t>次，最大日剂量为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4g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，与其他抗结核病药合用。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【禁忌症】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对本药过敏者</w:t>
      </w:r>
      <w:r w:rsidRPr="00B42C66">
        <w:rPr>
          <w:rFonts w:ascii="Arial" w:hAnsi="Arial" w:cs="Arial"/>
          <w:kern w:val="0"/>
          <w:sz w:val="20"/>
          <w:szCs w:val="20"/>
        </w:rPr>
        <w:t>(</w:t>
      </w:r>
      <w:r w:rsidRPr="00B42C66">
        <w:rPr>
          <w:rFonts w:ascii="Arial" w:hAnsi="Arial" w:cs="Arial" w:hint="eastAsia"/>
          <w:kern w:val="0"/>
          <w:sz w:val="20"/>
          <w:szCs w:val="20"/>
        </w:rPr>
        <w:t>国外资料</w:t>
      </w:r>
      <w:r w:rsidRPr="00B42C66">
        <w:rPr>
          <w:rFonts w:ascii="Arial" w:hAnsi="Arial" w:cs="Arial"/>
          <w:kern w:val="0"/>
          <w:sz w:val="20"/>
          <w:szCs w:val="20"/>
        </w:rPr>
        <w:t>)</w:t>
      </w:r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2.</w:t>
      </w:r>
      <w:r w:rsidRPr="00B42C66">
        <w:rPr>
          <w:rFonts w:ascii="Arial" w:hAnsi="Arial" w:cs="Arial" w:hint="eastAsia"/>
          <w:kern w:val="0"/>
          <w:sz w:val="20"/>
          <w:szCs w:val="20"/>
        </w:rPr>
        <w:t>急性痛风患者</w:t>
      </w:r>
      <w:r w:rsidRPr="00B42C66">
        <w:rPr>
          <w:rFonts w:ascii="Arial" w:hAnsi="Arial" w:cs="Arial"/>
          <w:kern w:val="0"/>
          <w:sz w:val="20"/>
          <w:szCs w:val="20"/>
        </w:rPr>
        <w:t>(</w:t>
      </w:r>
      <w:r w:rsidRPr="00B42C66">
        <w:rPr>
          <w:rFonts w:ascii="Arial" w:hAnsi="Arial" w:cs="Arial" w:hint="eastAsia"/>
          <w:kern w:val="0"/>
          <w:sz w:val="20"/>
          <w:szCs w:val="20"/>
        </w:rPr>
        <w:t>国外资料</w:t>
      </w:r>
      <w:r w:rsidRPr="00B42C66">
        <w:rPr>
          <w:rFonts w:ascii="Arial" w:hAnsi="Arial" w:cs="Arial"/>
          <w:kern w:val="0"/>
          <w:sz w:val="20"/>
          <w:szCs w:val="20"/>
        </w:rPr>
        <w:t>)</w:t>
      </w:r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3.</w:t>
      </w:r>
      <w:r w:rsidRPr="00B42C66">
        <w:rPr>
          <w:rFonts w:ascii="Arial" w:hAnsi="Arial" w:cs="Arial" w:hint="eastAsia"/>
          <w:kern w:val="0"/>
          <w:sz w:val="20"/>
          <w:szCs w:val="20"/>
        </w:rPr>
        <w:t>高尿酸血症患者。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【慎用】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糖尿病患者。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2.</w:t>
      </w:r>
      <w:r w:rsidRPr="00B42C66">
        <w:rPr>
          <w:rFonts w:ascii="Arial" w:hAnsi="Arial" w:cs="Arial" w:hint="eastAsia"/>
          <w:kern w:val="0"/>
          <w:sz w:val="20"/>
          <w:szCs w:val="20"/>
        </w:rPr>
        <w:t>痛风患者。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3.</w:t>
      </w:r>
      <w:r w:rsidRPr="00B42C66">
        <w:rPr>
          <w:rFonts w:ascii="Arial" w:hAnsi="Arial" w:cs="Arial" w:hint="eastAsia"/>
          <w:kern w:val="0"/>
          <w:sz w:val="20"/>
          <w:szCs w:val="20"/>
        </w:rPr>
        <w:t>血卟啉病患者。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4.</w:t>
      </w:r>
      <w:r w:rsidRPr="00B42C66">
        <w:rPr>
          <w:rFonts w:ascii="Arial" w:hAnsi="Arial" w:cs="Arial" w:hint="eastAsia"/>
          <w:kern w:val="0"/>
          <w:sz w:val="20"/>
          <w:szCs w:val="20"/>
        </w:rPr>
        <w:t>慢性肝病及严重肝功能减退者。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5.</w:t>
      </w:r>
      <w:r w:rsidRPr="00B42C66">
        <w:rPr>
          <w:rFonts w:ascii="Arial" w:hAnsi="Arial" w:cs="Arial" w:hint="eastAsia"/>
          <w:kern w:val="0"/>
          <w:sz w:val="20"/>
          <w:szCs w:val="20"/>
        </w:rPr>
        <w:t>肾功能不全者。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6.</w:t>
      </w:r>
      <w:r w:rsidRPr="00B42C66">
        <w:rPr>
          <w:rFonts w:ascii="Arial" w:hAnsi="Arial" w:cs="Arial" w:hint="eastAsia"/>
          <w:kern w:val="0"/>
          <w:sz w:val="20"/>
          <w:szCs w:val="20"/>
        </w:rPr>
        <w:t>有酒精中毒史者</w:t>
      </w:r>
      <w:r w:rsidRPr="00B42C66">
        <w:rPr>
          <w:rFonts w:ascii="Arial" w:hAnsi="Arial" w:cs="Arial"/>
          <w:kern w:val="0"/>
          <w:sz w:val="20"/>
          <w:szCs w:val="20"/>
        </w:rPr>
        <w:t>(</w:t>
      </w:r>
      <w:r w:rsidRPr="00B42C66">
        <w:rPr>
          <w:rFonts w:ascii="Arial" w:hAnsi="Arial" w:cs="Arial" w:hint="eastAsia"/>
          <w:kern w:val="0"/>
          <w:sz w:val="20"/>
          <w:szCs w:val="20"/>
        </w:rPr>
        <w:t>国外资料</w:t>
      </w:r>
      <w:r w:rsidRPr="00B42C66">
        <w:rPr>
          <w:rFonts w:ascii="Arial" w:hAnsi="Arial" w:cs="Arial"/>
          <w:kern w:val="0"/>
          <w:sz w:val="20"/>
          <w:szCs w:val="20"/>
        </w:rPr>
        <w:t>)</w:t>
      </w:r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7.</w:t>
      </w:r>
      <w:r w:rsidRPr="00B42C66">
        <w:rPr>
          <w:rFonts w:ascii="Arial" w:hAnsi="Arial" w:cs="Arial" w:hint="eastAsia"/>
          <w:kern w:val="0"/>
          <w:sz w:val="20"/>
          <w:szCs w:val="20"/>
        </w:rPr>
        <w:t>哺乳期妇女</w:t>
      </w:r>
      <w:r w:rsidRPr="00B42C66">
        <w:rPr>
          <w:rFonts w:ascii="Arial" w:hAnsi="Arial" w:cs="Arial"/>
          <w:kern w:val="0"/>
          <w:sz w:val="20"/>
          <w:szCs w:val="20"/>
        </w:rPr>
        <w:t>(</w:t>
      </w:r>
      <w:r w:rsidRPr="00B42C66">
        <w:rPr>
          <w:rFonts w:ascii="Arial" w:hAnsi="Arial" w:cs="Arial" w:hint="eastAsia"/>
          <w:kern w:val="0"/>
          <w:sz w:val="20"/>
          <w:szCs w:val="20"/>
        </w:rPr>
        <w:t>国外资料</w:t>
      </w:r>
      <w:r w:rsidRPr="00B42C66">
        <w:rPr>
          <w:rFonts w:ascii="Arial" w:hAnsi="Arial" w:cs="Arial"/>
          <w:kern w:val="0"/>
          <w:sz w:val="20"/>
          <w:szCs w:val="20"/>
        </w:rPr>
        <w:t>)</w:t>
      </w:r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【特殊人群】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儿童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本药具有较大的毒性，儿童不宜使用，若必须应用时应充分权衡利弊。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老人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尚不明确。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妊娠期妇女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妊娠期妇女可先用异烟肼、利福平和乙胺丁醇治疗</w:t>
      </w:r>
      <w:r w:rsidRPr="00B42C66">
        <w:rPr>
          <w:rFonts w:ascii="Arial" w:hAnsi="Arial" w:cs="Arial"/>
          <w:kern w:val="0"/>
          <w:sz w:val="20"/>
          <w:szCs w:val="20"/>
        </w:rPr>
        <w:t>9</w:t>
      </w:r>
      <w:r w:rsidRPr="00B42C66">
        <w:rPr>
          <w:rFonts w:ascii="Arial" w:hAnsi="Arial" w:cs="Arial" w:hint="eastAsia"/>
          <w:kern w:val="0"/>
          <w:sz w:val="20"/>
          <w:szCs w:val="20"/>
        </w:rPr>
        <w:t>个月，如对上述药物中任一种耐药且可能对本药敏感者可使用本药。动物试验未发现致畸作用。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2.</w:t>
      </w:r>
      <w:r w:rsidRPr="00B42C66">
        <w:rPr>
          <w:rFonts w:ascii="Arial" w:hAnsi="Arial" w:cs="Arial" w:hint="eastAsia"/>
          <w:kern w:val="0"/>
          <w:sz w:val="20"/>
          <w:szCs w:val="20"/>
        </w:rPr>
        <w:t>美国食品药品管理局</w:t>
      </w:r>
      <w:r w:rsidRPr="00B42C66">
        <w:rPr>
          <w:rFonts w:ascii="Arial" w:hAnsi="Arial" w:cs="Arial"/>
          <w:kern w:val="0"/>
          <w:sz w:val="20"/>
          <w:szCs w:val="20"/>
        </w:rPr>
        <w:t>(FDA)</w:t>
      </w:r>
      <w:r w:rsidRPr="00B42C66">
        <w:rPr>
          <w:rFonts w:ascii="Arial" w:hAnsi="Arial" w:cs="Arial" w:hint="eastAsia"/>
          <w:kern w:val="0"/>
          <w:sz w:val="20"/>
          <w:szCs w:val="20"/>
        </w:rPr>
        <w:t>对本药的妊娠安全性分级为</w:t>
      </w:r>
      <w:r w:rsidRPr="00B42C66">
        <w:rPr>
          <w:rFonts w:ascii="Arial" w:hAnsi="Arial" w:cs="Arial"/>
          <w:kern w:val="0"/>
          <w:sz w:val="20"/>
          <w:szCs w:val="20"/>
        </w:rPr>
        <w:t>C</w:t>
      </w:r>
      <w:r w:rsidRPr="00B42C66">
        <w:rPr>
          <w:rFonts w:ascii="Arial" w:hAnsi="Arial" w:cs="Arial" w:hint="eastAsia"/>
          <w:kern w:val="0"/>
          <w:sz w:val="20"/>
          <w:szCs w:val="20"/>
        </w:rPr>
        <w:t>级。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哺乳期妇女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本药可随乳汁排泄，故哺乳期妇女慎用。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特殊疾病状态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有酒精中毒史者：此类患者已有肝功能损害，即使给药期间停止饮酒，仍应慎用。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2.</w:t>
      </w:r>
      <w:r w:rsidRPr="00B42C66">
        <w:rPr>
          <w:rFonts w:ascii="Arial" w:hAnsi="Arial" w:cs="Arial" w:hint="eastAsia"/>
          <w:kern w:val="0"/>
          <w:sz w:val="20"/>
          <w:szCs w:val="20"/>
        </w:rPr>
        <w:t>痛风患者：本药可抑制尿酸排泄，有引起急性痛风发作的报道，故痛风患者慎用，急性痛风患者禁用。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【不良反应】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代谢</w:t>
      </w:r>
      <w:r w:rsidRPr="00B42C66">
        <w:rPr>
          <w:rFonts w:ascii="Arial" w:hAnsi="Arial" w:cs="Arial"/>
          <w:kern w:val="0"/>
          <w:sz w:val="20"/>
          <w:szCs w:val="20"/>
        </w:rPr>
        <w:t>/</w:t>
      </w:r>
      <w:r w:rsidRPr="00B42C66">
        <w:rPr>
          <w:rFonts w:ascii="Arial" w:hAnsi="Arial" w:cs="Arial" w:hint="eastAsia"/>
          <w:kern w:val="0"/>
          <w:sz w:val="20"/>
          <w:szCs w:val="20"/>
        </w:rPr>
        <w:t>内分泌系统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可引起高尿酸血症。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2.</w:t>
      </w:r>
      <w:r w:rsidRPr="00B42C66">
        <w:rPr>
          <w:rFonts w:ascii="Arial" w:hAnsi="Arial" w:cs="Arial" w:hint="eastAsia"/>
          <w:kern w:val="0"/>
          <w:sz w:val="20"/>
          <w:szCs w:val="20"/>
        </w:rPr>
        <w:t>肌肉骨骼系统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常见关节痛</w:t>
      </w:r>
      <w:r w:rsidRPr="00B42C66">
        <w:rPr>
          <w:rFonts w:ascii="Arial" w:hAnsi="Arial" w:cs="Arial"/>
          <w:kern w:val="0"/>
          <w:sz w:val="20"/>
          <w:szCs w:val="20"/>
        </w:rPr>
        <w:t>(</w:t>
      </w:r>
      <w:r w:rsidRPr="00B42C66">
        <w:rPr>
          <w:rFonts w:ascii="Arial" w:hAnsi="Arial" w:cs="Arial" w:hint="eastAsia"/>
          <w:kern w:val="0"/>
          <w:sz w:val="20"/>
          <w:szCs w:val="20"/>
        </w:rPr>
        <w:t>因高尿酸血症引起</w:t>
      </w:r>
      <w:r w:rsidRPr="00B42C66">
        <w:rPr>
          <w:rFonts w:ascii="Arial" w:hAnsi="Arial" w:cs="Arial"/>
          <w:kern w:val="0"/>
          <w:sz w:val="20"/>
          <w:szCs w:val="20"/>
        </w:rPr>
        <w:t>)</w:t>
      </w:r>
      <w:r w:rsidRPr="00B42C66">
        <w:rPr>
          <w:rFonts w:ascii="Arial" w:hAnsi="Arial" w:cs="Arial" w:hint="eastAsia"/>
          <w:kern w:val="0"/>
          <w:sz w:val="20"/>
          <w:szCs w:val="20"/>
        </w:rPr>
        <w:t>。也可见痛风性关节炎</w:t>
      </w:r>
      <w:r w:rsidRPr="00B42C66">
        <w:rPr>
          <w:rFonts w:ascii="Arial" w:hAnsi="Arial" w:cs="Arial"/>
          <w:kern w:val="0"/>
          <w:sz w:val="20"/>
          <w:szCs w:val="20"/>
        </w:rPr>
        <w:t>(</w:t>
      </w:r>
      <w:r w:rsidRPr="00B42C66">
        <w:rPr>
          <w:rFonts w:ascii="Arial" w:hAnsi="Arial" w:cs="Arial" w:hint="eastAsia"/>
          <w:kern w:val="0"/>
          <w:sz w:val="20"/>
          <w:szCs w:val="20"/>
        </w:rPr>
        <w:t>表现为关节酸痛、肿胀、活动受限、血尿酸升高</w:t>
      </w:r>
      <w:r w:rsidRPr="00B42C66">
        <w:rPr>
          <w:rFonts w:ascii="Arial" w:hAnsi="Arial" w:cs="Arial"/>
          <w:kern w:val="0"/>
          <w:sz w:val="20"/>
          <w:szCs w:val="20"/>
        </w:rPr>
        <w:t>)</w:t>
      </w:r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3.</w:t>
      </w:r>
      <w:r w:rsidRPr="00B42C66">
        <w:rPr>
          <w:rFonts w:ascii="Arial" w:hAnsi="Arial" w:cs="Arial" w:hint="eastAsia"/>
          <w:kern w:val="0"/>
          <w:sz w:val="20"/>
          <w:szCs w:val="20"/>
        </w:rPr>
        <w:t>神经系统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可见癫痫。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4.</w:t>
      </w:r>
      <w:r w:rsidRPr="00B42C66">
        <w:rPr>
          <w:rFonts w:ascii="Arial" w:hAnsi="Arial" w:cs="Arial" w:hint="eastAsia"/>
          <w:kern w:val="0"/>
          <w:sz w:val="20"/>
          <w:szCs w:val="20"/>
        </w:rPr>
        <w:t>肝脏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可见丙氨酸氨基转移酶升高、天门冬氨酸氨基转移酶升高、肝肿大；肝损害与用药剂量和疗程有关，在常用量下较少发生肝损害。长期大剂量应用可发生中毒性肝炎，出现严重肝细胞坏死和血浆蛋白减少。老年人、酗酒和营养不良者肝损害的发生率增加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5.</w:t>
      </w:r>
      <w:r w:rsidRPr="00B42C66">
        <w:rPr>
          <w:rFonts w:ascii="Arial" w:hAnsi="Arial" w:cs="Arial" w:hint="eastAsia"/>
          <w:kern w:val="0"/>
          <w:sz w:val="20"/>
          <w:szCs w:val="20"/>
        </w:rPr>
        <w:t>胃肠道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少见食欲减退。也可见恶心、腹痛、严重呕吐，偶可见溃疡病发作。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6.</w:t>
      </w:r>
      <w:r w:rsidRPr="00B42C66">
        <w:rPr>
          <w:rFonts w:ascii="Arial" w:hAnsi="Arial" w:cs="Arial" w:hint="eastAsia"/>
          <w:kern w:val="0"/>
          <w:sz w:val="20"/>
          <w:szCs w:val="20"/>
        </w:rPr>
        <w:t>血液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偶可引起低色素性贫血与溶血反应。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7.</w:t>
      </w:r>
      <w:r w:rsidRPr="00B42C66">
        <w:rPr>
          <w:rFonts w:ascii="Arial" w:hAnsi="Arial" w:cs="Arial" w:hint="eastAsia"/>
          <w:kern w:val="0"/>
          <w:sz w:val="20"/>
          <w:szCs w:val="20"/>
        </w:rPr>
        <w:t>皮肤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少见皮肤黄染。还有引起多形性红斑、糙皮病和痤疮的报道。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8.</w:t>
      </w:r>
      <w:r w:rsidRPr="00B42C66">
        <w:rPr>
          <w:rFonts w:ascii="Arial" w:hAnsi="Arial" w:cs="Arial" w:hint="eastAsia"/>
          <w:kern w:val="0"/>
          <w:sz w:val="20"/>
          <w:szCs w:val="20"/>
        </w:rPr>
        <w:t>眼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少见眼黄染。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9.</w:t>
      </w:r>
      <w:r w:rsidRPr="00B42C66">
        <w:rPr>
          <w:rFonts w:ascii="Arial" w:hAnsi="Arial" w:cs="Arial" w:hint="eastAsia"/>
          <w:kern w:val="0"/>
          <w:sz w:val="20"/>
          <w:szCs w:val="20"/>
        </w:rPr>
        <w:t>过敏反应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可见过敏反应，表现为药物热、皮疹、光敏反应等。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10.</w:t>
      </w:r>
      <w:r w:rsidRPr="00B42C66">
        <w:rPr>
          <w:rFonts w:ascii="Arial" w:hAnsi="Arial" w:cs="Arial" w:hint="eastAsia"/>
          <w:kern w:val="0"/>
          <w:sz w:val="20"/>
          <w:szCs w:val="20"/>
        </w:rPr>
        <w:t>其他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hAnsi="Arial" w:cs="Arial" w:hint="eastAsia"/>
          <w:kern w:val="0"/>
          <w:sz w:val="20"/>
          <w:szCs w:val="20"/>
        </w:rPr>
        <w:t>少见发热、乏力、畏寒。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【药物相互作用】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药物</w:t>
      </w:r>
      <w:r w:rsidRPr="00B42C66">
        <w:rPr>
          <w:rFonts w:ascii="Arial" w:hAnsi="Arial" w:cs="Arial"/>
          <w:b/>
          <w:bCs/>
          <w:kern w:val="0"/>
          <w:sz w:val="20"/>
          <w:szCs w:val="20"/>
        </w:rPr>
        <w:t>-</w:t>
      </w: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药物相互作用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异烟肼、利福平：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结果：合用有协同作用。与利福平合用时，因利福平可抑制肾小管对尿酸的重吸收，可减少本药所致的关节痛。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2.</w:t>
      </w:r>
      <w:r w:rsidRPr="00B42C66">
        <w:rPr>
          <w:rFonts w:ascii="Arial" w:hAnsi="Arial" w:cs="Arial" w:hint="eastAsia"/>
          <w:kern w:val="0"/>
          <w:sz w:val="20"/>
          <w:szCs w:val="20"/>
        </w:rPr>
        <w:t>乙硫异烟胺：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结果：合用可增强不良反应。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3.</w:t>
      </w:r>
      <w:r w:rsidRPr="00B42C66">
        <w:rPr>
          <w:rFonts w:ascii="Arial" w:hAnsi="Arial" w:cs="Arial" w:hint="eastAsia"/>
          <w:kern w:val="0"/>
          <w:sz w:val="20"/>
          <w:szCs w:val="20"/>
        </w:rPr>
        <w:t>磷苯妥英、苯妥英：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结果：合用可增加苯妥英类药物的毒性，表现为共济失调、反射亢进、眼球震颤和肢体震颤。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机制：本药可抑制以上药物的代谢，使以上药物血药浓度保持在较高水平。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4.</w:t>
      </w:r>
      <w:r w:rsidRPr="00B42C66">
        <w:rPr>
          <w:rFonts w:ascii="Arial" w:hAnsi="Arial" w:cs="Arial" w:hint="eastAsia"/>
          <w:kern w:val="0"/>
          <w:sz w:val="20"/>
          <w:szCs w:val="20"/>
        </w:rPr>
        <w:t>齐多夫定：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结果：齐多夫定可降低本药的疗效。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5.</w:t>
      </w:r>
      <w:r w:rsidRPr="00B42C66">
        <w:rPr>
          <w:rFonts w:ascii="Arial" w:hAnsi="Arial" w:cs="Arial" w:hint="eastAsia"/>
          <w:kern w:val="0"/>
          <w:sz w:val="20"/>
          <w:szCs w:val="20"/>
        </w:rPr>
        <w:t>环孢素：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结果：合用可使环孢素血药浓度降低。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处理：合用需监测血药浓度，据以调整剂量。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6.</w:t>
      </w:r>
      <w:r w:rsidRPr="00B42C66">
        <w:rPr>
          <w:rFonts w:ascii="Arial" w:hAnsi="Arial" w:cs="Arial" w:hint="eastAsia"/>
          <w:kern w:val="0"/>
          <w:sz w:val="20"/>
          <w:szCs w:val="20"/>
        </w:rPr>
        <w:t>别嘌醇、秋水仙碱、丙磺舒、磺吡酮：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结果：合用增加血尿酸浓度而降低以上药物对痛风的疗效。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处理：合用时应调整以上药物的剂量，以便控制高尿酸血症和痛风。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【注意事项】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用药警示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单用本药治疗结核病时，结核菌易产生耐药性，因此常与其他抗结核病药联合应用。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交叉过敏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对乙硫异烟胺、异烟肼、烟酸或其他与本药化学结构相似的药物过敏者，也可对本药过敏。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药物对检验值或诊断的影响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本药可与硝基氰化钠作用变为红棕色，影响尿酮测定结果。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用药前后及用药时应当检查或监测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用药期间常出现血尿酸浓度升高，可引起急性痛风发作，须定期进行血清尿酸测定。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2.</w:t>
      </w:r>
      <w:r w:rsidRPr="00B42C66">
        <w:rPr>
          <w:rFonts w:ascii="Arial" w:hAnsi="Arial" w:cs="Arial" w:hint="eastAsia"/>
          <w:kern w:val="0"/>
          <w:sz w:val="20"/>
          <w:szCs w:val="20"/>
        </w:rPr>
        <w:t>本药可造成肝功能损害，应定期检查肝功能。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【国外专科用药信息参考】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精神状况信息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本药可能导致嗜睡。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护理注意事项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1.</w:t>
      </w:r>
      <w:r w:rsidRPr="00B42C66">
        <w:rPr>
          <w:rFonts w:ascii="Arial" w:hAnsi="Arial" w:cs="Arial" w:hint="eastAsia"/>
          <w:kern w:val="0"/>
          <w:sz w:val="20"/>
          <w:szCs w:val="20"/>
        </w:rPr>
        <w:t>体质评估</w:t>
      </w:r>
      <w:r w:rsidRPr="00B42C66">
        <w:rPr>
          <w:rFonts w:ascii="Arial" w:hAnsi="Arial" w:cs="Arial"/>
          <w:kern w:val="0"/>
          <w:sz w:val="20"/>
          <w:szCs w:val="20"/>
        </w:rPr>
        <w:t>/</w:t>
      </w:r>
      <w:r w:rsidRPr="00B42C66">
        <w:rPr>
          <w:rFonts w:ascii="Arial" w:hAnsi="Arial" w:cs="Arial" w:hint="eastAsia"/>
          <w:kern w:val="0"/>
          <w:sz w:val="20"/>
          <w:szCs w:val="20"/>
        </w:rPr>
        <w:t>监测：用药前应评估患者的病史、饮酒史，定期评估胸透结果。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/>
          <w:kern w:val="0"/>
          <w:sz w:val="20"/>
          <w:szCs w:val="20"/>
        </w:rPr>
        <w:t>2.</w:t>
      </w:r>
      <w:r w:rsidRPr="00B42C66">
        <w:rPr>
          <w:rFonts w:ascii="Arial" w:hAnsi="Arial" w:cs="Arial" w:hint="eastAsia"/>
          <w:kern w:val="0"/>
          <w:sz w:val="20"/>
          <w:szCs w:val="20"/>
        </w:rPr>
        <w:t>实验室检查：治疗开始</w:t>
      </w:r>
      <w:r w:rsidRPr="00B42C66">
        <w:rPr>
          <w:rFonts w:ascii="Arial" w:hAnsi="Arial" w:cs="Arial"/>
          <w:kern w:val="0"/>
          <w:sz w:val="20"/>
          <w:szCs w:val="20"/>
        </w:rPr>
        <w:t>2-3</w:t>
      </w:r>
      <w:r w:rsidRPr="00B42C66">
        <w:rPr>
          <w:rFonts w:ascii="Arial" w:hAnsi="Arial" w:cs="Arial" w:hint="eastAsia"/>
          <w:kern w:val="0"/>
          <w:sz w:val="20"/>
          <w:szCs w:val="20"/>
        </w:rPr>
        <w:t>个月内及治疗结束时应定期监测肝功能、血尿酸，进行痰细菌培养、胸部</w:t>
      </w:r>
      <w:r w:rsidRPr="00B42C66">
        <w:rPr>
          <w:rFonts w:ascii="Arial" w:hAnsi="Arial" w:cs="Arial"/>
          <w:kern w:val="0"/>
          <w:sz w:val="20"/>
          <w:szCs w:val="20"/>
        </w:rPr>
        <w:t>X</w:t>
      </w:r>
      <w:r w:rsidRPr="00B42C66">
        <w:rPr>
          <w:rFonts w:ascii="Arial" w:hAnsi="Arial" w:cs="Arial" w:hint="eastAsia"/>
          <w:kern w:val="0"/>
          <w:sz w:val="20"/>
          <w:szCs w:val="20"/>
        </w:rPr>
        <w:t>光检测。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【药理】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药效学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本药为烟酰胺的衍生物。其作用机制尚不明确，可能与吡嗪酸的代谢有关。本药渗透入吞噬细胞后进入结核杆菌菌体内，菌体内的酰胺酶使其脱去酰胺基，转化为吡嗪酸而发挥抗菌作用。此外，因吡嗪酰胺在化学结构上与烟酰胺相似，可取代烟酰胺参与细胞代谢，干扰脱氢酶并阻止脱氢作用，妨碍结核杆菌对氧的利用，从而影响细菌的正常代谢，造成细菌死亡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本药对人型结核杆菌有较好的抗菌作用，而对其他非结核分枝杆菌不敏感。其抗结核杆菌的作用易受环境因素的影响，在酸性环境中有较强的杀菌作用，在中性和碱性环境中几乎无抑菌作用。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药动学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本药口服后在胃肠道内吸收迅速而完全，</w:t>
      </w:r>
      <w:r w:rsidRPr="00B42C66">
        <w:rPr>
          <w:rFonts w:ascii="Arial" w:hAnsi="Arial" w:cs="Arial"/>
          <w:kern w:val="0"/>
          <w:sz w:val="20"/>
          <w:szCs w:val="20"/>
        </w:rPr>
        <w:t>2</w:t>
      </w:r>
      <w:r w:rsidRPr="00B42C66">
        <w:rPr>
          <w:rFonts w:ascii="Arial" w:hAnsi="Arial" w:cs="Arial" w:hint="eastAsia"/>
          <w:kern w:val="0"/>
          <w:sz w:val="20"/>
          <w:szCs w:val="20"/>
        </w:rPr>
        <w:t>小时后可达血药峰浓度。广泛分布于全身组织和体液中，包括肝、肺、脑脊液、肾及胆汁，脑脊液内药物浓度可达同期血药浓度的</w:t>
      </w:r>
      <w:r w:rsidRPr="00B42C66">
        <w:rPr>
          <w:rFonts w:ascii="Arial" w:hAnsi="Arial" w:cs="Arial"/>
          <w:kern w:val="0"/>
          <w:sz w:val="20"/>
          <w:szCs w:val="20"/>
        </w:rPr>
        <w:t>87%-105%</w:t>
      </w:r>
      <w:r w:rsidRPr="00B42C66">
        <w:rPr>
          <w:rFonts w:ascii="Arial" w:hAnsi="Arial" w:cs="Arial" w:hint="eastAsia"/>
          <w:kern w:val="0"/>
          <w:sz w:val="20"/>
          <w:szCs w:val="20"/>
        </w:rPr>
        <w:t>。蛋白结合率</w:t>
      </w:r>
      <w:r w:rsidRPr="00B42C66">
        <w:rPr>
          <w:rFonts w:ascii="Arial" w:hAnsi="Arial" w:cs="Arial"/>
          <w:kern w:val="0"/>
          <w:sz w:val="20"/>
          <w:szCs w:val="20"/>
        </w:rPr>
        <w:t>10%-20%</w:t>
      </w:r>
      <w:r w:rsidRPr="00B42C66">
        <w:rPr>
          <w:rFonts w:ascii="Arial" w:hAnsi="Arial" w:cs="Arial" w:hint="eastAsia"/>
          <w:kern w:val="0"/>
          <w:sz w:val="20"/>
          <w:szCs w:val="20"/>
        </w:rPr>
        <w:t>。主要在肝内代谢，水解成有抗菌活性的吡嗪酸，继而羟化成为无活性的代谢物，经肾小球滤过排泄。本药半衰期为</w:t>
      </w:r>
      <w:r w:rsidRPr="00B42C66">
        <w:rPr>
          <w:rFonts w:ascii="Arial" w:hAnsi="Arial" w:cs="Arial"/>
          <w:kern w:val="0"/>
          <w:sz w:val="20"/>
          <w:szCs w:val="20"/>
        </w:rPr>
        <w:t>9-10</w:t>
      </w:r>
      <w:r w:rsidRPr="00B42C66">
        <w:rPr>
          <w:rFonts w:ascii="Arial" w:hAnsi="Arial" w:cs="Arial" w:hint="eastAsia"/>
          <w:kern w:val="0"/>
          <w:sz w:val="20"/>
          <w:szCs w:val="20"/>
        </w:rPr>
        <w:t>小时，肝、肾功能减退时可能延长。血液透析</w:t>
      </w:r>
      <w:r w:rsidRPr="00B42C66">
        <w:rPr>
          <w:rFonts w:ascii="Arial" w:hAnsi="Arial" w:cs="Arial"/>
          <w:kern w:val="0"/>
          <w:sz w:val="20"/>
          <w:szCs w:val="20"/>
        </w:rPr>
        <w:t>4</w:t>
      </w:r>
      <w:r w:rsidRPr="00B42C66">
        <w:rPr>
          <w:rFonts w:ascii="Arial" w:hAnsi="Arial" w:cs="Arial" w:hint="eastAsia"/>
          <w:kern w:val="0"/>
          <w:sz w:val="20"/>
          <w:szCs w:val="20"/>
        </w:rPr>
        <w:t>小时可使吡嗪酰胺的血药浓度降低</w:t>
      </w:r>
      <w:r w:rsidRPr="00B42C66">
        <w:rPr>
          <w:rFonts w:ascii="Arial" w:hAnsi="Arial" w:cs="Arial"/>
          <w:kern w:val="0"/>
          <w:sz w:val="20"/>
          <w:szCs w:val="20"/>
        </w:rPr>
        <w:t>55%</w:t>
      </w:r>
      <w:r w:rsidRPr="00B42C66">
        <w:rPr>
          <w:rFonts w:ascii="Arial" w:hAnsi="Arial" w:cs="Arial" w:hint="eastAsia"/>
          <w:kern w:val="0"/>
          <w:sz w:val="20"/>
          <w:szCs w:val="20"/>
        </w:rPr>
        <w:t>，血中吡嗪酸降低</w:t>
      </w:r>
      <w:r w:rsidRPr="00B42C66">
        <w:rPr>
          <w:rFonts w:ascii="Arial" w:hAnsi="Arial" w:cs="Arial"/>
          <w:kern w:val="0"/>
          <w:sz w:val="20"/>
          <w:szCs w:val="20"/>
        </w:rPr>
        <w:t>50%-60%</w:t>
      </w:r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【制剂与规格】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吡嗪酰胺片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(1)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  <w:r w:rsidRPr="00B42C66">
        <w:rPr>
          <w:rFonts w:ascii="Arial" w:hAnsi="Arial" w:cs="Arial"/>
          <w:kern w:val="0"/>
          <w:sz w:val="20"/>
          <w:szCs w:val="20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0.5g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吡嗪酰胺胶囊</w:t>
      </w:r>
      <w:r w:rsidRPr="00B42C66">
        <w:rPr>
          <w:rFonts w:ascii="Arial" w:hAnsi="Arial" w:cs="Arial"/>
          <w:kern w:val="0"/>
          <w:sz w:val="20"/>
          <w:szCs w:val="20"/>
        </w:rPr>
        <w:t xml:space="preserve"> 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g"/>
        </w:smartTagPr>
        <w:r w:rsidRPr="00B42C66">
          <w:rPr>
            <w:rFonts w:ascii="Arial" w:hAnsi="Arial" w:cs="Arial"/>
            <w:kern w:val="0"/>
            <w:sz w:val="20"/>
            <w:szCs w:val="20"/>
          </w:rPr>
          <w:t>0.25g</w:t>
        </w:r>
      </w:smartTag>
      <w:r w:rsidRPr="00B42C66">
        <w:rPr>
          <w:rFonts w:ascii="Arial" w:hAnsi="Arial" w:cs="Arial" w:hint="eastAsia"/>
          <w:kern w:val="0"/>
          <w:sz w:val="20"/>
          <w:szCs w:val="20"/>
        </w:rPr>
        <w:t>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b/>
          <w:bCs/>
          <w:kern w:val="0"/>
          <w:sz w:val="20"/>
          <w:szCs w:val="20"/>
        </w:rPr>
        <w:t>【贮藏】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片剂：遮光，密封保存。</w:t>
      </w:r>
    </w:p>
    <w:p w:rsidR="00DA41D5" w:rsidRPr="00B42C66" w:rsidRDefault="00DA41D5" w:rsidP="00B42C66">
      <w:pPr>
        <w:widowControl/>
        <w:spacing w:before="150" w:after="150" w:line="33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B42C66">
        <w:rPr>
          <w:rFonts w:ascii="Arial" w:hAnsi="Arial" w:cs="Arial" w:hint="eastAsia"/>
          <w:kern w:val="0"/>
          <w:sz w:val="20"/>
          <w:szCs w:val="20"/>
        </w:rPr>
        <w:t>胶囊：遮光，密封保存。</w:t>
      </w:r>
    </w:p>
    <w:p w:rsidR="00DA41D5" w:rsidRDefault="00DA41D5"/>
    <w:sectPr w:rsidR="00DA41D5" w:rsidSect="001F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2E6A"/>
    <w:rsid w:val="001543E8"/>
    <w:rsid w:val="001D45D7"/>
    <w:rsid w:val="001F2FCD"/>
    <w:rsid w:val="0048715B"/>
    <w:rsid w:val="00792049"/>
    <w:rsid w:val="00A12E6A"/>
    <w:rsid w:val="00A67179"/>
    <w:rsid w:val="00B42C66"/>
    <w:rsid w:val="00CC3208"/>
    <w:rsid w:val="00DA41D5"/>
    <w:rsid w:val="00E03274"/>
    <w:rsid w:val="00FA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FCD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792049"/>
    <w:rPr>
      <w:rFonts w:ascii="Cambria" w:hAnsi="Cambria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92049"/>
    <w:rPr>
      <w:rFonts w:ascii="Calibri" w:hAnsi="Calibri" w:cs="Times New Roman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9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6308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630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6</Pages>
  <Words>428</Words>
  <Characters>2446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bch</cp:lastModifiedBy>
  <cp:revision>4</cp:revision>
  <dcterms:created xsi:type="dcterms:W3CDTF">2015-02-09T02:19:00Z</dcterms:created>
  <dcterms:modified xsi:type="dcterms:W3CDTF">2015-07-28T05:39:00Z</dcterms:modified>
</cp:coreProperties>
</file>