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B9D" w:rsidRPr="00C93B9D" w:rsidRDefault="00C93B9D" w:rsidP="00C93B9D">
      <w:pPr>
        <w:widowControl/>
        <w:jc w:val="left"/>
        <w:rPr>
          <w:rFonts w:ascii="Arial" w:eastAsia="宋体" w:hAnsi="Arial" w:cs="Arial"/>
          <w:b/>
          <w:bCs/>
          <w:kern w:val="0"/>
          <w:sz w:val="20"/>
          <w:szCs w:val="20"/>
        </w:rPr>
      </w:pPr>
      <w:r w:rsidRPr="00C93B9D">
        <w:rPr>
          <w:rFonts w:ascii="Arial" w:eastAsia="宋体" w:hAnsi="Arial" w:cs="Arial"/>
          <w:b/>
          <w:bCs/>
          <w:kern w:val="0"/>
          <w:sz w:val="20"/>
          <w:szCs w:val="20"/>
        </w:rPr>
        <w:t>阿莫西林克拉维酸钾</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文章版本号：</w:t>
      </w:r>
      <w:r w:rsidRPr="00C93B9D">
        <w:rPr>
          <w:rFonts w:ascii="Arial" w:eastAsia="宋体" w:hAnsi="Arial" w:cs="Arial"/>
          <w:kern w:val="0"/>
          <w:sz w:val="20"/>
          <w:szCs w:val="20"/>
        </w:rPr>
        <w:t>3</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最后发布时间：</w:t>
      </w:r>
      <w:r w:rsidRPr="00C93B9D">
        <w:rPr>
          <w:rFonts w:ascii="Arial" w:eastAsia="宋体" w:hAnsi="Arial" w:cs="Arial"/>
          <w:kern w:val="0"/>
          <w:sz w:val="20"/>
          <w:szCs w:val="20"/>
        </w:rPr>
        <w:t>2014-5-15 9:14:11</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【药物名称】</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中文通用名称：阿莫西林克拉维酸钾</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英文通用名称：</w:t>
      </w:r>
      <w:r w:rsidRPr="00C93B9D">
        <w:rPr>
          <w:rFonts w:ascii="Arial" w:eastAsia="宋体" w:hAnsi="Arial" w:cs="Arial"/>
          <w:kern w:val="0"/>
          <w:sz w:val="20"/>
          <w:szCs w:val="20"/>
        </w:rPr>
        <w:t>Amoxicillin and Clavulanate Potassium</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其他名称：阿莫克拉、阿莫维酸钾、阿莫西林棒酸盐、阿莫西林三水酸</w:t>
      </w:r>
      <w:r w:rsidRPr="00C93B9D">
        <w:rPr>
          <w:rFonts w:ascii="Arial" w:eastAsia="宋体" w:hAnsi="Arial" w:cs="Arial"/>
          <w:kern w:val="0"/>
          <w:sz w:val="20"/>
          <w:szCs w:val="20"/>
        </w:rPr>
        <w:t>/</w:t>
      </w:r>
      <w:r w:rsidRPr="00C93B9D">
        <w:rPr>
          <w:rFonts w:ascii="Arial" w:eastAsia="宋体" w:hAnsi="Arial" w:cs="Arial"/>
          <w:kern w:val="0"/>
          <w:sz w:val="20"/>
          <w:szCs w:val="20"/>
        </w:rPr>
        <w:t>克拉维酸钾、阿漠平、艾克儿、安克、安美汀、安奇、奥格门汀、奥先、棒林、比奇尔、必百欣、毕林、博美欣、超青、达衡、复方阿莫西林、复方羟氨苄青霉素、海夫佳、健澳、今利辰、金力舒、巨泰、君尔清、抗之霸、克瑞兰、铿锵、铿镪、力丁沙、灵胜再林、洛得、诺可、强化羟氨苄青霉素、强力阿莫仙、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棒酸钾、羟氨苄青霉素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克拉维酸、羟氨苄青霉素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克拉维酸钾、瑞思、胜艾、盛西凯、舒仙琳、特迪</w:t>
      </w:r>
      <w:r w:rsidRPr="00C93B9D">
        <w:rPr>
          <w:rFonts w:ascii="Arial" w:eastAsia="宋体" w:hAnsi="Arial" w:cs="Arial"/>
          <w:kern w:val="0"/>
          <w:sz w:val="20"/>
          <w:szCs w:val="20"/>
        </w:rPr>
        <w:t>(</w:t>
      </w:r>
      <w:r w:rsidRPr="00C93B9D">
        <w:rPr>
          <w:rFonts w:ascii="Arial" w:eastAsia="宋体" w:hAnsi="Arial" w:cs="Arial"/>
          <w:kern w:val="0"/>
          <w:sz w:val="20"/>
          <w:szCs w:val="20"/>
        </w:rPr>
        <w:t>阿莫西林克拉维酸钾</w:t>
      </w:r>
      <w:r w:rsidRPr="00C93B9D">
        <w:rPr>
          <w:rFonts w:ascii="Arial" w:eastAsia="宋体" w:hAnsi="Arial" w:cs="Arial"/>
          <w:kern w:val="0"/>
          <w:sz w:val="20"/>
          <w:szCs w:val="20"/>
        </w:rPr>
        <w:t>)</w:t>
      </w:r>
      <w:r w:rsidRPr="00C93B9D">
        <w:rPr>
          <w:rFonts w:ascii="Arial" w:eastAsia="宋体" w:hAnsi="Arial" w:cs="Arial"/>
          <w:kern w:val="0"/>
          <w:sz w:val="20"/>
          <w:szCs w:val="20"/>
        </w:rPr>
        <w:t>、维安可欣、沃格孟汀、怡力沙、尤林加、元欣、</w:t>
      </w:r>
      <w:r w:rsidRPr="00C93B9D">
        <w:rPr>
          <w:rFonts w:ascii="Arial" w:eastAsia="宋体" w:hAnsi="Arial" w:cs="Arial"/>
          <w:kern w:val="0"/>
          <w:sz w:val="20"/>
          <w:szCs w:val="20"/>
        </w:rPr>
        <w:t>Amoxicillin Trihrdrate/Clavulana</w:t>
      </w:r>
      <w:r w:rsidRPr="00C93B9D">
        <w:rPr>
          <w:rFonts w:ascii="Arial" w:eastAsia="宋体" w:hAnsi="Arial" w:cs="Arial"/>
          <w:kern w:val="0"/>
          <w:sz w:val="20"/>
          <w:szCs w:val="20"/>
        </w:rPr>
        <w:t>、</w:t>
      </w:r>
      <w:r w:rsidRPr="00C93B9D">
        <w:rPr>
          <w:rFonts w:ascii="Arial" w:eastAsia="宋体" w:hAnsi="Arial" w:cs="Arial"/>
          <w:kern w:val="0"/>
          <w:sz w:val="20"/>
          <w:szCs w:val="20"/>
        </w:rPr>
        <w:t>Amoxicillin Trihydrate/Clavulanate Potassium</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Amoxicillin/Clavulanate</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Amoxicillin-Clavulanic acid</w:t>
      </w:r>
      <w:r w:rsidRPr="00C93B9D">
        <w:rPr>
          <w:rFonts w:ascii="Arial" w:eastAsia="宋体" w:hAnsi="Arial" w:cs="Arial"/>
          <w:kern w:val="0"/>
          <w:sz w:val="20"/>
          <w:szCs w:val="20"/>
        </w:rPr>
        <w:t>、</w:t>
      </w:r>
      <w:r w:rsidRPr="00C93B9D">
        <w:rPr>
          <w:rFonts w:ascii="Arial" w:eastAsia="宋体" w:hAnsi="Arial" w:cs="Arial"/>
          <w:kern w:val="0"/>
          <w:sz w:val="20"/>
          <w:szCs w:val="20"/>
        </w:rPr>
        <w:t>Amoxicillin-Potassium Clavulanic Acid</w:t>
      </w:r>
      <w:r w:rsidRPr="00C93B9D">
        <w:rPr>
          <w:rFonts w:ascii="Arial" w:eastAsia="宋体" w:hAnsi="Arial" w:cs="Arial"/>
          <w:kern w:val="0"/>
          <w:sz w:val="20"/>
          <w:szCs w:val="20"/>
        </w:rPr>
        <w:t>、</w:t>
      </w:r>
      <w:r w:rsidRPr="00C93B9D">
        <w:rPr>
          <w:rFonts w:ascii="Arial" w:eastAsia="宋体" w:hAnsi="Arial" w:cs="Arial"/>
          <w:kern w:val="0"/>
          <w:sz w:val="20"/>
          <w:szCs w:val="20"/>
        </w:rPr>
        <w:t>Anke</w:t>
      </w:r>
      <w:r w:rsidRPr="00C93B9D">
        <w:rPr>
          <w:rFonts w:ascii="Arial" w:eastAsia="宋体" w:hAnsi="Arial" w:cs="Arial"/>
          <w:kern w:val="0"/>
          <w:sz w:val="20"/>
          <w:szCs w:val="20"/>
        </w:rPr>
        <w:t>、</w:t>
      </w:r>
      <w:r w:rsidRPr="00C93B9D">
        <w:rPr>
          <w:rFonts w:ascii="Arial" w:eastAsia="宋体" w:hAnsi="Arial" w:cs="Arial"/>
          <w:kern w:val="0"/>
          <w:sz w:val="20"/>
          <w:szCs w:val="20"/>
        </w:rPr>
        <w:t>Curam</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【组成成分】</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本药主要成分为阿莫西林、克拉维酸钾。</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【药理分类】</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w:t>
      </w:r>
      <w:r w:rsidRPr="00C93B9D">
        <w:rPr>
          <w:rFonts w:ascii="Arial" w:eastAsia="宋体" w:hAnsi="Arial" w:cs="Arial"/>
          <w:kern w:val="0"/>
          <w:sz w:val="20"/>
          <w:szCs w:val="20"/>
        </w:rPr>
        <w:t>青霉素类</w:t>
      </w:r>
      <w:r w:rsidRPr="00C93B9D">
        <w:rPr>
          <w:rFonts w:ascii="Arial" w:eastAsia="宋体" w:hAnsi="Arial" w:cs="Arial"/>
          <w:kern w:val="0"/>
          <w:sz w:val="20"/>
          <w:szCs w:val="20"/>
        </w:rPr>
        <w:t>&gt;&gt;</w:t>
      </w:r>
      <w:r w:rsidRPr="00C93B9D">
        <w:rPr>
          <w:rFonts w:ascii="Arial" w:eastAsia="宋体" w:hAnsi="Arial" w:cs="Arial"/>
          <w:kern w:val="0"/>
          <w:sz w:val="20"/>
          <w:szCs w:val="20"/>
        </w:rPr>
        <w:t>半合成青霉素</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&gt;&gt;β-</w:t>
      </w:r>
      <w:r w:rsidRPr="00C93B9D">
        <w:rPr>
          <w:rFonts w:ascii="Arial" w:eastAsia="宋体" w:hAnsi="Arial" w:cs="Arial"/>
          <w:kern w:val="0"/>
          <w:sz w:val="20"/>
          <w:szCs w:val="20"/>
        </w:rPr>
        <w:t>内酰胺酶抑制药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【临床应用】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CFDA</w:t>
      </w:r>
      <w:r w:rsidRPr="00C93B9D">
        <w:rPr>
          <w:rFonts w:ascii="Arial" w:eastAsia="宋体" w:hAnsi="Arial" w:cs="Arial"/>
          <w:b/>
          <w:bCs/>
          <w:kern w:val="0"/>
          <w:sz w:val="20"/>
          <w:szCs w:val="20"/>
        </w:rPr>
        <w:t>说明书适应症</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用于治疗敏感菌株引起的如下感染：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上呼吸道感染，如扁桃体炎、鼻窦炎、咽炎、中耳炎等。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下呼吸道感染，如急性支气管炎、慢性支气管炎急性发作、肺炎、肺脓肿和支气管扩张合并感染等。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3.</w:t>
      </w:r>
      <w:r w:rsidRPr="00C93B9D">
        <w:rPr>
          <w:rFonts w:ascii="Arial" w:eastAsia="宋体" w:hAnsi="Arial" w:cs="Arial"/>
          <w:kern w:val="0"/>
          <w:sz w:val="20"/>
          <w:szCs w:val="20"/>
        </w:rPr>
        <w:t>泌尿系统感染，如膀胱炎、尿道炎、肾盂肾炎、前列腺炎、盆腔炎、淋病奈瑟菌尿路感染、软下疳等。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皮肤和软组织感染，如疖、脓肿、蜂窝组织炎、外伤感染、腹内脓毒症等。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5.</w:t>
      </w:r>
      <w:r w:rsidRPr="00C93B9D">
        <w:rPr>
          <w:rFonts w:ascii="Arial" w:eastAsia="宋体" w:hAnsi="Arial" w:cs="Arial"/>
          <w:kern w:val="0"/>
          <w:sz w:val="20"/>
          <w:szCs w:val="20"/>
        </w:rPr>
        <w:t>其他感染，如骨髓炎、败血症、腹膜炎、术后感染等。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【用法与用量】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成人</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(1)14:1</w:t>
      </w:r>
      <w:r w:rsidRPr="00C93B9D">
        <w:rPr>
          <w:rFonts w:ascii="Arial" w:eastAsia="宋体" w:hAnsi="Arial" w:cs="Arial"/>
          <w:kern w:val="0"/>
          <w:sz w:val="20"/>
          <w:szCs w:val="20"/>
        </w:rPr>
        <w:t>制剂：一日</w:t>
      </w:r>
      <w:r w:rsidRPr="00C93B9D">
        <w:rPr>
          <w:rFonts w:ascii="Arial" w:eastAsia="宋体" w:hAnsi="Arial" w:cs="Arial"/>
          <w:kern w:val="0"/>
          <w:sz w:val="20"/>
          <w:szCs w:val="20"/>
        </w:rPr>
        <w:t>90mg/kg</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次服用，连用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(2)7:1</w:t>
      </w:r>
      <w:r w:rsidRPr="00C93B9D">
        <w:rPr>
          <w:rFonts w:ascii="Arial" w:eastAsia="宋体" w:hAnsi="Arial" w:cs="Arial"/>
          <w:kern w:val="0"/>
          <w:sz w:val="20"/>
          <w:szCs w:val="20"/>
        </w:rPr>
        <w:t>制剂：一次</w:t>
      </w:r>
      <w:r w:rsidRPr="00C93B9D">
        <w:rPr>
          <w:rFonts w:ascii="Arial" w:eastAsia="宋体" w:hAnsi="Arial" w:cs="Arial"/>
          <w:kern w:val="0"/>
          <w:sz w:val="20"/>
          <w:szCs w:val="20"/>
        </w:rPr>
        <w:t>457-914mg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(3)4:1</w:t>
      </w:r>
      <w:r w:rsidRPr="00C93B9D">
        <w:rPr>
          <w:rFonts w:ascii="Arial" w:eastAsia="宋体" w:hAnsi="Arial" w:cs="Arial"/>
          <w:kern w:val="0"/>
          <w:sz w:val="20"/>
          <w:szCs w:val="20"/>
        </w:rPr>
        <w:t>制剂：一次</w:t>
      </w:r>
      <w:r w:rsidRPr="00C93B9D">
        <w:rPr>
          <w:rFonts w:ascii="Arial" w:eastAsia="宋体" w:hAnsi="Arial" w:cs="Arial"/>
          <w:kern w:val="0"/>
          <w:sz w:val="20"/>
          <w:szCs w:val="20"/>
        </w:rPr>
        <w:t>312.5mg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(4)2:1</w:t>
      </w:r>
      <w:r w:rsidRPr="00C93B9D">
        <w:rPr>
          <w:rFonts w:ascii="Arial" w:eastAsia="宋体" w:hAnsi="Arial" w:cs="Arial"/>
          <w:kern w:val="0"/>
          <w:sz w:val="20"/>
          <w:szCs w:val="20"/>
        </w:rPr>
        <w:t>制剂：一次</w:t>
      </w:r>
      <w:r w:rsidRPr="00C93B9D">
        <w:rPr>
          <w:rFonts w:ascii="Arial" w:eastAsia="宋体" w:hAnsi="Arial" w:cs="Arial"/>
          <w:kern w:val="0"/>
          <w:sz w:val="20"/>
          <w:szCs w:val="20"/>
        </w:rPr>
        <w:t>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预防手术感染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通常于诱导麻醉时给予本药</w:t>
      </w:r>
      <w:r w:rsidRPr="00C93B9D">
        <w:rPr>
          <w:rFonts w:ascii="Arial" w:eastAsia="宋体" w:hAnsi="Arial" w:cs="Arial"/>
          <w:kern w:val="0"/>
          <w:sz w:val="20"/>
          <w:szCs w:val="20"/>
        </w:rPr>
        <w:t>1.2g</w:t>
      </w:r>
      <w:r w:rsidRPr="00C93B9D">
        <w:rPr>
          <w:rFonts w:ascii="Arial" w:eastAsia="宋体" w:hAnsi="Arial" w:cs="Arial"/>
          <w:kern w:val="0"/>
          <w:sz w:val="20"/>
          <w:szCs w:val="20"/>
        </w:rPr>
        <w:t>。对有高感染危险性手术</w:t>
      </w:r>
      <w:r w:rsidRPr="00C93B9D">
        <w:rPr>
          <w:rFonts w:ascii="Arial" w:eastAsia="宋体" w:hAnsi="Arial" w:cs="Arial"/>
          <w:kern w:val="0"/>
          <w:sz w:val="20"/>
          <w:szCs w:val="20"/>
        </w:rPr>
        <w:t>(</w:t>
      </w:r>
      <w:r w:rsidRPr="00C93B9D">
        <w:rPr>
          <w:rFonts w:ascii="Arial" w:eastAsia="宋体" w:hAnsi="Arial" w:cs="Arial"/>
          <w:kern w:val="0"/>
          <w:sz w:val="20"/>
          <w:szCs w:val="20"/>
        </w:rPr>
        <w:t>如结肠手术</w:t>
      </w:r>
      <w:r w:rsidRPr="00C93B9D">
        <w:rPr>
          <w:rFonts w:ascii="Arial" w:eastAsia="宋体" w:hAnsi="Arial" w:cs="Arial"/>
          <w:kern w:val="0"/>
          <w:sz w:val="20"/>
          <w:szCs w:val="20"/>
        </w:rPr>
        <w:t>)</w:t>
      </w:r>
      <w:r w:rsidRPr="00C93B9D">
        <w:rPr>
          <w:rFonts w:ascii="Arial" w:eastAsia="宋体" w:hAnsi="Arial" w:cs="Arial"/>
          <w:kern w:val="0"/>
          <w:sz w:val="20"/>
          <w:szCs w:val="20"/>
        </w:rPr>
        <w:t>的患者，一次</w:t>
      </w:r>
      <w:r w:rsidRPr="00C93B9D">
        <w:rPr>
          <w:rFonts w:ascii="Arial" w:eastAsia="宋体" w:hAnsi="Arial" w:cs="Arial"/>
          <w:kern w:val="0"/>
          <w:sz w:val="20"/>
          <w:szCs w:val="20"/>
        </w:rPr>
        <w:t>1.2g</w:t>
      </w:r>
      <w:r w:rsidRPr="00C93B9D">
        <w:rPr>
          <w:rFonts w:ascii="Arial" w:eastAsia="宋体" w:hAnsi="Arial" w:cs="Arial"/>
          <w:kern w:val="0"/>
          <w:sz w:val="20"/>
          <w:szCs w:val="20"/>
        </w:rPr>
        <w:t>，可在</w:t>
      </w:r>
      <w:r w:rsidRPr="00C93B9D">
        <w:rPr>
          <w:rFonts w:ascii="Arial" w:eastAsia="宋体" w:hAnsi="Arial" w:cs="Arial"/>
          <w:kern w:val="0"/>
          <w:sz w:val="20"/>
          <w:szCs w:val="20"/>
        </w:rPr>
        <w:t>24</w:t>
      </w:r>
      <w:r w:rsidRPr="00C93B9D">
        <w:rPr>
          <w:rFonts w:ascii="Arial" w:eastAsia="宋体" w:hAnsi="Arial" w:cs="Arial"/>
          <w:kern w:val="0"/>
          <w:sz w:val="20"/>
          <w:szCs w:val="20"/>
        </w:rPr>
        <w:t>小时内给予</w:t>
      </w:r>
      <w:r w:rsidRPr="00C93B9D">
        <w:rPr>
          <w:rFonts w:ascii="Arial" w:eastAsia="宋体" w:hAnsi="Arial" w:cs="Arial"/>
          <w:kern w:val="0"/>
          <w:sz w:val="20"/>
          <w:szCs w:val="20"/>
        </w:rPr>
        <w:t>3-4</w:t>
      </w:r>
      <w:r w:rsidRPr="00C93B9D">
        <w:rPr>
          <w:rFonts w:ascii="Arial" w:eastAsia="宋体" w:hAnsi="Arial" w:cs="Arial"/>
          <w:kern w:val="0"/>
          <w:sz w:val="20"/>
          <w:szCs w:val="20"/>
        </w:rPr>
        <w:t>次</w:t>
      </w:r>
      <w:r w:rsidRPr="00C93B9D">
        <w:rPr>
          <w:rFonts w:ascii="Arial" w:eastAsia="宋体" w:hAnsi="Arial" w:cs="Arial"/>
          <w:kern w:val="0"/>
          <w:sz w:val="20"/>
          <w:szCs w:val="20"/>
        </w:rPr>
        <w:t>(</w:t>
      </w:r>
      <w:r w:rsidRPr="00C93B9D">
        <w:rPr>
          <w:rFonts w:ascii="Arial" w:eastAsia="宋体" w:hAnsi="Arial" w:cs="Arial"/>
          <w:kern w:val="0"/>
          <w:sz w:val="20"/>
          <w:szCs w:val="20"/>
        </w:rPr>
        <w:t>可于</w:t>
      </w:r>
      <w:r w:rsidRPr="00C93B9D">
        <w:rPr>
          <w:rFonts w:ascii="Arial" w:eastAsia="宋体" w:hAnsi="Arial" w:cs="Arial"/>
          <w:kern w:val="0"/>
          <w:sz w:val="20"/>
          <w:szCs w:val="20"/>
        </w:rPr>
        <w:t>0</w:t>
      </w:r>
      <w:r w:rsidRPr="00C93B9D">
        <w:rPr>
          <w:rFonts w:ascii="Arial" w:eastAsia="宋体" w:hAnsi="Arial" w:cs="Arial"/>
          <w:kern w:val="0"/>
          <w:sz w:val="20"/>
          <w:szCs w:val="20"/>
        </w:rPr>
        <w:t>、</w:t>
      </w:r>
      <w:r w:rsidRPr="00C93B9D">
        <w:rPr>
          <w:rFonts w:ascii="Arial" w:eastAsia="宋体" w:hAnsi="Arial" w:cs="Arial"/>
          <w:kern w:val="0"/>
          <w:sz w:val="20"/>
          <w:szCs w:val="20"/>
        </w:rPr>
        <w:t>8</w:t>
      </w:r>
      <w:r w:rsidRPr="00C93B9D">
        <w:rPr>
          <w:rFonts w:ascii="Arial" w:eastAsia="宋体" w:hAnsi="Arial" w:cs="Arial"/>
          <w:kern w:val="0"/>
          <w:sz w:val="20"/>
          <w:szCs w:val="20"/>
        </w:rPr>
        <w:t>、</w:t>
      </w:r>
      <w:r w:rsidRPr="00C93B9D">
        <w:rPr>
          <w:rFonts w:ascii="Arial" w:eastAsia="宋体" w:hAnsi="Arial" w:cs="Arial"/>
          <w:kern w:val="0"/>
          <w:sz w:val="20"/>
          <w:szCs w:val="20"/>
        </w:rPr>
        <w:t>16</w:t>
      </w:r>
      <w:r w:rsidRPr="00C93B9D">
        <w:rPr>
          <w:rFonts w:ascii="Arial" w:eastAsia="宋体" w:hAnsi="Arial" w:cs="Arial"/>
          <w:kern w:val="0"/>
          <w:sz w:val="20"/>
          <w:szCs w:val="20"/>
        </w:rPr>
        <w:t>和</w:t>
      </w:r>
      <w:r w:rsidRPr="00C93B9D">
        <w:rPr>
          <w:rFonts w:ascii="Arial" w:eastAsia="宋体" w:hAnsi="Arial" w:cs="Arial"/>
          <w:kern w:val="0"/>
          <w:sz w:val="20"/>
          <w:szCs w:val="20"/>
        </w:rPr>
        <w:t>24</w:t>
      </w:r>
      <w:r w:rsidRPr="00C93B9D">
        <w:rPr>
          <w:rFonts w:ascii="Arial" w:eastAsia="宋体" w:hAnsi="Arial" w:cs="Arial"/>
          <w:kern w:val="0"/>
          <w:sz w:val="20"/>
          <w:szCs w:val="20"/>
        </w:rPr>
        <w:t>小时给药</w:t>
      </w:r>
      <w:r w:rsidRPr="00C93B9D">
        <w:rPr>
          <w:rFonts w:ascii="Arial" w:eastAsia="宋体" w:hAnsi="Arial" w:cs="Arial"/>
          <w:kern w:val="0"/>
          <w:sz w:val="20"/>
          <w:szCs w:val="20"/>
        </w:rPr>
        <w:t>)</w:t>
      </w:r>
      <w:r w:rsidRPr="00C93B9D">
        <w:rPr>
          <w:rFonts w:ascii="Arial" w:eastAsia="宋体" w:hAnsi="Arial" w:cs="Arial"/>
          <w:kern w:val="0"/>
          <w:sz w:val="20"/>
          <w:szCs w:val="20"/>
        </w:rPr>
        <w:t>。如术中感染的危险性增加，可继续按此方案给药数日。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肾功能减退者应根据血浆肌酐清除率</w:t>
      </w:r>
      <w:r w:rsidRPr="00C93B9D">
        <w:rPr>
          <w:rFonts w:ascii="Arial" w:eastAsia="宋体" w:hAnsi="Arial" w:cs="Arial"/>
          <w:kern w:val="0"/>
          <w:sz w:val="20"/>
          <w:szCs w:val="20"/>
        </w:rPr>
        <w:t>(Ccr)</w:t>
      </w:r>
      <w:r w:rsidRPr="00C93B9D">
        <w:rPr>
          <w:rFonts w:ascii="Arial" w:eastAsia="宋体" w:hAnsi="Arial" w:cs="Arial"/>
          <w:kern w:val="0"/>
          <w:sz w:val="20"/>
          <w:szCs w:val="20"/>
        </w:rPr>
        <w:t>调整剂量或给药间隔。</w:t>
      </w:r>
      <w:r w:rsidRPr="00C93B9D">
        <w:rPr>
          <w:rFonts w:ascii="Arial" w:eastAsia="宋体" w:hAnsi="Arial" w:cs="Arial"/>
          <w:kern w:val="0"/>
          <w:sz w:val="20"/>
          <w:szCs w:val="20"/>
        </w:rPr>
        <w:t>(1)Ccr</w:t>
      </w:r>
      <w:r w:rsidRPr="00C93B9D">
        <w:rPr>
          <w:rFonts w:ascii="Arial" w:eastAsia="宋体" w:hAnsi="Arial" w:cs="Arial"/>
          <w:kern w:val="0"/>
          <w:sz w:val="20"/>
          <w:szCs w:val="20"/>
        </w:rPr>
        <w:t>大于</w:t>
      </w:r>
      <w:r w:rsidRPr="00C93B9D">
        <w:rPr>
          <w:rFonts w:ascii="Arial" w:eastAsia="宋体" w:hAnsi="Arial" w:cs="Arial"/>
          <w:kern w:val="0"/>
          <w:sz w:val="20"/>
          <w:szCs w:val="20"/>
        </w:rPr>
        <w:t>30ml/min</w:t>
      </w:r>
      <w:r w:rsidRPr="00C93B9D">
        <w:rPr>
          <w:rFonts w:ascii="Arial" w:eastAsia="宋体" w:hAnsi="Arial" w:cs="Arial"/>
          <w:kern w:val="0"/>
          <w:sz w:val="20"/>
          <w:szCs w:val="20"/>
        </w:rPr>
        <w:t>者，无需减量。</w:t>
      </w:r>
      <w:r w:rsidRPr="00C93B9D">
        <w:rPr>
          <w:rFonts w:ascii="Arial" w:eastAsia="宋体" w:hAnsi="Arial" w:cs="Arial"/>
          <w:kern w:val="0"/>
          <w:sz w:val="20"/>
          <w:szCs w:val="20"/>
        </w:rPr>
        <w:t>(2)Ccr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口服制剂，一次</w:t>
      </w:r>
      <w:r w:rsidRPr="00C93B9D">
        <w:rPr>
          <w:rFonts w:ascii="Arial" w:eastAsia="宋体" w:hAnsi="Arial" w:cs="Arial"/>
          <w:kern w:val="0"/>
          <w:sz w:val="20"/>
          <w:szCs w:val="20"/>
        </w:rPr>
        <w:t>375mg</w:t>
      </w:r>
      <w:r w:rsidRPr="00C93B9D">
        <w:rPr>
          <w:rFonts w:ascii="Arial" w:eastAsia="宋体" w:hAnsi="Arial" w:cs="Arial"/>
          <w:kern w:val="0"/>
          <w:sz w:val="20"/>
          <w:szCs w:val="20"/>
        </w:rPr>
        <w:t>或</w:t>
      </w:r>
      <w:r w:rsidRPr="00C93B9D">
        <w:rPr>
          <w:rFonts w:ascii="Arial" w:eastAsia="宋体" w:hAnsi="Arial" w:cs="Arial"/>
          <w:kern w:val="0"/>
          <w:sz w:val="20"/>
          <w:szCs w:val="20"/>
        </w:rPr>
        <w:t>625mg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12</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t>(3)Ccr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制剂，口服给药，一次</w:t>
      </w:r>
      <w:r w:rsidRPr="00C93B9D">
        <w:rPr>
          <w:rFonts w:ascii="Arial" w:eastAsia="宋体" w:hAnsi="Arial" w:cs="Arial"/>
          <w:kern w:val="0"/>
          <w:sz w:val="20"/>
          <w:szCs w:val="20"/>
        </w:rPr>
        <w:t>375mg</w:t>
      </w:r>
      <w:r w:rsidRPr="00C93B9D">
        <w:rPr>
          <w:rFonts w:ascii="Arial" w:eastAsia="宋体" w:hAnsi="Arial" w:cs="Arial"/>
          <w:kern w:val="0"/>
          <w:sz w:val="20"/>
          <w:szCs w:val="20"/>
        </w:rPr>
        <w:t>，每</w:t>
      </w:r>
      <w:r w:rsidRPr="00C93B9D">
        <w:rPr>
          <w:rFonts w:ascii="Arial" w:eastAsia="宋体" w:hAnsi="Arial" w:cs="Arial"/>
          <w:kern w:val="0"/>
          <w:sz w:val="20"/>
          <w:szCs w:val="20"/>
        </w:rPr>
        <w:t>12-24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注射剂，静脉给药，初始剂量为</w:t>
      </w:r>
      <w:r w:rsidRPr="00C93B9D">
        <w:rPr>
          <w:rFonts w:ascii="Arial" w:eastAsia="宋体" w:hAnsi="Arial" w:cs="Arial"/>
          <w:kern w:val="0"/>
          <w:sz w:val="20"/>
          <w:szCs w:val="20"/>
        </w:rPr>
        <w:lastRenderedPageBreak/>
        <w:t>1.2g</w:t>
      </w:r>
      <w:r w:rsidRPr="00C93B9D">
        <w:rPr>
          <w:rFonts w:ascii="Arial" w:eastAsia="宋体" w:hAnsi="Arial" w:cs="Arial"/>
          <w:kern w:val="0"/>
          <w:sz w:val="20"/>
          <w:szCs w:val="20"/>
        </w:rPr>
        <w:t>，随后每</w:t>
      </w:r>
      <w:r w:rsidRPr="00C93B9D">
        <w:rPr>
          <w:rFonts w:ascii="Arial" w:eastAsia="宋体" w:hAnsi="Arial" w:cs="Arial"/>
          <w:kern w:val="0"/>
          <w:sz w:val="20"/>
          <w:szCs w:val="20"/>
        </w:rPr>
        <w:t>24</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，并采用透析法降低本药血药浓度，在透析过程中或透析后补充给予本药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老年人剂量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老年患者应根据肾功能情况调整用药剂量或给药间隔。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血液透析可影响本药中阿莫西林的血药浓度，需在血液透析过程中及结束时各加用</w:t>
      </w:r>
      <w:r w:rsidRPr="00C93B9D">
        <w:rPr>
          <w:rFonts w:ascii="Arial" w:eastAsia="宋体" w:hAnsi="Arial" w:cs="Arial"/>
          <w:kern w:val="0"/>
          <w:sz w:val="20"/>
          <w:szCs w:val="20"/>
        </w:rPr>
        <w:t>1</w:t>
      </w:r>
      <w:r w:rsidRPr="00C93B9D">
        <w:rPr>
          <w:rFonts w:ascii="Arial" w:eastAsia="宋体" w:hAnsi="Arial" w:cs="Arial"/>
          <w:kern w:val="0"/>
          <w:sz w:val="20"/>
          <w:szCs w:val="20"/>
        </w:rPr>
        <w:t>次剂量。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儿童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(1)7:1</w:t>
      </w:r>
      <w:r w:rsidRPr="00C93B9D">
        <w:rPr>
          <w:rFonts w:ascii="Arial" w:eastAsia="宋体" w:hAnsi="Arial" w:cs="Arial"/>
          <w:kern w:val="0"/>
          <w:sz w:val="20"/>
          <w:szCs w:val="20"/>
        </w:rPr>
        <w:t>制剂：小于</w:t>
      </w:r>
      <w:r w:rsidRPr="00C93B9D">
        <w:rPr>
          <w:rFonts w:ascii="Arial" w:eastAsia="宋体" w:hAnsi="Arial" w:cs="Arial"/>
          <w:kern w:val="0"/>
          <w:sz w:val="20"/>
          <w:szCs w:val="20"/>
        </w:rPr>
        <w:t>9</w:t>
      </w:r>
      <w:r w:rsidRPr="00C93B9D">
        <w:rPr>
          <w:rFonts w:ascii="Arial" w:eastAsia="宋体" w:hAnsi="Arial" w:cs="Arial"/>
          <w:kern w:val="0"/>
          <w:sz w:val="20"/>
          <w:szCs w:val="20"/>
        </w:rPr>
        <w:t>个月至</w:t>
      </w:r>
      <w:r w:rsidRPr="00C93B9D">
        <w:rPr>
          <w:rFonts w:ascii="Arial" w:eastAsia="宋体" w:hAnsi="Arial" w:cs="Arial"/>
          <w:kern w:val="0"/>
          <w:sz w:val="20"/>
          <w:szCs w:val="20"/>
        </w:rPr>
        <w:t>2</w:t>
      </w:r>
      <w:r w:rsidRPr="00C93B9D">
        <w:rPr>
          <w:rFonts w:ascii="Arial" w:eastAsia="宋体" w:hAnsi="Arial" w:cs="Arial"/>
          <w:kern w:val="0"/>
          <w:sz w:val="20"/>
          <w:szCs w:val="20"/>
        </w:rPr>
        <w:t>岁儿童，一次</w:t>
      </w:r>
      <w:r w:rsidRPr="00C93B9D">
        <w:rPr>
          <w:rFonts w:ascii="Arial" w:eastAsia="宋体" w:hAnsi="Arial" w:cs="Arial"/>
          <w:kern w:val="0"/>
          <w:sz w:val="20"/>
          <w:szCs w:val="20"/>
        </w:rPr>
        <w:t>114.25mg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2-7</w:t>
      </w:r>
      <w:r w:rsidRPr="00C93B9D">
        <w:rPr>
          <w:rFonts w:ascii="Arial" w:eastAsia="宋体" w:hAnsi="Arial" w:cs="Arial"/>
          <w:kern w:val="0"/>
          <w:sz w:val="20"/>
          <w:szCs w:val="20"/>
        </w:rPr>
        <w:t>岁儿童，一次</w:t>
      </w:r>
      <w:r w:rsidRPr="00C93B9D">
        <w:rPr>
          <w:rFonts w:ascii="Arial" w:eastAsia="宋体" w:hAnsi="Arial" w:cs="Arial"/>
          <w:kern w:val="0"/>
          <w:sz w:val="20"/>
          <w:szCs w:val="20"/>
        </w:rPr>
        <w:t>228.5mg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342.75mg</w:t>
      </w:r>
      <w:r w:rsidRPr="00C93B9D">
        <w:rPr>
          <w:rFonts w:ascii="Arial" w:eastAsia="宋体" w:hAnsi="Arial" w:cs="Arial"/>
          <w:kern w:val="0"/>
          <w:sz w:val="20"/>
          <w:szCs w:val="20"/>
        </w:rPr>
        <w:t>，每小时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岁及以上，或体重大于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(2)4:1</w:t>
      </w:r>
      <w:r w:rsidRPr="00C93B9D">
        <w:rPr>
          <w:rFonts w:ascii="Arial" w:eastAsia="宋体" w:hAnsi="Arial" w:cs="Arial"/>
          <w:kern w:val="0"/>
          <w:sz w:val="20"/>
          <w:szCs w:val="20"/>
        </w:rPr>
        <w:t>制剂：</w:t>
      </w:r>
      <w:r w:rsidRPr="00C93B9D">
        <w:rPr>
          <w:rFonts w:ascii="Arial" w:eastAsia="宋体" w:hAnsi="Arial" w:cs="Arial"/>
          <w:kern w:val="0"/>
          <w:sz w:val="20"/>
          <w:szCs w:val="20"/>
        </w:rPr>
        <w:t>3</w:t>
      </w:r>
      <w:r w:rsidRPr="00C93B9D">
        <w:rPr>
          <w:rFonts w:ascii="Arial" w:eastAsia="宋体" w:hAnsi="Arial" w:cs="Arial"/>
          <w:kern w:val="0"/>
          <w:sz w:val="20"/>
          <w:szCs w:val="20"/>
        </w:rPr>
        <w:t>个月至</w:t>
      </w:r>
      <w:r w:rsidRPr="00C93B9D">
        <w:rPr>
          <w:rFonts w:ascii="Arial" w:eastAsia="宋体" w:hAnsi="Arial" w:cs="Arial"/>
          <w:kern w:val="0"/>
          <w:sz w:val="20"/>
          <w:szCs w:val="20"/>
        </w:rPr>
        <w:t>1</w:t>
      </w:r>
      <w:r w:rsidRPr="00C93B9D">
        <w:rPr>
          <w:rFonts w:ascii="Arial" w:eastAsia="宋体" w:hAnsi="Arial" w:cs="Arial"/>
          <w:kern w:val="0"/>
          <w:sz w:val="20"/>
          <w:szCs w:val="20"/>
        </w:rPr>
        <w:t>岁儿童，一次</w:t>
      </w:r>
      <w:r w:rsidRPr="00C93B9D">
        <w:rPr>
          <w:rFonts w:ascii="Arial" w:eastAsia="宋体" w:hAnsi="Arial" w:cs="Arial"/>
          <w:kern w:val="0"/>
          <w:sz w:val="20"/>
          <w:szCs w:val="20"/>
        </w:rPr>
        <w:t>78.125mg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1-7</w:t>
      </w:r>
      <w:r w:rsidRPr="00C93B9D">
        <w:rPr>
          <w:rFonts w:ascii="Arial" w:eastAsia="宋体" w:hAnsi="Arial" w:cs="Arial"/>
          <w:kern w:val="0"/>
          <w:sz w:val="20"/>
          <w:szCs w:val="20"/>
        </w:rPr>
        <w:t>岁儿童，一次</w:t>
      </w:r>
      <w:r w:rsidRPr="00C93B9D">
        <w:rPr>
          <w:rFonts w:ascii="Arial" w:eastAsia="宋体" w:hAnsi="Arial" w:cs="Arial"/>
          <w:kern w:val="0"/>
          <w:sz w:val="20"/>
          <w:szCs w:val="20"/>
        </w:rPr>
        <w:t>156.25mg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234.375mg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Pr="00C93B9D">
        <w:rPr>
          <w:rFonts w:ascii="Arial" w:eastAsia="宋体" w:hAnsi="Arial" w:cs="Arial"/>
          <w:kern w:val="0"/>
          <w:sz w:val="20"/>
          <w:szCs w:val="20"/>
        </w:rPr>
        <w:t>(3)2:1</w:t>
      </w:r>
      <w:r w:rsidRPr="00C93B9D">
        <w:rPr>
          <w:rFonts w:ascii="Arial" w:eastAsia="宋体" w:hAnsi="Arial" w:cs="Arial"/>
          <w:kern w:val="0"/>
          <w:sz w:val="20"/>
          <w:szCs w:val="20"/>
        </w:rPr>
        <w:t>制剂：</w:t>
      </w:r>
      <w:r w:rsidRPr="00C93B9D">
        <w:rPr>
          <w:rFonts w:ascii="Arial" w:eastAsia="宋体" w:hAnsi="Arial" w:cs="Arial"/>
          <w:kern w:val="0"/>
          <w:sz w:val="20"/>
          <w:szCs w:val="20"/>
        </w:rPr>
        <w:t>12</w:t>
      </w:r>
      <w:r w:rsidRPr="00C93B9D">
        <w:rPr>
          <w:rFonts w:ascii="Arial" w:eastAsia="宋体" w:hAnsi="Arial" w:cs="Arial"/>
          <w:kern w:val="0"/>
          <w:sz w:val="20"/>
          <w:szCs w:val="20"/>
        </w:rPr>
        <w:t>岁以下儿童，一日</w:t>
      </w:r>
      <w:r w:rsidRPr="00C93B9D">
        <w:rPr>
          <w:rFonts w:ascii="Arial" w:eastAsia="宋体" w:hAnsi="Arial" w:cs="Arial"/>
          <w:kern w:val="0"/>
          <w:sz w:val="20"/>
          <w:szCs w:val="20"/>
        </w:rPr>
        <w:t>20mg/kg</w:t>
      </w:r>
      <w:r w:rsidRPr="00C93B9D">
        <w:rPr>
          <w:rFonts w:ascii="Arial" w:eastAsia="宋体" w:hAnsi="Arial" w:cs="Arial"/>
          <w:kern w:val="0"/>
          <w:sz w:val="20"/>
          <w:szCs w:val="20"/>
        </w:rPr>
        <w:t>，分</w:t>
      </w:r>
      <w:r w:rsidRPr="00C93B9D">
        <w:rPr>
          <w:rFonts w:ascii="Arial" w:eastAsia="宋体" w:hAnsi="Arial" w:cs="Arial"/>
          <w:kern w:val="0"/>
          <w:sz w:val="20"/>
          <w:szCs w:val="20"/>
        </w:rPr>
        <w:t>3</w:t>
      </w:r>
      <w:r w:rsidRPr="00C93B9D">
        <w:rPr>
          <w:rFonts w:ascii="Arial" w:eastAsia="宋体" w:hAnsi="Arial" w:cs="Arial"/>
          <w:kern w:val="0"/>
          <w:sz w:val="20"/>
          <w:szCs w:val="20"/>
        </w:rPr>
        <w:t>次服用，严重感染时，剂量可加倍，未经重新检查，连续治疗不得超过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w:t>
      </w:r>
      <w:r w:rsidRPr="00C93B9D">
        <w:rPr>
          <w:rFonts w:ascii="Arial" w:eastAsia="宋体" w:hAnsi="Arial" w:cs="Arial"/>
          <w:kern w:val="0"/>
          <w:sz w:val="20"/>
          <w:szCs w:val="20"/>
        </w:rPr>
        <w:t>(1)</w:t>
      </w:r>
      <w:r w:rsidRPr="00C93B9D">
        <w:rPr>
          <w:rFonts w:ascii="Arial" w:eastAsia="宋体" w:hAnsi="Arial" w:cs="Arial"/>
          <w:kern w:val="0"/>
          <w:sz w:val="20"/>
          <w:szCs w:val="20"/>
        </w:rPr>
        <w:t>早产儿或足月新生儿，一次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次，随后剂量增至一次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(2)3</w:t>
      </w:r>
      <w:r w:rsidRPr="00C93B9D">
        <w:rPr>
          <w:rFonts w:ascii="Arial" w:eastAsia="宋体" w:hAnsi="Arial" w:cs="Arial"/>
          <w:kern w:val="0"/>
          <w:sz w:val="20"/>
          <w:szCs w:val="20"/>
        </w:rPr>
        <w:t>个月至</w:t>
      </w:r>
      <w:r w:rsidRPr="00C93B9D">
        <w:rPr>
          <w:rFonts w:ascii="Arial" w:eastAsia="宋体" w:hAnsi="Arial" w:cs="Arial"/>
          <w:kern w:val="0"/>
          <w:sz w:val="20"/>
          <w:szCs w:val="20"/>
        </w:rPr>
        <w:t>12</w:t>
      </w:r>
      <w:r w:rsidRPr="00C93B9D">
        <w:rPr>
          <w:rFonts w:ascii="Arial" w:eastAsia="宋体" w:hAnsi="Arial" w:cs="Arial"/>
          <w:kern w:val="0"/>
          <w:sz w:val="20"/>
          <w:szCs w:val="20"/>
        </w:rPr>
        <w:t>岁儿童，常用剂量为一次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(3)12</w:t>
      </w:r>
      <w:r w:rsidRPr="00C93B9D">
        <w:rPr>
          <w:rFonts w:ascii="Arial" w:eastAsia="宋体" w:hAnsi="Arial" w:cs="Arial"/>
          <w:kern w:val="0"/>
          <w:sz w:val="20"/>
          <w:szCs w:val="20"/>
        </w:rPr>
        <w:t>岁及以上儿童，同成人用法用量。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静脉滴注，同成人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【国外用法用量参考】</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成人</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lastRenderedPageBreak/>
        <w:t>◆</w:t>
      </w:r>
      <w:r w:rsidRPr="00C93B9D">
        <w:rPr>
          <w:rFonts w:ascii="Arial" w:eastAsia="宋体" w:hAnsi="Arial" w:cs="Arial"/>
          <w:kern w:val="0"/>
          <w:sz w:val="20"/>
          <w:szCs w:val="20"/>
        </w:rPr>
        <w:t>常规剂量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速释片、混悬剂：轻至中度感染，一次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次。重度感染，一次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鼻窦炎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速释片、混悬剂：同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速释片、混悬剂：同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对于血液透析者，维持剂量为一次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次，且血液透析过程中及结束时各补充</w:t>
      </w:r>
      <w:r w:rsidRPr="00C93B9D">
        <w:rPr>
          <w:rFonts w:ascii="Arial" w:eastAsia="宋体" w:hAnsi="Arial" w:cs="Arial"/>
          <w:kern w:val="0"/>
          <w:sz w:val="20"/>
          <w:szCs w:val="20"/>
        </w:rPr>
        <w:t>1</w:t>
      </w:r>
      <w:r w:rsidRPr="00C93B9D">
        <w:rPr>
          <w:rFonts w:ascii="Arial" w:eastAsia="宋体" w:hAnsi="Arial" w:cs="Arial"/>
          <w:kern w:val="0"/>
          <w:sz w:val="20"/>
          <w:szCs w:val="20"/>
        </w:rPr>
        <w:t>次剂量。对于腹膜透析者，推荐剂量为一次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儿童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w:t>
      </w:r>
      <w:r w:rsidRPr="00C93B9D">
        <w:rPr>
          <w:rFonts w:ascii="Arial" w:eastAsia="宋体" w:hAnsi="Arial" w:cs="Arial"/>
          <w:kern w:val="0"/>
          <w:sz w:val="20"/>
          <w:szCs w:val="20"/>
        </w:rPr>
        <w:t>急性中耳炎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重度感染或其他药物治疗失败时，一日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次给药，连用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个月以下婴儿，一日</w:t>
      </w:r>
      <w:r w:rsidRPr="00C93B9D">
        <w:rPr>
          <w:rFonts w:ascii="Arial" w:eastAsia="宋体" w:hAnsi="Arial" w:cs="Arial"/>
          <w:kern w:val="0"/>
          <w:sz w:val="20"/>
          <w:szCs w:val="20"/>
        </w:rPr>
        <w:t>30mg/kg(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(4)5ml:600mg</w:t>
      </w:r>
      <w:r w:rsidRPr="00C93B9D">
        <w:rPr>
          <w:rFonts w:ascii="Arial" w:eastAsia="宋体" w:hAnsi="Arial" w:cs="Arial"/>
          <w:kern w:val="0"/>
          <w:sz w:val="20"/>
          <w:szCs w:val="20"/>
        </w:rPr>
        <w:t>混悬剂：大于或等于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个月儿童，持续性感染剂量为一日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(5)</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鼻窦炎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(4)</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(5)</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lastRenderedPageBreak/>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r w:rsidRPr="00C93B9D">
        <w:rPr>
          <w:rFonts w:ascii="Arial" w:eastAsia="宋体" w:hAnsi="Arial" w:cs="Arial"/>
          <w:kern w:val="0"/>
          <w:sz w:val="20"/>
          <w:szCs w:val="20"/>
        </w:rPr>
        <w:t>速释片、混悬剂：体重大于或等于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且用法用量与成人一致的儿童血液透析患者，同成人</w:t>
      </w:r>
      <w:r w:rsidRPr="00C93B9D">
        <w:rPr>
          <w:rFonts w:ascii="Arial" w:eastAsia="宋体" w:hAnsi="Arial" w:cs="Arial"/>
          <w:kern w:val="0"/>
          <w:sz w:val="20"/>
          <w:szCs w:val="20"/>
        </w:rPr>
        <w:t>“</w:t>
      </w:r>
      <w:r w:rsidRPr="00C93B9D">
        <w:rPr>
          <w:rFonts w:ascii="Arial" w:eastAsia="宋体" w:hAnsi="Arial" w:cs="Arial"/>
          <w:kern w:val="0"/>
          <w:sz w:val="20"/>
          <w:szCs w:val="20"/>
        </w:rPr>
        <w:t>血液透析时剂量</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【给药说明】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给药方式说明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本药口服制剂宜空腹或餐后服用，并可与牛奶等食物同服，以减少胃肠道反应。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因本药注射液稳定性与其浓度有关，故应在配制后</w:t>
      </w:r>
      <w:r w:rsidRPr="00C93B9D">
        <w:rPr>
          <w:rFonts w:ascii="Arial" w:eastAsia="宋体" w:hAnsi="Arial" w:cs="Arial"/>
          <w:kern w:val="0"/>
          <w:sz w:val="20"/>
          <w:szCs w:val="20"/>
        </w:rPr>
        <w:t>20</w:t>
      </w:r>
      <w:r w:rsidRPr="00C93B9D">
        <w:rPr>
          <w:rFonts w:ascii="Arial" w:eastAsia="宋体" w:hAnsi="Arial" w:cs="Arial"/>
          <w:kern w:val="0"/>
          <w:sz w:val="20"/>
          <w:szCs w:val="20"/>
        </w:rPr>
        <w:t>分钟内使用，缓慢注射，每次给药时间在</w:t>
      </w:r>
      <w:r w:rsidRPr="00C93B9D">
        <w:rPr>
          <w:rFonts w:ascii="Arial" w:eastAsia="宋体" w:hAnsi="Arial" w:cs="Arial"/>
          <w:kern w:val="0"/>
          <w:sz w:val="20"/>
          <w:szCs w:val="20"/>
        </w:rPr>
        <w:t>3-4</w:t>
      </w:r>
      <w:r w:rsidRPr="00C93B9D">
        <w:rPr>
          <w:rFonts w:ascii="Arial" w:eastAsia="宋体" w:hAnsi="Arial" w:cs="Arial"/>
          <w:kern w:val="0"/>
          <w:sz w:val="20"/>
          <w:szCs w:val="20"/>
        </w:rPr>
        <w:t>分钟内。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配制后的本药滴注液应在</w:t>
      </w:r>
      <w:r w:rsidRPr="00C93B9D">
        <w:rPr>
          <w:rFonts w:ascii="Arial" w:eastAsia="宋体" w:hAnsi="Arial" w:cs="Arial"/>
          <w:kern w:val="0"/>
          <w:sz w:val="20"/>
          <w:szCs w:val="20"/>
        </w:rPr>
        <w:t>4</w:t>
      </w:r>
      <w:r w:rsidRPr="00C93B9D">
        <w:rPr>
          <w:rFonts w:ascii="Arial" w:eastAsia="宋体" w:hAnsi="Arial" w:cs="Arial"/>
          <w:kern w:val="0"/>
          <w:sz w:val="20"/>
          <w:szCs w:val="20"/>
        </w:rPr>
        <w:t>小时内使用，每次给药时间在</w:t>
      </w:r>
      <w:r w:rsidRPr="00C93B9D">
        <w:rPr>
          <w:rFonts w:ascii="Arial" w:eastAsia="宋体" w:hAnsi="Arial" w:cs="Arial"/>
          <w:kern w:val="0"/>
          <w:sz w:val="20"/>
          <w:szCs w:val="20"/>
        </w:rPr>
        <w:t>30-40</w:t>
      </w:r>
      <w:r w:rsidRPr="00C93B9D">
        <w:rPr>
          <w:rFonts w:ascii="Arial" w:eastAsia="宋体" w:hAnsi="Arial" w:cs="Arial"/>
          <w:kern w:val="0"/>
          <w:sz w:val="20"/>
          <w:szCs w:val="20"/>
        </w:rPr>
        <w:t>分钟内。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本药注射剂给药时应静脉注射或静脉滴注，不适用于肌内注射。</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注射液的配制</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本药注射剂静脉滴注给药时，可用注射用水、</w:t>
      </w:r>
      <w:r w:rsidRPr="00C93B9D">
        <w:rPr>
          <w:rFonts w:ascii="Arial" w:eastAsia="宋体" w:hAnsi="Arial" w:cs="Arial"/>
          <w:kern w:val="0"/>
          <w:sz w:val="20"/>
          <w:szCs w:val="20"/>
        </w:rPr>
        <w:t>0.9%</w:t>
      </w:r>
      <w:r w:rsidRPr="00C93B9D">
        <w:rPr>
          <w:rFonts w:ascii="Arial" w:eastAsia="宋体" w:hAnsi="Arial" w:cs="Arial"/>
          <w:kern w:val="0"/>
          <w:sz w:val="20"/>
          <w:szCs w:val="20"/>
        </w:rPr>
        <w:t>生理盐水、乳酸钠溶液等配制，溶解后应立即将注射液稀释到</w:t>
      </w:r>
      <w:r w:rsidRPr="00C93B9D">
        <w:rPr>
          <w:rFonts w:ascii="Arial" w:eastAsia="宋体" w:hAnsi="Arial" w:cs="Arial"/>
          <w:kern w:val="0"/>
          <w:sz w:val="20"/>
          <w:szCs w:val="20"/>
        </w:rPr>
        <w:t>50-100ml</w:t>
      </w:r>
      <w:r w:rsidRPr="00C93B9D">
        <w:rPr>
          <w:rFonts w:ascii="Arial" w:eastAsia="宋体" w:hAnsi="Arial" w:cs="Arial"/>
          <w:kern w:val="0"/>
          <w:sz w:val="20"/>
          <w:szCs w:val="20"/>
        </w:rPr>
        <w:t>的滴注液中。</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【禁忌症】</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对本药、青霉素类或其他</w:t>
      </w:r>
      <w:r w:rsidRPr="00C93B9D">
        <w:rPr>
          <w:rFonts w:ascii="Arial" w:eastAsia="宋体" w:hAnsi="Arial" w:cs="Arial"/>
          <w:kern w:val="0"/>
          <w:sz w:val="20"/>
          <w:szCs w:val="20"/>
        </w:rPr>
        <w:t>β-</w:t>
      </w:r>
      <w:r w:rsidRPr="00C93B9D">
        <w:rPr>
          <w:rFonts w:ascii="Arial" w:eastAsia="宋体" w:hAnsi="Arial" w:cs="Arial"/>
          <w:kern w:val="0"/>
          <w:sz w:val="20"/>
          <w:szCs w:val="20"/>
        </w:rPr>
        <w:t>内酰胺类、头孢菌素类抗生素过敏者。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使用本药或其他青霉素类药曾出现黄疸或肝功能损害者。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传染性单核细胞增多症患者。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【慎用】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有哮喘、湿疹、花粉症、荨麻疹等过敏性疾病史者。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严重肝功能障碍者。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中至重度肾功能障碍者。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4.</w:t>
      </w:r>
      <w:r w:rsidRPr="00C93B9D">
        <w:rPr>
          <w:rFonts w:ascii="Arial" w:eastAsia="宋体" w:hAnsi="Arial" w:cs="Arial"/>
          <w:kern w:val="0"/>
          <w:sz w:val="20"/>
          <w:szCs w:val="20"/>
        </w:rPr>
        <w:t>假膜性肠炎患者</w:t>
      </w:r>
      <w:r w:rsidRPr="00C93B9D">
        <w:rPr>
          <w:rFonts w:ascii="Arial" w:eastAsia="宋体" w:hAnsi="Arial" w:cs="Arial"/>
          <w:kern w:val="0"/>
          <w:sz w:val="20"/>
          <w:szCs w:val="20"/>
        </w:rPr>
        <w:t>(</w:t>
      </w:r>
      <w:r w:rsidRPr="00C93B9D">
        <w:rPr>
          <w:rFonts w:ascii="Arial" w:eastAsia="宋体" w:hAnsi="Arial" w:cs="Arial"/>
          <w:kern w:val="0"/>
          <w:sz w:val="20"/>
          <w:szCs w:val="20"/>
        </w:rPr>
        <w:t>国外资料</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5.</w:t>
      </w:r>
      <w:r w:rsidRPr="00C93B9D">
        <w:rPr>
          <w:rFonts w:ascii="Arial" w:eastAsia="宋体" w:hAnsi="Arial" w:cs="Arial"/>
          <w:kern w:val="0"/>
          <w:sz w:val="20"/>
          <w:szCs w:val="20"/>
        </w:rPr>
        <w:t>哺乳期妇女。</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【特殊人群】</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儿童</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16</w:t>
      </w:r>
      <w:r w:rsidRPr="00C93B9D">
        <w:rPr>
          <w:rFonts w:ascii="Arial" w:eastAsia="宋体" w:hAnsi="Arial" w:cs="Arial"/>
          <w:kern w:val="0"/>
          <w:sz w:val="20"/>
          <w:szCs w:val="20"/>
        </w:rPr>
        <w:t>岁以下儿童使用本药缓释片的安全性和有效性尚未建立。对于小于</w:t>
      </w:r>
      <w:r w:rsidRPr="00C93B9D">
        <w:rPr>
          <w:rFonts w:ascii="Arial" w:eastAsia="宋体" w:hAnsi="Arial" w:cs="Arial"/>
          <w:kern w:val="0"/>
          <w:sz w:val="20"/>
          <w:szCs w:val="20"/>
        </w:rPr>
        <w:t>12</w:t>
      </w:r>
      <w:r w:rsidRPr="00C93B9D">
        <w:rPr>
          <w:rFonts w:ascii="Arial" w:eastAsia="宋体" w:hAnsi="Arial" w:cs="Arial"/>
          <w:kern w:val="0"/>
          <w:sz w:val="20"/>
          <w:szCs w:val="20"/>
        </w:rPr>
        <w:t>岁或体重小于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儿童，建议选用本药混悬剂。</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老人</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老年人剂量</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妊娠期妇女</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本药可通过胎盘，脐带血中药物浓度为母体血药浓度的</w:t>
      </w:r>
      <w:r w:rsidRPr="00C93B9D">
        <w:rPr>
          <w:rFonts w:ascii="Arial" w:eastAsia="宋体" w:hAnsi="Arial" w:cs="Arial"/>
          <w:kern w:val="0"/>
          <w:sz w:val="20"/>
          <w:szCs w:val="20"/>
        </w:rPr>
        <w:t>1/4-1/3</w:t>
      </w:r>
      <w:r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Pr="00C93B9D">
        <w:rPr>
          <w:rFonts w:ascii="Arial" w:eastAsia="宋体" w:hAnsi="Arial" w:cs="Arial"/>
          <w:kern w:val="0"/>
          <w:sz w:val="20"/>
          <w:szCs w:val="20"/>
        </w:rPr>
        <w:t>-</w:t>
      </w:r>
      <w:r w:rsidRPr="00C93B9D">
        <w:rPr>
          <w:rFonts w:ascii="Arial" w:eastAsia="宋体" w:hAnsi="Arial" w:cs="Arial"/>
          <w:kern w:val="0"/>
          <w:sz w:val="20"/>
          <w:szCs w:val="20"/>
        </w:rPr>
        <w:t>葡糖苷酸和雌二醇还可出现暂时性减少。虽动物试验显示本药无致畸作用，但妊娠期妇女用药仍应权衡利弊。</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美国食品药品管理局</w:t>
      </w:r>
      <w:r w:rsidRPr="00C93B9D">
        <w:rPr>
          <w:rFonts w:ascii="Arial" w:eastAsia="宋体" w:hAnsi="Arial" w:cs="Arial"/>
          <w:kern w:val="0"/>
          <w:sz w:val="20"/>
          <w:szCs w:val="20"/>
        </w:rPr>
        <w:t>(FDA)</w:t>
      </w:r>
      <w:r w:rsidRPr="00C93B9D">
        <w:rPr>
          <w:rFonts w:ascii="Arial" w:eastAsia="宋体" w:hAnsi="Arial" w:cs="Arial"/>
          <w:kern w:val="0"/>
          <w:sz w:val="20"/>
          <w:szCs w:val="20"/>
        </w:rPr>
        <w:t>对本药的妊娠安全性分级为</w:t>
      </w:r>
      <w:r w:rsidRPr="00C93B9D">
        <w:rPr>
          <w:rFonts w:ascii="Arial" w:eastAsia="宋体" w:hAnsi="Arial" w:cs="Arial"/>
          <w:kern w:val="0"/>
          <w:sz w:val="20"/>
          <w:szCs w:val="20"/>
        </w:rPr>
        <w:t>B</w:t>
      </w:r>
      <w:r w:rsidRPr="00C93B9D">
        <w:rPr>
          <w:rFonts w:ascii="Arial" w:eastAsia="宋体" w:hAnsi="Arial" w:cs="Arial"/>
          <w:kern w:val="0"/>
          <w:sz w:val="20"/>
          <w:szCs w:val="20"/>
        </w:rPr>
        <w:t>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哺乳期妇女</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本药可随乳汁排泄，可能使乳儿出现过敏、腹泻、皮疹、念珠菌属感染等，故哺乳期妇女慎用或用药期间暂停哺乳。</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特殊疾病状态</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怀疑为伴梅毒损害的淋病患者：在使用本药前应进行暗视野检查，并每月进行血清试验</w:t>
      </w:r>
      <w:r w:rsidRPr="00C93B9D">
        <w:rPr>
          <w:rFonts w:ascii="Arial" w:eastAsia="宋体" w:hAnsi="Arial" w:cs="Arial"/>
          <w:kern w:val="0"/>
          <w:sz w:val="20"/>
          <w:szCs w:val="20"/>
        </w:rPr>
        <w:t>1</w:t>
      </w:r>
      <w:r w:rsidRPr="00C93B9D">
        <w:rPr>
          <w:rFonts w:ascii="Arial" w:eastAsia="宋体" w:hAnsi="Arial" w:cs="Arial"/>
          <w:kern w:val="0"/>
          <w:sz w:val="20"/>
          <w:szCs w:val="20"/>
        </w:rPr>
        <w:t>次，至少</w:t>
      </w:r>
      <w:r w:rsidRPr="00C93B9D">
        <w:rPr>
          <w:rFonts w:ascii="Arial" w:eastAsia="宋体" w:hAnsi="Arial" w:cs="Arial"/>
          <w:kern w:val="0"/>
          <w:sz w:val="20"/>
          <w:szCs w:val="20"/>
        </w:rPr>
        <w:t>4</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接受抗凝治疗的患者：有使用本药延长出血时间及凝血酶原时间的报道，故此类患者慎用。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肝功能损害者：应慎用，并定期检查肝功能。</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【不良反应】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本药不良反应多数程度较轻，呈一过性。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呼吸系统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可见哮喘。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泌尿生殖系统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偶见尿素氮升高。非常罕见结晶尿、间质性肾炎。也可能出现阴道瘙痒、溃疡、异常分泌物。</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神经系统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罕见意识模糊、失眠、可逆性的功能亢进、兴奋、头晕、头痛和惊厥，惊厥可出现在肾功能不全患者或用药过量的患者。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精神</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罕见激动、焦虑、行为变化。</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5.</w:t>
      </w:r>
      <w:r w:rsidRPr="00C93B9D">
        <w:rPr>
          <w:rFonts w:ascii="Arial" w:eastAsia="宋体" w:hAnsi="Arial" w:cs="Arial"/>
          <w:kern w:val="0"/>
          <w:sz w:val="20"/>
          <w:szCs w:val="20"/>
        </w:rPr>
        <w:t>肝脏</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6.</w:t>
      </w:r>
      <w:r w:rsidRPr="00C93B9D">
        <w:rPr>
          <w:rFonts w:ascii="Arial" w:eastAsia="宋体" w:hAnsi="Arial" w:cs="Arial"/>
          <w:kern w:val="0"/>
          <w:sz w:val="20"/>
          <w:szCs w:val="20"/>
        </w:rPr>
        <w:t>胃肠道</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可见恶心、呕吐、消化不良、腹泻、口炎、舌炎、舌苔黑、黏膜念珠菌病、胃炎、结肠炎等。有抗生素相关性结肠炎</w:t>
      </w:r>
      <w:r w:rsidRPr="00C93B9D">
        <w:rPr>
          <w:rFonts w:ascii="Arial" w:eastAsia="宋体" w:hAnsi="Arial" w:cs="Arial"/>
          <w:kern w:val="0"/>
          <w:sz w:val="20"/>
          <w:szCs w:val="20"/>
        </w:rPr>
        <w:t>(</w:t>
      </w:r>
      <w:r w:rsidRPr="00C93B9D">
        <w:rPr>
          <w:rFonts w:ascii="Arial" w:eastAsia="宋体" w:hAnsi="Arial" w:cs="Arial"/>
          <w:kern w:val="0"/>
          <w:sz w:val="20"/>
          <w:szCs w:val="20"/>
        </w:rPr>
        <w:t>包括假膜性结肠炎和出血性结肠炎</w:t>
      </w:r>
      <w:r w:rsidRPr="00C93B9D">
        <w:rPr>
          <w:rFonts w:ascii="Arial" w:eastAsia="宋体" w:hAnsi="Arial" w:cs="Arial"/>
          <w:kern w:val="0"/>
          <w:sz w:val="20"/>
          <w:szCs w:val="20"/>
        </w:rPr>
        <w:t>)</w:t>
      </w:r>
      <w:r w:rsidRPr="00C93B9D">
        <w:rPr>
          <w:rFonts w:ascii="Arial" w:eastAsia="宋体" w:hAnsi="Arial" w:cs="Arial"/>
          <w:kern w:val="0"/>
          <w:sz w:val="20"/>
          <w:szCs w:val="20"/>
        </w:rPr>
        <w:t>的报道。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7.</w:t>
      </w:r>
      <w:r w:rsidRPr="00C93B9D">
        <w:rPr>
          <w:rFonts w:ascii="Arial" w:eastAsia="宋体" w:hAnsi="Arial" w:cs="Arial"/>
          <w:kern w:val="0"/>
          <w:sz w:val="20"/>
          <w:szCs w:val="20"/>
        </w:rPr>
        <w:t>血液</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偶见嗜酸粒细胞增多。罕见可逆性的白细胞减少</w:t>
      </w:r>
      <w:r w:rsidRPr="00C93B9D">
        <w:rPr>
          <w:rFonts w:ascii="Arial" w:eastAsia="宋体" w:hAnsi="Arial" w:cs="Arial"/>
          <w:kern w:val="0"/>
          <w:sz w:val="20"/>
          <w:szCs w:val="20"/>
        </w:rPr>
        <w:t>(</w:t>
      </w:r>
      <w:r w:rsidRPr="00C93B9D">
        <w:rPr>
          <w:rFonts w:ascii="Arial" w:eastAsia="宋体" w:hAnsi="Arial" w:cs="Arial"/>
          <w:kern w:val="0"/>
          <w:sz w:val="20"/>
          <w:szCs w:val="20"/>
        </w:rPr>
        <w:t>包括中性粒细胞减少或粒细胞缺乏</w:t>
      </w:r>
      <w:r w:rsidRPr="00C93B9D">
        <w:rPr>
          <w:rFonts w:ascii="Arial" w:eastAsia="宋体" w:hAnsi="Arial" w:cs="Arial"/>
          <w:kern w:val="0"/>
          <w:sz w:val="20"/>
          <w:szCs w:val="20"/>
        </w:rPr>
        <w:t>)</w:t>
      </w:r>
      <w:r w:rsidRPr="00C93B9D">
        <w:rPr>
          <w:rFonts w:ascii="Arial" w:eastAsia="宋体" w:hAnsi="Arial" w:cs="Arial"/>
          <w:kern w:val="0"/>
          <w:sz w:val="20"/>
          <w:szCs w:val="20"/>
        </w:rPr>
        <w:t>、可逆性血小板减少、溶血性贫血等。</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8.</w:t>
      </w:r>
      <w:r w:rsidRPr="00C93B9D">
        <w:rPr>
          <w:rFonts w:ascii="Arial" w:eastAsia="宋体" w:hAnsi="Arial" w:cs="Arial"/>
          <w:kern w:val="0"/>
          <w:sz w:val="20"/>
          <w:szCs w:val="20"/>
        </w:rPr>
        <w:t>皮肤</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偶见荨麻疹和麻疹样皮疹。罕见多型性红斑、史</w:t>
      </w:r>
      <w:r w:rsidRPr="00C93B9D">
        <w:rPr>
          <w:rFonts w:ascii="Arial" w:eastAsia="宋体" w:hAnsi="Arial" w:cs="Arial"/>
          <w:kern w:val="0"/>
          <w:sz w:val="20"/>
          <w:szCs w:val="20"/>
        </w:rPr>
        <w:t>-</w:t>
      </w:r>
      <w:r w:rsidRPr="00C93B9D">
        <w:rPr>
          <w:rFonts w:ascii="Arial" w:eastAsia="宋体" w:hAnsi="Arial" w:cs="Arial"/>
          <w:kern w:val="0"/>
          <w:sz w:val="20"/>
          <w:szCs w:val="20"/>
        </w:rPr>
        <w:t>约综合征</w:t>
      </w:r>
      <w:r w:rsidRPr="00C93B9D">
        <w:rPr>
          <w:rFonts w:ascii="Arial" w:eastAsia="宋体" w:hAnsi="Arial" w:cs="Arial"/>
          <w:kern w:val="0"/>
          <w:sz w:val="20"/>
          <w:szCs w:val="20"/>
        </w:rPr>
        <w:t>(Stevens-Johnson</w:t>
      </w:r>
      <w:r w:rsidRPr="00C93B9D">
        <w:rPr>
          <w:rFonts w:ascii="Arial" w:eastAsia="宋体" w:hAnsi="Arial" w:cs="Arial"/>
          <w:kern w:val="0"/>
          <w:sz w:val="20"/>
          <w:szCs w:val="20"/>
        </w:rPr>
        <w:t>综合征</w:t>
      </w:r>
      <w:r w:rsidRPr="00C93B9D">
        <w:rPr>
          <w:rFonts w:ascii="Arial" w:eastAsia="宋体" w:hAnsi="Arial" w:cs="Arial"/>
          <w:kern w:val="0"/>
          <w:sz w:val="20"/>
          <w:szCs w:val="20"/>
        </w:rPr>
        <w:t>)</w:t>
      </w:r>
      <w:r w:rsidRPr="00C93B9D">
        <w:rPr>
          <w:rFonts w:ascii="Arial" w:eastAsia="宋体" w:hAnsi="Arial" w:cs="Arial"/>
          <w:kern w:val="0"/>
          <w:sz w:val="20"/>
          <w:szCs w:val="20"/>
        </w:rPr>
        <w:t>、中毒性表皮坏死、大疱样剥脱性皮炎、急性全身性幼儿急疹样脓疱病。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9.</w:t>
      </w:r>
      <w:r w:rsidRPr="00C93B9D">
        <w:rPr>
          <w:rFonts w:ascii="Arial" w:eastAsia="宋体" w:hAnsi="Arial" w:cs="Arial"/>
          <w:kern w:val="0"/>
          <w:sz w:val="20"/>
          <w:szCs w:val="20"/>
        </w:rPr>
        <w:t>过敏反应</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可见过敏性休克。有出现血清病样综合征、过敏性血管炎、血管神经水肿的报道。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10.</w:t>
      </w:r>
      <w:r w:rsidRPr="00C93B9D">
        <w:rPr>
          <w:rFonts w:ascii="Arial" w:eastAsia="宋体" w:hAnsi="Arial" w:cs="Arial"/>
          <w:kern w:val="0"/>
          <w:sz w:val="20"/>
          <w:szCs w:val="20"/>
        </w:rPr>
        <w:t>其他</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可见药物热、念珠菌或耐药菌引起的二重感染。偶见注射给药部位静脉炎。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【药物相互作用】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药物相互作用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氨基糖苷类药：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结果：合用在亚抑菌浓度时可增强本药对粪肠球菌的体外杀菌作用。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丙磺舒：</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结果：丙磺舒对克拉维酸血药浓度无影响，但能提高阿莫西林的血药浓度。</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阿司匹林、吲哚美辛、保泰松、磺胺药：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结果：合用可减少本药在肾小管的排泄，升高其血药浓度，延长其半衰期，但毒性也可能增加。</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华法林：</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结果：合用可使华法林作用增强。</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5.</w:t>
      </w:r>
      <w:r w:rsidRPr="00C93B9D">
        <w:rPr>
          <w:rFonts w:ascii="Arial" w:eastAsia="宋体" w:hAnsi="Arial" w:cs="Arial"/>
          <w:kern w:val="0"/>
          <w:sz w:val="20"/>
          <w:szCs w:val="20"/>
        </w:rPr>
        <w:t>别嘌醇：</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结果：合用可增加皮疹发生率。</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处理：应避免合用。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6.</w:t>
      </w:r>
      <w:r w:rsidRPr="00C93B9D">
        <w:rPr>
          <w:rFonts w:ascii="Arial" w:eastAsia="宋体" w:hAnsi="Arial" w:cs="Arial"/>
          <w:kern w:val="0"/>
          <w:sz w:val="20"/>
          <w:szCs w:val="20"/>
        </w:rPr>
        <w:t>甲氨蝶呤：</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结果：合用可使甲氨蝶呤发生毒性的危险增加。</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机制：甲氨蝶呤肾清除率降低。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7.</w:t>
      </w:r>
      <w:r w:rsidRPr="00C93B9D">
        <w:rPr>
          <w:rFonts w:ascii="Arial" w:eastAsia="宋体" w:hAnsi="Arial" w:cs="Arial"/>
          <w:kern w:val="0"/>
          <w:sz w:val="20"/>
          <w:szCs w:val="20"/>
        </w:rPr>
        <w:t>氯霉素、红霉素、四环素类、磺胺药等抑菌药：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结果：合用可干扰本药杀菌活性。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8.</w:t>
      </w:r>
      <w:r w:rsidRPr="00C93B9D">
        <w:rPr>
          <w:rFonts w:ascii="Arial" w:eastAsia="宋体" w:hAnsi="Arial" w:cs="Arial"/>
          <w:kern w:val="0"/>
          <w:sz w:val="20"/>
          <w:szCs w:val="20"/>
        </w:rPr>
        <w:t>口服避孕药：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结果：合用可降低避孕药药效。</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机制：刺激雌激素代谢或减少其肠肝循环。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9.</w:t>
      </w:r>
      <w:r w:rsidRPr="00C93B9D">
        <w:rPr>
          <w:rFonts w:ascii="Arial" w:eastAsia="宋体" w:hAnsi="Arial" w:cs="Arial"/>
          <w:kern w:val="0"/>
          <w:sz w:val="20"/>
          <w:szCs w:val="20"/>
        </w:rPr>
        <w:t>伤寒活疫苗：</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结果：合用可降低伤寒活疫苗的免疫效应。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机制：本药对伤寒沙门菌有抗菌活性。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食物相互作用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食物：</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结果：食物不影响本药在胃肠道的吸收。</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处理：本药口服制剂可空腹或餐后服用，并可与牛奶等食物同服，以减少胃肠道反应。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lastRenderedPageBreak/>
        <w:t>【注意事项】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用药警示</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用药前须详细询问患者过敏史。</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本药缓释片和</w:t>
      </w:r>
      <w:r w:rsidRPr="00C93B9D">
        <w:rPr>
          <w:rFonts w:ascii="Arial" w:eastAsia="宋体" w:hAnsi="Arial" w:cs="Arial"/>
          <w:kern w:val="0"/>
          <w:sz w:val="20"/>
          <w:szCs w:val="20"/>
        </w:rPr>
        <w:t>875mg</w:t>
      </w:r>
      <w:r w:rsidRPr="00C93B9D">
        <w:rPr>
          <w:rFonts w:ascii="Arial" w:eastAsia="宋体" w:hAnsi="Arial" w:cs="Arial"/>
          <w:kern w:val="0"/>
          <w:sz w:val="20"/>
          <w:szCs w:val="20"/>
        </w:rPr>
        <w:t>的片剂不可用于</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30ml/min</w:t>
      </w:r>
      <w:r w:rsidRPr="00C93B9D">
        <w:rPr>
          <w:rFonts w:ascii="Arial" w:eastAsia="宋体" w:hAnsi="Arial" w:cs="Arial"/>
          <w:kern w:val="0"/>
          <w:sz w:val="20"/>
          <w:szCs w:val="20"/>
        </w:rPr>
        <w:t>者和血液透析者。</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交叉过敏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本药与其他青霉素类药、头孢菌素类药有交叉过敏。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皮肤过敏试验</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本药使用前需做青霉素钠的皮肤敏感试验，阳性反应者禁用。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不良反应的处理方法</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出现双重感染时，应停药或采取合适的方法继续治疗。</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药物对检验值或诊断的影响</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以硫酸铜法进行尿糖测定时可呈假阳性，用葡萄糖酶法测定则不受影响。</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直接抗球蛋白</w:t>
      </w:r>
      <w:r w:rsidRPr="00C93B9D">
        <w:rPr>
          <w:rFonts w:ascii="Arial" w:eastAsia="宋体" w:hAnsi="Arial" w:cs="Arial"/>
          <w:kern w:val="0"/>
          <w:sz w:val="20"/>
          <w:szCs w:val="20"/>
        </w:rPr>
        <w:t>(Coombs)</w:t>
      </w:r>
      <w:r w:rsidRPr="00C93B9D">
        <w:rPr>
          <w:rFonts w:ascii="Arial" w:eastAsia="宋体" w:hAnsi="Arial" w:cs="Arial"/>
          <w:kern w:val="0"/>
          <w:sz w:val="20"/>
          <w:szCs w:val="20"/>
        </w:rPr>
        <w:t>实验可呈阳性。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用药前后及用药时应当检查或监测</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长期或大剂量用药者，应监测血清钾、钠浓度，并定期检查肝、肾功能和造血系统功能。</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首次给药时应监测过敏性反应。</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制剂注意事项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苯丙氨酸：本药某些制剂含苯丙氨酸，用药时需谨慎。</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其他注意事项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本药与氨苄西林有完全交叉耐药性，与其他青霉素类和头孢菌素类药有部分交叉耐药性。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2.</w:t>
      </w:r>
      <w:r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克拉维酸钾单次剂量不宜超过</w:t>
      </w:r>
      <w:r w:rsidRPr="00C93B9D">
        <w:rPr>
          <w:rFonts w:ascii="Arial" w:eastAsia="宋体" w:hAnsi="Arial" w:cs="Arial"/>
          <w:kern w:val="0"/>
          <w:sz w:val="20"/>
          <w:szCs w:val="20"/>
        </w:rPr>
        <w:t>0.2g</w:t>
      </w:r>
      <w:r w:rsidRPr="00C93B9D">
        <w:rPr>
          <w:rFonts w:ascii="Arial" w:eastAsia="宋体" w:hAnsi="Arial" w:cs="Arial"/>
          <w:kern w:val="0"/>
          <w:sz w:val="20"/>
          <w:szCs w:val="20"/>
        </w:rPr>
        <w:t>，一日剂量不宜超过</w:t>
      </w:r>
      <w:r w:rsidRPr="00C93B9D">
        <w:rPr>
          <w:rFonts w:ascii="Arial" w:eastAsia="宋体" w:hAnsi="Arial" w:cs="Arial"/>
          <w:kern w:val="0"/>
          <w:sz w:val="20"/>
          <w:szCs w:val="20"/>
        </w:rPr>
        <w:t>0.4g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4.</w:t>
      </w:r>
      <w:r w:rsidRPr="00C93B9D">
        <w:rPr>
          <w:rFonts w:ascii="Arial" w:eastAsia="宋体" w:hAnsi="Arial" w:cs="Arial"/>
          <w:kern w:val="0"/>
          <w:sz w:val="20"/>
          <w:szCs w:val="20"/>
        </w:rPr>
        <w:t>不同配比的阿莫西林和克拉维酸钾组成的复方制剂，不能互相替代。</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5.</w:t>
      </w:r>
      <w:r w:rsidRPr="00C93B9D">
        <w:rPr>
          <w:rFonts w:ascii="Arial" w:eastAsia="宋体" w:hAnsi="Arial" w:cs="Arial"/>
          <w:kern w:val="0"/>
          <w:sz w:val="20"/>
          <w:szCs w:val="20"/>
        </w:rPr>
        <w:t>本药不宜与双硫仑等乙醛脱氢酶抑制药合用。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【国外专科用药信息参考】</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牙科用药信息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上颌窦、前鼻腔、颈深部感染时，通常存在可产生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内酰胺酶的葡萄球菌和拟杆菌，治疗时应使用能抵抗</w:t>
      </w:r>
      <w:r w:rsidRPr="00C93B9D">
        <w:rPr>
          <w:rFonts w:ascii="Arial" w:eastAsia="宋体" w:hAnsi="Arial" w:cs="Arial"/>
          <w:kern w:val="0"/>
          <w:sz w:val="20"/>
          <w:szCs w:val="20"/>
        </w:rPr>
        <w:t>β-</w:t>
      </w:r>
      <w:r w:rsidRPr="00C93B9D">
        <w:rPr>
          <w:rFonts w:ascii="Arial" w:eastAsia="宋体" w:hAnsi="Arial" w:cs="Arial"/>
          <w:kern w:val="0"/>
          <w:sz w:val="20"/>
          <w:szCs w:val="20"/>
        </w:rPr>
        <w:t>内酰胺酶水解的抗生素。</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内酰胺酶抑制药阿莫西林和克拉维酸可口服给药治疗中度感染，氨苄西林钠和舒巴坦钠非口服给药可治疗更严重的感染。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对牙科治疗的影响：长期使用青霉素可能导致口腔念珠菌生长。</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3.</w:t>
      </w:r>
      <w:r w:rsidRPr="00C93B9D">
        <w:rPr>
          <w:rFonts w:ascii="Arial" w:eastAsia="宋体" w:hAnsi="Arial" w:cs="Arial"/>
          <w:kern w:val="0"/>
          <w:sz w:val="20"/>
          <w:szCs w:val="20"/>
        </w:rPr>
        <w:t>颌面部感染，体重大于</w:t>
      </w:r>
      <w:r w:rsidRPr="00C93B9D">
        <w:rPr>
          <w:rFonts w:ascii="Arial" w:eastAsia="宋体" w:hAnsi="Arial" w:cs="Arial"/>
          <w:kern w:val="0"/>
          <w:sz w:val="20"/>
          <w:szCs w:val="20"/>
        </w:rPr>
        <w:t>40kg</w:t>
      </w:r>
      <w:r w:rsidRPr="00C93B9D">
        <w:rPr>
          <w:rFonts w:ascii="Arial" w:eastAsia="宋体" w:hAnsi="Arial" w:cs="Arial"/>
          <w:kern w:val="0"/>
          <w:sz w:val="20"/>
          <w:szCs w:val="20"/>
        </w:rPr>
        <w:t>的儿童和成人，口服给药，一次</w:t>
      </w:r>
      <w:r w:rsidRPr="00C93B9D">
        <w:rPr>
          <w:rFonts w:ascii="Arial" w:eastAsia="宋体" w:hAnsi="Arial" w:cs="Arial"/>
          <w:kern w:val="0"/>
          <w:sz w:val="20"/>
          <w:szCs w:val="20"/>
        </w:rPr>
        <w:t>250-500mg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精神状况信息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对精神状态的影响：有青霉素类药物引起恐惧、幻想、焦虑、失眠、人格解体及脑病的报道。</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对精神障碍治疗的影响：双硫仑可能使阿莫西林的血药浓度升高。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护理注意事项</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1.</w:t>
      </w:r>
      <w:r w:rsidRPr="00C93B9D">
        <w:rPr>
          <w:rFonts w:ascii="Arial" w:eastAsia="宋体" w:hAnsi="Arial" w:cs="Arial"/>
          <w:kern w:val="0"/>
          <w:sz w:val="20"/>
          <w:szCs w:val="20"/>
        </w:rPr>
        <w:t>长期治疗时应定期监测肾功能、肝功能、血常规。</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2.</w:t>
      </w:r>
      <w:r w:rsidRPr="00C93B9D">
        <w:rPr>
          <w:rFonts w:ascii="Arial" w:eastAsia="宋体" w:hAnsi="Arial" w:cs="Arial"/>
          <w:kern w:val="0"/>
          <w:sz w:val="20"/>
          <w:szCs w:val="20"/>
        </w:rPr>
        <w:t>用药前进行细菌培养和药物敏感性测定。</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【药物过量】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过量的表现</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lastRenderedPageBreak/>
        <w:t>过量的处理</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【药理】</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药效学</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本药为阿莫西林三水合物和克拉维酸钾组成的复方制剂。阿莫西林为杀菌性广谱抗生素；克拉维酸钾为不可逆的广谱</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内酰胺酶抑制药，可有效地抑制耐药菌产生的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内酰胺酶，但抗菌活性微弱。阿莫西林与克拉维酸制成复方制剂后，由于克拉维酸钾可使阿莫西林不被革兰氏阳性和革兰氏阴性细菌产生的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内酰胺酶所破坏，从而使已对阿莫西林耐药并产生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内酰胺酶的细菌仍对阿莫西林敏感。</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作用机制</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阿莫西林与氨苄西林的抗敏感微生物作用类似，主要作用在微生物的繁殖阶段，通过抑制细胞壁粘多肽的生物合成而起作用。克拉维酸钾具有与青霉素类似的</w:t>
      </w:r>
      <w:r w:rsidRPr="00C93B9D">
        <w:rPr>
          <w:rFonts w:ascii="Arial" w:eastAsia="宋体" w:hAnsi="Arial" w:cs="Arial"/>
          <w:kern w:val="0"/>
          <w:sz w:val="20"/>
          <w:szCs w:val="20"/>
        </w:rPr>
        <w:t>β-</w:t>
      </w:r>
      <w:r w:rsidRPr="00C93B9D">
        <w:rPr>
          <w:rFonts w:ascii="Arial" w:eastAsia="宋体" w:hAnsi="Arial" w:cs="Arial"/>
          <w:kern w:val="0"/>
          <w:sz w:val="20"/>
          <w:szCs w:val="20"/>
        </w:rPr>
        <w:t>内酰胺结构，能通过阻断</w:t>
      </w:r>
      <w:r w:rsidRPr="00C93B9D">
        <w:rPr>
          <w:rFonts w:ascii="Arial" w:eastAsia="宋体" w:hAnsi="Arial" w:cs="Arial"/>
          <w:kern w:val="0"/>
          <w:sz w:val="20"/>
          <w:szCs w:val="20"/>
        </w:rPr>
        <w:t>β-</w:t>
      </w:r>
      <w:r w:rsidRPr="00C93B9D">
        <w:rPr>
          <w:rFonts w:ascii="Arial" w:eastAsia="宋体" w:hAnsi="Arial" w:cs="Arial"/>
          <w:kern w:val="0"/>
          <w:sz w:val="20"/>
          <w:szCs w:val="20"/>
        </w:rPr>
        <w:t>内酰胺酶的活性部位，使大部分细菌所产生的这些酶失活。</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抗菌谱</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革兰阳性菌：需氧菌包括金黄色葡萄球菌、单核细胞增多性李司特氏菌、棒状杆菌属、表皮葡萄球菌、化脓性链球菌、肺炎双球菌、粪链球菌、草绿色链球菌，厌氧菌包括梭状芽孢杆菌属、消化链球菌、消化球菌属。</w:t>
      </w:r>
      <w:r w:rsidRPr="00C93B9D">
        <w:rPr>
          <w:rFonts w:ascii="Arial" w:eastAsia="宋体" w:hAnsi="Arial" w:cs="Arial"/>
          <w:kern w:val="0"/>
          <w:sz w:val="20"/>
          <w:szCs w:val="20"/>
        </w:rPr>
        <w:t>(2)</w:t>
      </w:r>
      <w:r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败血性巴斯德菌、奇异变性杆菌、脑膜炎双球菌、沙门氏菌属、布兰汉氏球菌，厌氧菌包括拟杆菌属</w:t>
      </w:r>
      <w:r w:rsidRPr="00C93B9D">
        <w:rPr>
          <w:rFonts w:ascii="Arial" w:eastAsia="宋体" w:hAnsi="Arial" w:cs="Arial"/>
          <w:kern w:val="0"/>
          <w:sz w:val="20"/>
          <w:szCs w:val="20"/>
        </w:rPr>
        <w:t>(</w:t>
      </w:r>
      <w:r w:rsidRPr="00C93B9D">
        <w:rPr>
          <w:rFonts w:ascii="Arial" w:eastAsia="宋体" w:hAnsi="Arial" w:cs="Arial"/>
          <w:kern w:val="0"/>
          <w:sz w:val="20"/>
          <w:szCs w:val="20"/>
        </w:rPr>
        <w:t>如脆弱拟杆菌</w:t>
      </w:r>
      <w:r w:rsidRPr="00C93B9D">
        <w:rPr>
          <w:rFonts w:ascii="Arial" w:eastAsia="宋体" w:hAnsi="Arial" w:cs="Arial"/>
          <w:kern w:val="0"/>
          <w:sz w:val="20"/>
          <w:szCs w:val="20"/>
        </w:rPr>
        <w:t>)</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对某些产</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内酰胺酶的肠杆菌属细菌、流感嗜血杆菌、卡他莫拉菌等也有较好抗菌活性。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对高度耐药的肠杆菌属、铜绿假单胞菌及耐甲氧西林葡萄球菌</w:t>
      </w:r>
      <w:r w:rsidRPr="00C93B9D">
        <w:rPr>
          <w:rFonts w:ascii="Arial" w:eastAsia="宋体" w:hAnsi="Arial" w:cs="Arial"/>
          <w:kern w:val="0"/>
          <w:sz w:val="20"/>
          <w:szCs w:val="20"/>
        </w:rPr>
        <w:t>(MRSA)</w:t>
      </w:r>
      <w:r w:rsidRPr="00C93B9D">
        <w:rPr>
          <w:rFonts w:ascii="Arial" w:eastAsia="宋体" w:hAnsi="Arial" w:cs="Arial"/>
          <w:kern w:val="0"/>
          <w:sz w:val="20"/>
          <w:szCs w:val="20"/>
        </w:rPr>
        <w:t>无抗菌活性。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药动学</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本药对胃酸稳定，口服吸收良好，食物对本药吸收无影响。空腹口服</w:t>
      </w:r>
      <w:r w:rsidRPr="00C93B9D">
        <w:rPr>
          <w:rFonts w:ascii="Arial" w:eastAsia="宋体" w:hAnsi="Arial" w:cs="Arial"/>
          <w:kern w:val="0"/>
          <w:sz w:val="20"/>
          <w:szCs w:val="20"/>
        </w:rPr>
        <w:t>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，阿莫西林于</w:t>
      </w:r>
      <w:r w:rsidRPr="00C93B9D">
        <w:rPr>
          <w:rFonts w:ascii="Arial" w:eastAsia="宋体" w:hAnsi="Arial" w:cs="Arial"/>
          <w:kern w:val="0"/>
          <w:sz w:val="20"/>
          <w:szCs w:val="20"/>
        </w:rPr>
        <w:t>1.5</w:t>
      </w:r>
      <w:r w:rsidRPr="00C93B9D">
        <w:rPr>
          <w:rFonts w:ascii="Arial" w:eastAsia="宋体" w:hAnsi="Arial" w:cs="Arial"/>
          <w:kern w:val="0"/>
          <w:sz w:val="20"/>
          <w:szCs w:val="20"/>
        </w:rPr>
        <w:t>小时后达血药峰浓度</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Pr="00C93B9D">
        <w:rPr>
          <w:rFonts w:ascii="Arial" w:eastAsia="宋体" w:hAnsi="Arial" w:cs="Arial"/>
          <w:kern w:val="0"/>
          <w:sz w:val="20"/>
          <w:szCs w:val="20"/>
        </w:rPr>
        <w:t>，约为</w:t>
      </w:r>
      <w:r w:rsidRPr="00C93B9D">
        <w:rPr>
          <w:rFonts w:ascii="Arial" w:eastAsia="宋体" w:hAnsi="Arial" w:cs="Arial"/>
          <w:kern w:val="0"/>
          <w:sz w:val="20"/>
          <w:szCs w:val="20"/>
        </w:rPr>
        <w:t>5.6mg/L</w:t>
      </w:r>
      <w:r w:rsidRPr="00C93B9D">
        <w:rPr>
          <w:rFonts w:ascii="Arial" w:eastAsia="宋体" w:hAnsi="Arial" w:cs="Arial"/>
          <w:kern w:val="0"/>
          <w:sz w:val="20"/>
          <w:szCs w:val="20"/>
        </w:rPr>
        <w:t>；克拉维酸钾于</w:t>
      </w:r>
      <w:r w:rsidRPr="00C93B9D">
        <w:rPr>
          <w:rFonts w:ascii="Arial" w:eastAsia="宋体" w:hAnsi="Arial" w:cs="Arial"/>
          <w:kern w:val="0"/>
          <w:sz w:val="20"/>
          <w:szCs w:val="20"/>
        </w:rPr>
        <w:t>1</w:t>
      </w:r>
      <w:r w:rsidRPr="00C93B9D">
        <w:rPr>
          <w:rFonts w:ascii="Arial" w:eastAsia="宋体" w:hAnsi="Arial" w:cs="Arial"/>
          <w:kern w:val="0"/>
          <w:sz w:val="20"/>
          <w:szCs w:val="20"/>
        </w:rPr>
        <w:t>小时达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，约为</w:t>
      </w:r>
      <w:r w:rsidRPr="00C93B9D">
        <w:rPr>
          <w:rFonts w:ascii="Arial" w:eastAsia="宋体" w:hAnsi="Arial" w:cs="Arial"/>
          <w:kern w:val="0"/>
          <w:sz w:val="20"/>
          <w:szCs w:val="20"/>
        </w:rPr>
        <w:t>3.4mg/L</w:t>
      </w:r>
      <w:r w:rsidRPr="00C93B9D">
        <w:rPr>
          <w:rFonts w:ascii="Arial" w:eastAsia="宋体" w:hAnsi="Arial" w:cs="Arial"/>
          <w:kern w:val="0"/>
          <w:sz w:val="20"/>
          <w:szCs w:val="20"/>
        </w:rPr>
        <w:t>，血浆蛋白结合率为</w:t>
      </w:r>
      <w:r w:rsidRPr="00C93B9D">
        <w:rPr>
          <w:rFonts w:ascii="Arial" w:eastAsia="宋体" w:hAnsi="Arial" w:cs="Arial"/>
          <w:kern w:val="0"/>
          <w:sz w:val="20"/>
          <w:szCs w:val="20"/>
        </w:rPr>
        <w:t>22%-30%</w:t>
      </w:r>
      <w:r w:rsidRPr="00C93B9D">
        <w:rPr>
          <w:rFonts w:ascii="Arial" w:eastAsia="宋体" w:hAnsi="Arial" w:cs="Arial"/>
          <w:kern w:val="0"/>
          <w:sz w:val="20"/>
          <w:szCs w:val="20"/>
        </w:rPr>
        <w:t>；两者的口服生物利用度分别为</w:t>
      </w:r>
      <w:r w:rsidRPr="00C93B9D">
        <w:rPr>
          <w:rFonts w:ascii="Arial" w:eastAsia="宋体" w:hAnsi="Arial" w:cs="Arial"/>
          <w:kern w:val="0"/>
          <w:sz w:val="20"/>
          <w:szCs w:val="20"/>
        </w:rPr>
        <w:t>97%</w:t>
      </w:r>
      <w:r w:rsidRPr="00C93B9D">
        <w:rPr>
          <w:rFonts w:ascii="Arial" w:eastAsia="宋体" w:hAnsi="Arial" w:cs="Arial"/>
          <w:kern w:val="0"/>
          <w:sz w:val="20"/>
          <w:szCs w:val="20"/>
        </w:rPr>
        <w:t>和</w:t>
      </w:r>
      <w:r w:rsidRPr="00C93B9D">
        <w:rPr>
          <w:rFonts w:ascii="Arial" w:eastAsia="宋体" w:hAnsi="Arial" w:cs="Arial"/>
          <w:kern w:val="0"/>
          <w:sz w:val="20"/>
          <w:szCs w:val="20"/>
        </w:rPr>
        <w:t>75%</w:t>
      </w:r>
      <w:r w:rsidRPr="00C93B9D">
        <w:rPr>
          <w:rFonts w:ascii="Arial" w:eastAsia="宋体" w:hAnsi="Arial" w:cs="Arial"/>
          <w:kern w:val="0"/>
          <w:sz w:val="20"/>
          <w:szCs w:val="20"/>
        </w:rPr>
        <w:t>。静脉给予</w:t>
      </w:r>
      <w:r w:rsidRPr="00C93B9D">
        <w:rPr>
          <w:rFonts w:ascii="Arial" w:eastAsia="宋体" w:hAnsi="Arial" w:cs="Arial"/>
          <w:kern w:val="0"/>
          <w:sz w:val="20"/>
          <w:szCs w:val="20"/>
        </w:rPr>
        <w:t>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，两者均立即达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阿莫西林的消除半衰期约为</w:t>
      </w:r>
      <w:r w:rsidRPr="00C93B9D">
        <w:rPr>
          <w:rFonts w:ascii="Arial" w:eastAsia="宋体" w:hAnsi="Arial" w:cs="Arial"/>
          <w:kern w:val="0"/>
          <w:sz w:val="20"/>
          <w:szCs w:val="20"/>
        </w:rPr>
        <w:t>1</w:t>
      </w:r>
      <w:r w:rsidRPr="00C93B9D">
        <w:rPr>
          <w:rFonts w:ascii="Arial" w:eastAsia="宋体" w:hAnsi="Arial" w:cs="Arial"/>
          <w:kern w:val="0"/>
          <w:sz w:val="20"/>
          <w:szCs w:val="20"/>
        </w:rPr>
        <w:t>小时。克拉维酸钾的消除半衰期为</w:t>
      </w:r>
      <w:r w:rsidRPr="00C93B9D">
        <w:rPr>
          <w:rFonts w:ascii="Arial" w:eastAsia="宋体" w:hAnsi="Arial" w:cs="Arial"/>
          <w:kern w:val="0"/>
          <w:sz w:val="20"/>
          <w:szCs w:val="20"/>
        </w:rPr>
        <w:t>0.76-1.4</w:t>
      </w:r>
      <w:r w:rsidRPr="00C93B9D">
        <w:rPr>
          <w:rFonts w:ascii="Arial" w:eastAsia="宋体" w:hAnsi="Arial" w:cs="Arial"/>
          <w:kern w:val="0"/>
          <w:sz w:val="20"/>
          <w:szCs w:val="20"/>
        </w:rPr>
        <w:t>小时。两者均以较高的浓度随尿液排出，</w:t>
      </w:r>
      <w:r w:rsidRPr="00C93B9D">
        <w:rPr>
          <w:rFonts w:ascii="Arial" w:eastAsia="宋体" w:hAnsi="Arial" w:cs="Arial"/>
          <w:kern w:val="0"/>
          <w:sz w:val="20"/>
          <w:szCs w:val="20"/>
        </w:rPr>
        <w:t>8</w:t>
      </w:r>
      <w:r w:rsidRPr="00C93B9D">
        <w:rPr>
          <w:rFonts w:ascii="Arial" w:eastAsia="宋体" w:hAnsi="Arial" w:cs="Arial"/>
          <w:kern w:val="0"/>
          <w:sz w:val="20"/>
          <w:szCs w:val="20"/>
        </w:rPr>
        <w:t>小时尿中排泄率阿莫西林为</w:t>
      </w:r>
      <w:r w:rsidRPr="00C93B9D">
        <w:rPr>
          <w:rFonts w:ascii="Arial" w:eastAsia="宋体" w:hAnsi="Arial" w:cs="Arial"/>
          <w:kern w:val="0"/>
          <w:sz w:val="20"/>
          <w:szCs w:val="20"/>
        </w:rPr>
        <w:t>50%-78%</w:t>
      </w:r>
      <w:r w:rsidRPr="00C93B9D">
        <w:rPr>
          <w:rFonts w:ascii="Arial" w:eastAsia="宋体" w:hAnsi="Arial" w:cs="Arial"/>
          <w:kern w:val="0"/>
          <w:sz w:val="20"/>
          <w:szCs w:val="20"/>
        </w:rPr>
        <w:t>，克拉维酸钾约为</w:t>
      </w:r>
      <w:r w:rsidRPr="00C93B9D">
        <w:rPr>
          <w:rFonts w:ascii="Arial" w:eastAsia="宋体" w:hAnsi="Arial" w:cs="Arial"/>
          <w:kern w:val="0"/>
          <w:sz w:val="20"/>
          <w:szCs w:val="20"/>
        </w:rPr>
        <w:t>46%</w:t>
      </w:r>
      <w:r w:rsidRPr="00C93B9D">
        <w:rPr>
          <w:rFonts w:ascii="Arial" w:eastAsia="宋体" w:hAnsi="Arial" w:cs="Arial"/>
          <w:kern w:val="0"/>
          <w:sz w:val="20"/>
          <w:szCs w:val="20"/>
        </w:rPr>
        <w:t>。血液透析可清除本药。</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遗传、生殖毒性与致癌性</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遗传毒性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本药在体外</w:t>
      </w:r>
      <w:r w:rsidRPr="00C93B9D">
        <w:rPr>
          <w:rFonts w:ascii="Arial" w:eastAsia="宋体" w:hAnsi="Arial" w:cs="Arial"/>
          <w:kern w:val="0"/>
          <w:sz w:val="20"/>
          <w:szCs w:val="20"/>
        </w:rPr>
        <w:t>Ames</w:t>
      </w:r>
      <w:r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生殖毒性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经口给予鼠本药</w:t>
      </w:r>
      <w:r w:rsidRPr="00C93B9D">
        <w:rPr>
          <w:rFonts w:ascii="Arial" w:eastAsia="宋体" w:hAnsi="Arial" w:cs="Arial"/>
          <w:kern w:val="0"/>
          <w:sz w:val="20"/>
          <w:szCs w:val="20"/>
        </w:rPr>
        <w:t>(2:1</w:t>
      </w:r>
      <w:r w:rsidRPr="00C93B9D">
        <w:rPr>
          <w:rFonts w:ascii="Arial" w:eastAsia="宋体" w:hAnsi="Arial" w:cs="Arial"/>
          <w:kern w:val="0"/>
          <w:sz w:val="20"/>
          <w:szCs w:val="20"/>
        </w:rPr>
        <w:t>制剂</w:t>
      </w:r>
      <w:r w:rsidRPr="00C93B9D">
        <w:rPr>
          <w:rFonts w:ascii="Arial" w:eastAsia="宋体" w:hAnsi="Arial" w:cs="Arial"/>
          <w:kern w:val="0"/>
          <w:sz w:val="20"/>
          <w:szCs w:val="20"/>
        </w:rPr>
        <w:t>)</w:t>
      </w:r>
      <w:r w:rsidRPr="00C93B9D">
        <w:rPr>
          <w:rFonts w:ascii="Arial" w:eastAsia="宋体" w:hAnsi="Arial" w:cs="Arial"/>
          <w:kern w:val="0"/>
          <w:sz w:val="20"/>
          <w:szCs w:val="20"/>
        </w:rPr>
        <w:t>一日剂量</w:t>
      </w:r>
      <w:r w:rsidRPr="00C93B9D">
        <w:rPr>
          <w:rFonts w:ascii="Arial" w:eastAsia="宋体" w:hAnsi="Arial" w:cs="Arial"/>
          <w:kern w:val="0"/>
          <w:sz w:val="20"/>
          <w:szCs w:val="20"/>
        </w:rPr>
        <w:t>1.2g/kg(</w:t>
      </w:r>
      <w:r w:rsidRPr="00C93B9D">
        <w:rPr>
          <w:rFonts w:ascii="Arial" w:eastAsia="宋体" w:hAnsi="Arial" w:cs="Arial"/>
          <w:kern w:val="0"/>
          <w:sz w:val="20"/>
          <w:szCs w:val="20"/>
        </w:rPr>
        <w:t>相当于人类最大剂量的</w:t>
      </w:r>
      <w:r w:rsidRPr="00C93B9D">
        <w:rPr>
          <w:rFonts w:ascii="Arial" w:eastAsia="宋体" w:hAnsi="Arial" w:cs="Arial"/>
          <w:kern w:val="0"/>
          <w:sz w:val="20"/>
          <w:szCs w:val="20"/>
        </w:rPr>
        <w:t>517</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，未见对生育力和繁殖力有影响。经口给予妊娠期大鼠、小鼠本药一日剂量</w:t>
      </w:r>
      <w:r w:rsidRPr="00C93B9D">
        <w:rPr>
          <w:rFonts w:ascii="Arial" w:eastAsia="宋体" w:hAnsi="Arial" w:cs="Arial"/>
          <w:kern w:val="0"/>
          <w:sz w:val="20"/>
          <w:szCs w:val="20"/>
        </w:rPr>
        <w:t>1.2g/kg(</w:t>
      </w:r>
      <w:r w:rsidRPr="00C93B9D">
        <w:rPr>
          <w:rFonts w:ascii="Arial" w:eastAsia="宋体" w:hAnsi="Arial" w:cs="Arial"/>
          <w:kern w:val="0"/>
          <w:sz w:val="20"/>
          <w:szCs w:val="20"/>
        </w:rPr>
        <w:t>按体表面积计算，分别相当于人类最大剂量的</w:t>
      </w:r>
      <w:r w:rsidRPr="00C93B9D">
        <w:rPr>
          <w:rFonts w:ascii="Arial" w:eastAsia="宋体" w:hAnsi="Arial" w:cs="Arial"/>
          <w:kern w:val="0"/>
          <w:sz w:val="20"/>
          <w:szCs w:val="20"/>
        </w:rPr>
        <w:t>4.9</w:t>
      </w:r>
      <w:r w:rsidRPr="00C93B9D">
        <w:rPr>
          <w:rFonts w:ascii="Arial" w:eastAsia="宋体" w:hAnsi="Arial" w:cs="Arial"/>
          <w:kern w:val="0"/>
          <w:sz w:val="20"/>
          <w:szCs w:val="20"/>
        </w:rPr>
        <w:t>倍、</w:t>
      </w:r>
      <w:r w:rsidRPr="00C93B9D">
        <w:rPr>
          <w:rFonts w:ascii="Arial" w:eastAsia="宋体" w:hAnsi="Arial" w:cs="Arial"/>
          <w:kern w:val="0"/>
          <w:sz w:val="20"/>
          <w:szCs w:val="20"/>
        </w:rPr>
        <w:t>2.8</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，均未见对胎仔有致畸作用。静脉注射给予豚鼠阿莫西林可降低子宫紧张性、收缩频率、强度和持续时间。</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致癌性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尚无本药致癌性的长期动物试验研究数据。</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【制剂与规格】</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阿莫西林克拉维酸钾片</w:t>
      </w:r>
      <w:r w:rsidRPr="00C93B9D">
        <w:rPr>
          <w:rFonts w:ascii="Arial" w:eastAsia="宋体" w:hAnsi="Arial" w:cs="Arial"/>
          <w:kern w:val="0"/>
          <w:sz w:val="20"/>
          <w:szCs w:val="20"/>
        </w:rPr>
        <w:t xml:space="preserve">  (1)228.5mg(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(2)375mg(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(3)457mg(</w:t>
      </w:r>
      <w:r w:rsidRPr="00C93B9D">
        <w:rPr>
          <w:rFonts w:ascii="Arial" w:eastAsia="宋体" w:hAnsi="Arial" w:cs="Arial"/>
          <w:kern w:val="0"/>
          <w:sz w:val="20"/>
          <w:szCs w:val="20"/>
        </w:rPr>
        <w:t>阿莫西林</w:t>
      </w:r>
      <w:r w:rsidRPr="00C93B9D">
        <w:rPr>
          <w:rFonts w:ascii="Arial" w:eastAsia="宋体" w:hAnsi="Arial" w:cs="Arial"/>
          <w:kern w:val="0"/>
          <w:sz w:val="20"/>
          <w:szCs w:val="20"/>
        </w:rPr>
        <w:t>400mg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57mg)</w:t>
      </w:r>
      <w:r w:rsidRPr="00C93B9D">
        <w:rPr>
          <w:rFonts w:ascii="Arial" w:eastAsia="宋体" w:hAnsi="Arial" w:cs="Arial"/>
          <w:kern w:val="0"/>
          <w:sz w:val="20"/>
          <w:szCs w:val="20"/>
        </w:rPr>
        <w:t>。</w:t>
      </w:r>
      <w:r w:rsidRPr="00C93B9D">
        <w:rPr>
          <w:rFonts w:ascii="Arial" w:eastAsia="宋体" w:hAnsi="Arial" w:cs="Arial"/>
          <w:kern w:val="0"/>
          <w:sz w:val="20"/>
          <w:szCs w:val="20"/>
        </w:rPr>
        <w:t>(4)625mg(</w:t>
      </w:r>
      <w:r w:rsidRPr="00C93B9D">
        <w:rPr>
          <w:rFonts w:ascii="Arial" w:eastAsia="宋体" w:hAnsi="Arial" w:cs="Arial"/>
          <w:kern w:val="0"/>
          <w:sz w:val="20"/>
          <w:szCs w:val="20"/>
        </w:rPr>
        <w:t>阿莫西林</w:t>
      </w:r>
      <w:r w:rsidRPr="00C93B9D">
        <w:rPr>
          <w:rFonts w:ascii="Arial" w:eastAsia="宋体" w:hAnsi="Arial" w:cs="Arial"/>
          <w:kern w:val="0"/>
          <w:sz w:val="20"/>
          <w:szCs w:val="20"/>
        </w:rPr>
        <w:t>500mg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(5)643mg(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Pr="00C93B9D">
        <w:rPr>
          <w:rFonts w:ascii="Arial" w:eastAsia="宋体" w:hAnsi="Arial" w:cs="Arial"/>
          <w:kern w:val="0"/>
          <w:sz w:val="20"/>
          <w:szCs w:val="20"/>
        </w:rPr>
        <w:t>(6)1g(</w:t>
      </w:r>
      <w:r w:rsidRPr="00C93B9D">
        <w:rPr>
          <w:rFonts w:ascii="Arial" w:eastAsia="宋体" w:hAnsi="Arial" w:cs="Arial"/>
          <w:kern w:val="0"/>
          <w:sz w:val="20"/>
          <w:szCs w:val="20"/>
        </w:rPr>
        <w:t>阿莫西林</w:t>
      </w:r>
      <w:r w:rsidRPr="00C93B9D">
        <w:rPr>
          <w:rFonts w:ascii="Arial" w:eastAsia="宋体" w:hAnsi="Arial" w:cs="Arial"/>
          <w:kern w:val="0"/>
          <w:sz w:val="20"/>
          <w:szCs w:val="20"/>
        </w:rPr>
        <w:t>875mg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阿莫西林克拉维酸钾分散片</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阿莫西林克拉维酸钾咀嚼片</w:t>
      </w:r>
      <w:r w:rsidRPr="00C93B9D">
        <w:rPr>
          <w:rFonts w:ascii="Arial" w:eastAsia="宋体" w:hAnsi="Arial" w:cs="Arial"/>
          <w:kern w:val="0"/>
          <w:sz w:val="20"/>
          <w:szCs w:val="20"/>
        </w:rPr>
        <w:t xml:space="preserve">  (1)187.5mg(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阿莫西林克拉维酸钾胶囊</w:t>
      </w:r>
      <w:r w:rsidRPr="00C93B9D">
        <w:rPr>
          <w:rFonts w:ascii="Arial" w:eastAsia="宋体" w:hAnsi="Arial" w:cs="Arial"/>
          <w:kern w:val="0"/>
          <w:sz w:val="20"/>
          <w:szCs w:val="20"/>
        </w:rPr>
        <w:t xml:space="preserve">  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阿莫西林克拉维酸钾颗粒</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(3)228.5mg(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lastRenderedPageBreak/>
        <w:t>阿莫西林克拉维酸钾干混悬剂</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注射用阿莫西林钠克拉维酸钾</w:t>
      </w:r>
      <w:r w:rsidRPr="00C93B9D">
        <w:rPr>
          <w:rFonts w:ascii="Arial" w:eastAsia="宋体" w:hAnsi="Arial" w:cs="Arial"/>
          <w:kern w:val="0"/>
          <w:sz w:val="20"/>
          <w:szCs w:val="20"/>
        </w:rPr>
        <w:t xml:space="preserve">  (1)0.6g(</w:t>
      </w:r>
      <w:r w:rsidRPr="00C93B9D">
        <w:rPr>
          <w:rFonts w:ascii="Arial" w:eastAsia="宋体" w:hAnsi="Arial" w:cs="Arial"/>
          <w:kern w:val="0"/>
          <w:sz w:val="20"/>
          <w:szCs w:val="20"/>
        </w:rPr>
        <w:t>阿莫西林</w:t>
      </w:r>
      <w:r w:rsidRPr="00C93B9D">
        <w:rPr>
          <w:rFonts w:ascii="Arial" w:eastAsia="宋体" w:hAnsi="Arial" w:cs="Arial"/>
          <w:kern w:val="0"/>
          <w:sz w:val="20"/>
          <w:szCs w:val="20"/>
        </w:rPr>
        <w:t>0.5g</w:t>
      </w:r>
      <w:r w:rsidRPr="00C93B9D">
        <w:rPr>
          <w:rFonts w:ascii="Arial" w:eastAsia="宋体" w:hAnsi="Arial" w:cs="Arial"/>
          <w:kern w:val="0"/>
          <w:sz w:val="20"/>
          <w:szCs w:val="20"/>
        </w:rPr>
        <w:t>、克拉维酸钾</w:t>
      </w:r>
      <w:r w:rsidRPr="00C93B9D">
        <w:rPr>
          <w:rFonts w:ascii="Arial" w:eastAsia="宋体" w:hAnsi="Arial" w:cs="Arial"/>
          <w:kern w:val="0"/>
          <w:sz w:val="20"/>
          <w:szCs w:val="20"/>
        </w:rPr>
        <w:t>0.1g)</w:t>
      </w:r>
      <w:r w:rsidRPr="00C93B9D">
        <w:rPr>
          <w:rFonts w:ascii="Arial" w:eastAsia="宋体" w:hAnsi="Arial" w:cs="Arial"/>
          <w:kern w:val="0"/>
          <w:sz w:val="20"/>
          <w:szCs w:val="20"/>
        </w:rPr>
        <w:t>。</w:t>
      </w:r>
      <w:r w:rsidRPr="00C93B9D">
        <w:rPr>
          <w:rFonts w:ascii="Arial" w:eastAsia="宋体" w:hAnsi="Arial" w:cs="Arial"/>
          <w:kern w:val="0"/>
          <w:sz w:val="20"/>
          <w:szCs w:val="20"/>
        </w:rPr>
        <w:t>(2)1.2g(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b/>
          <w:bCs/>
          <w:kern w:val="0"/>
          <w:sz w:val="20"/>
          <w:szCs w:val="20"/>
        </w:rPr>
        <w:t>【贮藏】</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片剂：密封，在凉暗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分散片：密封，在凉暗</w:t>
      </w:r>
      <w:r w:rsidRPr="00C93B9D">
        <w:rPr>
          <w:rFonts w:ascii="Arial" w:eastAsia="宋体" w:hAnsi="Arial" w:cs="Arial"/>
          <w:kern w:val="0"/>
          <w:sz w:val="20"/>
          <w:szCs w:val="20"/>
        </w:rPr>
        <w:t>(</w:t>
      </w:r>
      <w:r w:rsidRPr="00C93B9D">
        <w:rPr>
          <w:rFonts w:ascii="Arial" w:eastAsia="宋体" w:hAnsi="Arial" w:cs="Arial"/>
          <w:kern w:val="0"/>
          <w:sz w:val="20"/>
          <w:szCs w:val="20"/>
        </w:rPr>
        <w:t>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咀嚼片：密闭，在凉暗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胶囊：密封，在凉暗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颗粒：密封，在凉暗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干混悬剂：密封，在凉暗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spacing w:before="150" w:after="150" w:line="336" w:lineRule="auto"/>
        <w:jc w:val="left"/>
        <w:rPr>
          <w:rFonts w:ascii="Arial" w:eastAsia="宋体" w:hAnsi="Arial" w:cs="Arial"/>
          <w:kern w:val="0"/>
          <w:sz w:val="20"/>
          <w:szCs w:val="20"/>
        </w:rPr>
      </w:pPr>
      <w:r w:rsidRPr="00C93B9D">
        <w:rPr>
          <w:rFonts w:ascii="Arial" w:eastAsia="宋体" w:hAnsi="Arial" w:cs="Arial"/>
          <w:kern w:val="0"/>
          <w:sz w:val="20"/>
          <w:szCs w:val="20"/>
        </w:rPr>
        <w:t>粉针剂：密闭，在凉暗</w:t>
      </w:r>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p>
    <w:p w:rsidR="00C93B9D" w:rsidRPr="00C93B9D" w:rsidRDefault="00C93B9D" w:rsidP="00C93B9D">
      <w:pPr>
        <w:widowControl/>
        <w:jc w:val="center"/>
        <w:rPr>
          <w:rFonts w:ascii="Arial" w:eastAsia="宋体" w:hAnsi="Arial" w:cs="Arial"/>
          <w:kern w:val="0"/>
          <w:sz w:val="20"/>
          <w:szCs w:val="20"/>
        </w:rPr>
      </w:pPr>
      <w:r w:rsidRPr="00C93B9D">
        <w:rPr>
          <w:rFonts w:ascii="Arial" w:eastAsia="宋体" w:hAnsi="Arial" w:cs="Arial"/>
          <w:kern w:val="0"/>
          <w:sz w:val="20"/>
          <w:szCs w:val="20"/>
        </w:rPr>
        <w:t>使用</w:t>
      </w:r>
      <w:r w:rsidRPr="00C93B9D">
        <w:rPr>
          <w:rFonts w:ascii="Arial" w:eastAsia="宋体" w:hAnsi="Arial" w:cs="Arial"/>
          <w:kern w:val="0"/>
          <w:sz w:val="20"/>
          <w:szCs w:val="20"/>
        </w:rPr>
        <w:t>UpToDate</w:t>
      </w:r>
      <w:r w:rsidRPr="00C93B9D">
        <w:rPr>
          <w:rFonts w:ascii="Arial" w:eastAsia="宋体" w:hAnsi="Arial" w:cs="Arial"/>
          <w:kern w:val="0"/>
          <w:sz w:val="20"/>
          <w:szCs w:val="20"/>
        </w:rPr>
        <w:t>临床顾问须遵循</w:t>
      </w:r>
      <w:hyperlink r:id="rId4" w:tgtFrame="_blank" w:history="1">
        <w:r w:rsidRPr="00C93B9D">
          <w:rPr>
            <w:rFonts w:ascii="Arial" w:eastAsia="宋体" w:hAnsi="Arial" w:cs="Arial"/>
            <w:color w:val="336633"/>
            <w:kern w:val="0"/>
            <w:sz w:val="20"/>
            <w:szCs w:val="20"/>
            <w:u w:val="single"/>
          </w:rPr>
          <w:t>用户协议</w:t>
        </w:r>
      </w:hyperlink>
      <w:r w:rsidRPr="00C93B9D">
        <w:rPr>
          <w:rFonts w:ascii="Arial" w:eastAsia="宋体" w:hAnsi="Arial" w:cs="Arial"/>
          <w:kern w:val="0"/>
          <w:sz w:val="20"/>
          <w:szCs w:val="20"/>
        </w:rPr>
        <w:t>。</w:t>
      </w:r>
      <w:r w:rsidRPr="00C93B9D">
        <w:rPr>
          <w:rFonts w:ascii="Arial" w:eastAsia="宋体" w:hAnsi="Arial" w:cs="Arial"/>
          <w:kern w:val="0"/>
          <w:sz w:val="20"/>
          <w:szCs w:val="20"/>
        </w:rPr>
        <w:t xml:space="preserve"> </w:t>
      </w:r>
    </w:p>
    <w:p w:rsidR="00C93B9D" w:rsidRPr="00C93B9D" w:rsidRDefault="00C93B9D" w:rsidP="00C93B9D">
      <w:pPr>
        <w:widowControl/>
        <w:jc w:val="left"/>
        <w:rPr>
          <w:rFonts w:ascii="Arial" w:eastAsia="宋体" w:hAnsi="Arial" w:cs="Arial"/>
          <w:kern w:val="0"/>
          <w:sz w:val="20"/>
          <w:szCs w:val="20"/>
        </w:rPr>
      </w:pPr>
      <w:r w:rsidRPr="00C93B9D">
        <w:rPr>
          <w:rFonts w:ascii="Arial" w:eastAsia="宋体" w:hAnsi="Arial" w:cs="Arial"/>
          <w:kern w:val="0"/>
          <w:sz w:val="20"/>
          <w:szCs w:val="20"/>
        </w:rPr>
        <w:t>专题</w:t>
      </w:r>
      <w:r w:rsidRPr="00C93B9D">
        <w:rPr>
          <w:rFonts w:ascii="Arial" w:eastAsia="宋体" w:hAnsi="Arial" w:cs="Arial"/>
          <w:kern w:val="0"/>
          <w:sz w:val="20"/>
          <w:szCs w:val="20"/>
        </w:rPr>
        <w:t xml:space="preserve"> 92288 </w:t>
      </w:r>
      <w:r w:rsidRPr="00C93B9D">
        <w:rPr>
          <w:rFonts w:ascii="Arial" w:eastAsia="宋体" w:hAnsi="Arial" w:cs="Arial"/>
          <w:kern w:val="0"/>
          <w:sz w:val="20"/>
          <w:szCs w:val="20"/>
        </w:rPr>
        <w:t>版本</w:t>
      </w:r>
      <w:r w:rsidRPr="00C93B9D">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823A6"/>
    <w:rsid w:val="0048715B"/>
    <w:rsid w:val="00792049"/>
    <w:rsid w:val="00C9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2015-02-09T01:22:00Z</dcterms:created>
  <dcterms:modified xsi:type="dcterms:W3CDTF">2015-02-09T01:22:00Z</dcterms:modified>
</cp:coreProperties>
</file>