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B5E093">
      <w:pPr>
        <w:spacing w:after="40"/>
      </w:pPr>
      <w:r>
        <w:rPr>
          <w:b/>
          <w:bCs/>
          <w:color w:val="F2A93B"/>
          <w:sz w:val="22"/>
          <w:szCs w:val="22"/>
        </w:rPr>
        <w:t>BUSINESS BRIEF</w:t>
      </w:r>
    </w:p>
    <w:p w14:paraId="2C750FCA">
      <w:pPr>
        <w:spacing w:after="40"/>
      </w:pPr>
      <w:r>
        <w:rPr>
          <w:b/>
          <w:bCs/>
          <w:color w:val="1E7145"/>
          <w:sz w:val="48"/>
          <w:szCs w:val="48"/>
        </w:rPr>
        <w:t>Pick-Pick Mart</w:t>
      </w:r>
    </w:p>
    <w:p w14:paraId="21EB8E8D">
      <w:pPr>
        <w:pBdr>
          <w:bottom w:val="single" w:color="F2A93B" w:sz="6" w:space="6"/>
        </w:pBdr>
        <w:spacing w:after="200"/>
      </w:pPr>
      <w:r>
        <w:rPr>
          <w:i/>
          <w:iCs/>
          <w:sz w:val="20"/>
          <w:szCs w:val="20"/>
        </w:rPr>
        <w:t>Sales &amp; Inventory Dashboard Initiative  |  Rukpokwu, Port Harcourt, Rivers State</w:t>
      </w:r>
    </w:p>
    <w:p w14:paraId="7CCB2BFB">
      <w:pPr>
        <w:spacing w:after="140"/>
      </w:pPr>
      <w:r>
        <w:rPr>
          <w:b/>
          <w:bCs/>
          <w:sz w:val="22"/>
          <w:szCs w:val="22"/>
        </w:rPr>
        <w:t>Prepared for</w:t>
      </w:r>
    </w:p>
    <w:p w14:paraId="510FAE20">
      <w:pPr>
        <w:spacing w:before="200" w:after="100"/>
      </w:pPr>
      <w:r>
        <w:rPr>
          <w:b/>
          <w:bCs/>
          <w:sz w:val="22"/>
          <w:szCs w:val="22"/>
        </w:rPr>
        <w:t>Document purpose</w:t>
      </w:r>
    </w:p>
    <w:p w14:paraId="70CB8C13">
      <w:pPr>
        <w:spacing w:after="140"/>
      </w:pPr>
      <w:r>
        <w:t>Pick-Pick Mart Management — Rukpokwu, Port Harcourt</w:t>
      </w:r>
    </w:p>
    <w:p w14:paraId="5C82980C">
      <w:pPr>
        <w:spacing w:before="200" w:after="100"/>
      </w:pPr>
      <w:bookmarkStart w:id="0" w:name="_GoBack"/>
      <w:bookmarkEnd w:id="0"/>
    </w:p>
    <w:p w14:paraId="1052653B">
      <w:pPr>
        <w:spacing w:after="140"/>
      </w:pPr>
      <w:r>
        <w:t>This brief defines the business context, guiding questions, and data requirements for an Excel-based dashboard built from the supermarket's daily sales CSV export. It is the reference document for the dashboard's design and scope.</w:t>
      </w:r>
    </w:p>
    <w:p w14:paraId="4402413B">
      <w:pPr>
        <w:pStyle w:val="2"/>
        <w:spacing w:before="320" w:after="160"/>
      </w:pPr>
      <w:r>
        <w:rPr>
          <w:b/>
          <w:bCs/>
          <w:color w:val="1E7145"/>
        </w:rPr>
        <w:t>1. Brand Identity</w:t>
      </w:r>
    </w:p>
    <w:p w14:paraId="258D4223">
      <w:pPr>
        <w:spacing w:after="140"/>
      </w:pPr>
      <w:r>
        <w:t>The color palette below is a suggested starting point for Pick-Pick Mart's dashboard, signage, and reports — reflecting a fresh, trustworthy local supermarket brand. Replace with the shop's official brand colors if these already exist.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5"/>
        <w:gridCol w:w="2525"/>
        <w:gridCol w:w="2525"/>
        <w:gridCol w:w="2525"/>
      </w:tblGrid>
      <w:tr w14:paraId="082DF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Pr>
          <w:tbl>
            <w:tblPr>
              <w:tblStyle w:val="9"/>
              <w:tblW w:w="5000" w:type="pct"/>
              <w:tblInd w:w="0" w:type="dxa"/>
              <w:tblLayout w:type="autofit"/>
              <w:tblCellMar>
                <w:top w:w="0" w:type="dxa"/>
                <w:left w:w="10" w:type="dxa"/>
                <w:bottom w:w="0" w:type="dxa"/>
                <w:right w:w="10" w:type="dxa"/>
              </w:tblCellMar>
            </w:tblPr>
            <w:tblGrid>
              <w:gridCol w:w="2505"/>
            </w:tblGrid>
            <w:tr w14:paraId="203BAD8D">
              <w:tblPrEx>
                <w:tblCellMar>
                  <w:top w:w="0" w:type="dxa"/>
                  <w:left w:w="10" w:type="dxa"/>
                  <w:bottom w:w="0" w:type="dxa"/>
                  <w:right w:w="10" w:type="dxa"/>
                </w:tblCellMar>
              </w:tblPrEx>
              <w:trPr>
                <w:trHeight w:val="500" w:hRule="atLeast"/>
              </w:trPr>
              <w:tc>
                <w:tcPr>
                  <w:tcW w:w="5000" w:type="pct"/>
                  <w:shd w:val="clear" w:color="auto" w:fill="1E7145"/>
                </w:tcPr>
                <w:p w14:paraId="372EFA0E"/>
              </w:tc>
            </w:tr>
          </w:tbl>
          <w:p w14:paraId="2C7DB21F"/>
        </w:tc>
        <w:tc>
          <w:tcPr>
            <w:tcW w:w="1250" w:type="pct"/>
          </w:tcPr>
          <w:tbl>
            <w:tblPr>
              <w:tblStyle w:val="9"/>
              <w:tblW w:w="5000" w:type="pct"/>
              <w:tblInd w:w="0" w:type="dxa"/>
              <w:tblLayout w:type="autofit"/>
              <w:tblCellMar>
                <w:top w:w="0" w:type="dxa"/>
                <w:left w:w="10" w:type="dxa"/>
                <w:bottom w:w="0" w:type="dxa"/>
                <w:right w:w="10" w:type="dxa"/>
              </w:tblCellMar>
            </w:tblPr>
            <w:tblGrid>
              <w:gridCol w:w="2505"/>
            </w:tblGrid>
            <w:tr w14:paraId="0F867CF8">
              <w:tblPrEx>
                <w:tblCellMar>
                  <w:top w:w="0" w:type="dxa"/>
                  <w:left w:w="10" w:type="dxa"/>
                  <w:bottom w:w="0" w:type="dxa"/>
                  <w:right w:w="10" w:type="dxa"/>
                </w:tblCellMar>
              </w:tblPrEx>
              <w:trPr>
                <w:trHeight w:val="500" w:hRule="atLeast"/>
              </w:trPr>
              <w:tc>
                <w:tcPr>
                  <w:tcW w:w="5000" w:type="pct"/>
                  <w:shd w:val="clear" w:color="auto" w:fill="F2A93B"/>
                </w:tcPr>
                <w:p w14:paraId="6D271611"/>
              </w:tc>
            </w:tr>
          </w:tbl>
          <w:p w14:paraId="3574F40F"/>
        </w:tc>
        <w:tc>
          <w:tcPr>
            <w:tcW w:w="1250" w:type="pct"/>
          </w:tcPr>
          <w:tbl>
            <w:tblPr>
              <w:tblStyle w:val="9"/>
              <w:tblW w:w="5000" w:type="pct"/>
              <w:tblInd w:w="0" w:type="dxa"/>
              <w:tblLayout w:type="autofit"/>
              <w:tblCellMar>
                <w:top w:w="0" w:type="dxa"/>
                <w:left w:w="10" w:type="dxa"/>
                <w:bottom w:w="0" w:type="dxa"/>
                <w:right w:w="10" w:type="dxa"/>
              </w:tblCellMar>
            </w:tblPr>
            <w:tblGrid>
              <w:gridCol w:w="2505"/>
            </w:tblGrid>
            <w:tr w14:paraId="0B80A334">
              <w:tblPrEx>
                <w:tblCellMar>
                  <w:top w:w="0" w:type="dxa"/>
                  <w:left w:w="10" w:type="dxa"/>
                  <w:bottom w:w="0" w:type="dxa"/>
                  <w:right w:w="10" w:type="dxa"/>
                </w:tblCellMar>
              </w:tblPrEx>
              <w:trPr>
                <w:trHeight w:val="500" w:hRule="atLeast"/>
              </w:trPr>
              <w:tc>
                <w:tcPr>
                  <w:tcW w:w="5000" w:type="pct"/>
                  <w:shd w:val="clear" w:color="auto" w:fill="2D2D2D"/>
                </w:tcPr>
                <w:p w14:paraId="62C3C59A"/>
              </w:tc>
            </w:tr>
          </w:tbl>
          <w:p w14:paraId="6101B7D6"/>
        </w:tc>
        <w:tc>
          <w:tcPr>
            <w:tcW w:w="1250" w:type="pct"/>
          </w:tcPr>
          <w:tbl>
            <w:tblPr>
              <w:tblStyle w:val="9"/>
              <w:tblW w:w="5000" w:type="pct"/>
              <w:tblInd w:w="0" w:type="dxa"/>
              <w:tblLayout w:type="autofit"/>
              <w:tblCellMar>
                <w:top w:w="0" w:type="dxa"/>
                <w:left w:w="10" w:type="dxa"/>
                <w:bottom w:w="0" w:type="dxa"/>
                <w:right w:w="10" w:type="dxa"/>
              </w:tblCellMar>
            </w:tblPr>
            <w:tblGrid>
              <w:gridCol w:w="2505"/>
            </w:tblGrid>
            <w:tr w14:paraId="21480013">
              <w:tblPrEx>
                <w:tblCellMar>
                  <w:top w:w="0" w:type="dxa"/>
                  <w:left w:w="10" w:type="dxa"/>
                  <w:bottom w:w="0" w:type="dxa"/>
                  <w:right w:w="10" w:type="dxa"/>
                </w:tblCellMar>
              </w:tblPrEx>
              <w:trPr>
                <w:trHeight w:val="500" w:hRule="atLeast"/>
              </w:trPr>
              <w:tc>
                <w:tcPr>
                  <w:tcW w:w="5000" w:type="pct"/>
                  <w:shd w:val="clear" w:color="auto" w:fill="FBF6EC"/>
                </w:tcPr>
                <w:p w14:paraId="19F6848E"/>
              </w:tc>
            </w:tr>
          </w:tbl>
          <w:p w14:paraId="62378D20"/>
        </w:tc>
      </w:tr>
      <w:tr w14:paraId="6BF6D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Pr>
          <w:p w14:paraId="663484F0">
            <w:pPr>
              <w:spacing w:before="80"/>
              <w:jc w:val="center"/>
            </w:pPr>
            <w:r>
              <w:rPr>
                <w:b/>
                <w:bCs/>
                <w:sz w:val="18"/>
                <w:szCs w:val="18"/>
              </w:rPr>
              <w:t>Market Green</w:t>
            </w:r>
          </w:p>
          <w:p w14:paraId="07DCE387">
            <w:pPr>
              <w:jc w:val="center"/>
            </w:pPr>
            <w:r>
              <w:rPr>
                <w:sz w:val="16"/>
                <w:szCs w:val="16"/>
              </w:rPr>
              <w:t>#1E7145</w:t>
            </w:r>
          </w:p>
          <w:p w14:paraId="40115A94">
            <w:pPr>
              <w:spacing w:after="100"/>
              <w:jc w:val="center"/>
            </w:pPr>
            <w:r>
              <w:rPr>
                <w:i/>
                <w:iCs/>
                <w:sz w:val="16"/>
                <w:szCs w:val="16"/>
              </w:rPr>
              <w:t>Primary — trust, fresh produce</w:t>
            </w:r>
          </w:p>
        </w:tc>
        <w:tc>
          <w:tcPr>
            <w:tcW w:w="1250" w:type="pct"/>
          </w:tcPr>
          <w:p w14:paraId="74CCC3DE">
            <w:pPr>
              <w:spacing w:before="80"/>
              <w:jc w:val="center"/>
            </w:pPr>
            <w:r>
              <w:rPr>
                <w:b/>
                <w:bCs/>
                <w:sz w:val="18"/>
                <w:szCs w:val="18"/>
              </w:rPr>
              <w:t>Rukpokwu Gold</w:t>
            </w:r>
          </w:p>
          <w:p w14:paraId="6E830F43">
            <w:pPr>
              <w:jc w:val="center"/>
            </w:pPr>
            <w:r>
              <w:rPr>
                <w:sz w:val="16"/>
                <w:szCs w:val="16"/>
              </w:rPr>
              <w:t>#F2A93B</w:t>
            </w:r>
          </w:p>
          <w:p w14:paraId="34ED61AB">
            <w:pPr>
              <w:spacing w:after="100"/>
              <w:jc w:val="center"/>
            </w:pPr>
            <w:r>
              <w:rPr>
                <w:i/>
                <w:iCs/>
                <w:sz w:val="16"/>
                <w:szCs w:val="16"/>
              </w:rPr>
              <w:t>Accent — energy, alerts, CTAs</w:t>
            </w:r>
          </w:p>
        </w:tc>
        <w:tc>
          <w:tcPr>
            <w:tcW w:w="1250" w:type="pct"/>
          </w:tcPr>
          <w:p w14:paraId="11C8BF5B">
            <w:pPr>
              <w:spacing w:before="80"/>
              <w:jc w:val="center"/>
            </w:pPr>
            <w:r>
              <w:rPr>
                <w:b/>
                <w:bCs/>
                <w:sz w:val="18"/>
                <w:szCs w:val="18"/>
              </w:rPr>
              <w:t>Charcoal</w:t>
            </w:r>
          </w:p>
          <w:p w14:paraId="5D61BE8E">
            <w:pPr>
              <w:jc w:val="center"/>
            </w:pPr>
            <w:r>
              <w:rPr>
                <w:sz w:val="16"/>
                <w:szCs w:val="16"/>
              </w:rPr>
              <w:t>#2D2D2D</w:t>
            </w:r>
          </w:p>
          <w:p w14:paraId="09D825C8">
            <w:pPr>
              <w:spacing w:after="100"/>
              <w:jc w:val="center"/>
            </w:pPr>
            <w:r>
              <w:rPr>
                <w:i/>
                <w:iCs/>
                <w:sz w:val="16"/>
                <w:szCs w:val="16"/>
              </w:rPr>
              <w:t>Text &amp; labels</w:t>
            </w:r>
          </w:p>
        </w:tc>
        <w:tc>
          <w:tcPr>
            <w:tcW w:w="1250" w:type="pct"/>
          </w:tcPr>
          <w:p w14:paraId="442E151D">
            <w:pPr>
              <w:spacing w:before="80"/>
              <w:jc w:val="center"/>
            </w:pPr>
            <w:r>
              <w:rPr>
                <w:b/>
                <w:bCs/>
                <w:sz w:val="18"/>
                <w:szCs w:val="18"/>
              </w:rPr>
              <w:t>Cream</w:t>
            </w:r>
          </w:p>
          <w:p w14:paraId="36ECE0DD">
            <w:pPr>
              <w:jc w:val="center"/>
            </w:pPr>
            <w:r>
              <w:rPr>
                <w:sz w:val="16"/>
                <w:szCs w:val="16"/>
              </w:rPr>
              <w:t>#FBF6EC</w:t>
            </w:r>
          </w:p>
          <w:p w14:paraId="387B4445">
            <w:pPr>
              <w:spacing w:after="100"/>
              <w:jc w:val="center"/>
            </w:pPr>
            <w:r>
              <w:rPr>
                <w:i/>
                <w:iCs/>
                <w:sz w:val="16"/>
                <w:szCs w:val="16"/>
              </w:rPr>
              <w:t>Backgrounds</w:t>
            </w:r>
          </w:p>
        </w:tc>
      </w:tr>
    </w:tbl>
    <w:p w14:paraId="77B8C0F8">
      <w:pPr>
        <w:pStyle w:val="2"/>
        <w:spacing w:before="320" w:after="160"/>
      </w:pPr>
      <w:r>
        <w:rPr>
          <w:b/>
          <w:bCs/>
          <w:color w:val="1E7145"/>
        </w:rPr>
        <w:t>2. Business Background</w:t>
      </w:r>
    </w:p>
    <w:p w14:paraId="05CFEE7F">
      <w:pPr>
        <w:spacing w:after="140"/>
      </w:pPr>
      <w:r>
        <w:t>Pick-Pick Mart is a local supermarket located in Rukpokwu, Port Harcourt, serving households in the surrounding neighborhood with groceries, beverages, toiletries, household items, and everyday provisions. Sales are recorded at the point of sale and exported daily as a CSV file. Today, this data is not used beyond the till reconciliation — there is no consolidated view of sales performance or stock health.</w:t>
      </w:r>
    </w:p>
    <w:p w14:paraId="14FD301E">
      <w:pPr>
        <w:spacing w:after="140"/>
      </w:pPr>
      <w:r>
        <w:t>As the shop grows, management needs a simple, low-cost way to turn the daily CSV export into decisions: knowing what sold, when it sold, whether the cash collected matches the bank, and which shelves need urgent attention before items run out or spoil.</w:t>
      </w:r>
    </w:p>
    <w:p w14:paraId="502BA84B">
      <w:pPr>
        <w:pStyle w:val="2"/>
        <w:spacing w:before="320" w:after="160"/>
      </w:pPr>
      <w:r>
        <w:rPr>
          <w:b/>
          <w:bCs/>
          <w:color w:val="1E7145"/>
        </w:rPr>
        <w:t>3. Business Objective</w:t>
      </w:r>
    </w:p>
    <w:p w14:paraId="35E42455">
      <w:pPr>
        <w:spacing w:after="140"/>
      </w:pPr>
      <w:r>
        <w:t>Build a self-updating Excel dashboard, refreshed from the daily sales CSV, that gives Pick-Pick Mart management a same-day view of sales performance and stock health — so they can reconcile payments accurately, staff the shop efficiently, and reduce lost sales from stock-outs or expired goods.</w:t>
      </w:r>
    </w:p>
    <w:p w14:paraId="0C52979D">
      <w:pPr>
        <w:pStyle w:val="2"/>
        <w:spacing w:before="320" w:after="160"/>
      </w:pPr>
      <w:r>
        <w:rPr>
          <w:b/>
          <w:bCs/>
          <w:color w:val="1E7145"/>
        </w:rPr>
        <w:t>4. Business Questions</w:t>
      </w:r>
    </w:p>
    <w:p w14:paraId="578F277E">
      <w:pPr>
        <w:spacing w:after="140"/>
      </w:pPr>
      <w:r>
        <w:t>The dashboard is scoped around two focus areas and the specific questions management needs answered daily or weekly.</w:t>
      </w:r>
    </w:p>
    <w:p w14:paraId="29EAF53A">
      <w:pPr>
        <w:spacing w:before="200" w:after="100"/>
      </w:pPr>
      <w:r>
        <w:rPr>
          <w:b/>
          <w:bCs/>
          <w:sz w:val="22"/>
          <w:szCs w:val="22"/>
        </w:rPr>
        <w:t>4.1 Sales &amp; Revenue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772"/>
        <w:gridCol w:w="1263"/>
        <w:gridCol w:w="1285"/>
      </w:tblGrid>
      <w:tr w14:paraId="4287C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0" w:type="pct"/>
            <w:shd w:val="clear" w:color="auto" w:fill="1E7145"/>
            <w:tcMar>
              <w:top w:w="100" w:type="dxa"/>
              <w:left w:w="120" w:type="dxa"/>
              <w:bottom w:w="100" w:type="dxa"/>
              <w:right w:w="120" w:type="dxa"/>
            </w:tcMar>
            <w:vAlign w:val="center"/>
          </w:tcPr>
          <w:p w14:paraId="35CE6D7D">
            <w:r>
              <w:rPr>
                <w:b/>
                <w:bCs/>
                <w:color w:val="FFFFFF"/>
                <w:sz w:val="20"/>
                <w:szCs w:val="20"/>
              </w:rPr>
              <w:t>Focus Area</w:t>
            </w:r>
          </w:p>
        </w:tc>
        <w:tc>
          <w:tcPr>
            <w:tcW w:w="5000" w:type="pct"/>
            <w:shd w:val="clear" w:color="auto" w:fill="1E7145"/>
            <w:tcMar>
              <w:top w:w="100" w:type="dxa"/>
              <w:left w:w="120" w:type="dxa"/>
              <w:bottom w:w="100" w:type="dxa"/>
              <w:right w:w="120" w:type="dxa"/>
            </w:tcMar>
            <w:vAlign w:val="center"/>
          </w:tcPr>
          <w:p w14:paraId="4B4B2FD3">
            <w:r>
              <w:rPr>
                <w:b/>
                <w:bCs/>
                <w:color w:val="FFFFFF"/>
                <w:sz w:val="20"/>
                <w:szCs w:val="20"/>
              </w:rPr>
              <w:t>Business Question</w:t>
            </w:r>
          </w:p>
        </w:tc>
        <w:tc>
          <w:tcPr>
            <w:tcW w:w="5000" w:type="pct"/>
            <w:shd w:val="clear" w:color="auto" w:fill="1E7145"/>
            <w:tcMar>
              <w:top w:w="100" w:type="dxa"/>
              <w:left w:w="120" w:type="dxa"/>
              <w:bottom w:w="100" w:type="dxa"/>
              <w:right w:w="120" w:type="dxa"/>
            </w:tcMar>
            <w:vAlign w:val="center"/>
          </w:tcPr>
          <w:p w14:paraId="1E767C35">
            <w:r>
              <w:rPr>
                <w:b/>
                <w:bCs/>
                <w:color w:val="FFFFFF"/>
                <w:sz w:val="20"/>
                <w:szCs w:val="20"/>
              </w:rPr>
              <w:t>Dashboard Element(s)</w:t>
            </w:r>
          </w:p>
        </w:tc>
      </w:tr>
      <w:tr w14:paraId="3BB24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shd w:val="clear" w:color="auto" w:fill="FFFFFF"/>
            <w:tcMar>
              <w:top w:w="100" w:type="dxa"/>
              <w:left w:w="120" w:type="dxa"/>
              <w:bottom w:w="100" w:type="dxa"/>
              <w:right w:w="120" w:type="dxa"/>
            </w:tcMar>
            <w:vAlign w:val="center"/>
          </w:tcPr>
          <w:p w14:paraId="6EC9B71B">
            <w:r>
              <w:rPr>
                <w:b/>
                <w:bCs/>
                <w:sz w:val="20"/>
                <w:szCs w:val="20"/>
              </w:rPr>
              <w:t>Total Daily Sales</w:t>
            </w:r>
          </w:p>
        </w:tc>
        <w:tc>
          <w:tcPr>
            <w:tcW w:w="5000" w:type="pct"/>
            <w:shd w:val="clear" w:color="auto" w:fill="FFFFFF"/>
            <w:tcMar>
              <w:top w:w="100" w:type="dxa"/>
              <w:left w:w="120" w:type="dxa"/>
              <w:bottom w:w="100" w:type="dxa"/>
              <w:right w:w="120" w:type="dxa"/>
            </w:tcMar>
            <w:vAlign w:val="center"/>
          </w:tcPr>
          <w:p w14:paraId="4B827BB2">
            <w:r>
              <w:rPr>
                <w:sz w:val="20"/>
                <w:szCs w:val="20"/>
              </w:rPr>
              <w:t>How much did we sell today in cash, transfer, and POS — and does it match the bank/POS alerts?</w:t>
            </w:r>
          </w:p>
        </w:tc>
        <w:tc>
          <w:tcPr>
            <w:tcW w:w="5000" w:type="pct"/>
            <w:shd w:val="clear" w:color="auto" w:fill="FFFFFF"/>
            <w:tcMar>
              <w:top w:w="100" w:type="dxa"/>
              <w:left w:w="120" w:type="dxa"/>
              <w:bottom w:w="100" w:type="dxa"/>
              <w:right w:w="120" w:type="dxa"/>
            </w:tcMar>
            <w:vAlign w:val="center"/>
          </w:tcPr>
          <w:p w14:paraId="67D0434A">
            <w:r>
              <w:rPr>
                <w:sz w:val="20"/>
                <w:szCs w:val="20"/>
              </w:rPr>
              <w:t>Daily Sales by Payment Method (card visuals + stacked bar)</w:t>
            </w:r>
          </w:p>
        </w:tc>
      </w:tr>
      <w:tr w14:paraId="08965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shd w:val="clear" w:color="auto" w:fill="E7F1EC"/>
            <w:tcMar>
              <w:top w:w="100" w:type="dxa"/>
              <w:left w:w="120" w:type="dxa"/>
              <w:bottom w:w="100" w:type="dxa"/>
              <w:right w:w="120" w:type="dxa"/>
            </w:tcMar>
            <w:vAlign w:val="center"/>
          </w:tcPr>
          <w:p w14:paraId="42A9E80B">
            <w:r>
              <w:rPr>
                <w:b/>
                <w:bCs/>
                <w:sz w:val="20"/>
                <w:szCs w:val="20"/>
              </w:rPr>
              <w:t>Total Daily Sales</w:t>
            </w:r>
          </w:p>
        </w:tc>
        <w:tc>
          <w:tcPr>
            <w:tcW w:w="5000" w:type="pct"/>
            <w:shd w:val="clear" w:color="auto" w:fill="E7F1EC"/>
            <w:tcMar>
              <w:top w:w="100" w:type="dxa"/>
              <w:left w:w="120" w:type="dxa"/>
              <w:bottom w:w="100" w:type="dxa"/>
              <w:right w:w="120" w:type="dxa"/>
            </w:tcMar>
            <w:vAlign w:val="center"/>
          </w:tcPr>
          <w:p w14:paraId="0B37B46F">
            <w:r>
              <w:rPr>
                <w:sz w:val="20"/>
                <w:szCs w:val="20"/>
              </w:rPr>
              <w:t>How does today's revenue compare to yesterday, last week, and the daily target?</w:t>
            </w:r>
          </w:p>
        </w:tc>
        <w:tc>
          <w:tcPr>
            <w:tcW w:w="5000" w:type="pct"/>
            <w:shd w:val="clear" w:color="auto" w:fill="E7F1EC"/>
            <w:tcMar>
              <w:top w:w="100" w:type="dxa"/>
              <w:left w:w="120" w:type="dxa"/>
              <w:bottom w:w="100" w:type="dxa"/>
              <w:right w:w="120" w:type="dxa"/>
            </w:tcMar>
            <w:vAlign w:val="center"/>
          </w:tcPr>
          <w:p w14:paraId="7311AFE8">
            <w:r>
              <w:rPr>
                <w:sz w:val="20"/>
                <w:szCs w:val="20"/>
              </w:rPr>
              <w:t>Revenue trend line chart with target line</w:t>
            </w:r>
          </w:p>
        </w:tc>
      </w:tr>
      <w:tr w14:paraId="716BA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shd w:val="clear" w:color="auto" w:fill="FFFFFF"/>
            <w:tcMar>
              <w:top w:w="100" w:type="dxa"/>
              <w:left w:w="120" w:type="dxa"/>
              <w:bottom w:w="100" w:type="dxa"/>
              <w:right w:w="120" w:type="dxa"/>
            </w:tcMar>
            <w:vAlign w:val="center"/>
          </w:tcPr>
          <w:p w14:paraId="09902E6B">
            <w:r>
              <w:rPr>
                <w:b/>
                <w:bCs/>
                <w:sz w:val="20"/>
                <w:szCs w:val="20"/>
              </w:rPr>
              <w:t>Top-Selling Items</w:t>
            </w:r>
          </w:p>
        </w:tc>
        <w:tc>
          <w:tcPr>
            <w:tcW w:w="5000" w:type="pct"/>
            <w:shd w:val="clear" w:color="auto" w:fill="FFFFFF"/>
            <w:tcMar>
              <w:top w:w="100" w:type="dxa"/>
              <w:left w:w="120" w:type="dxa"/>
              <w:bottom w:w="100" w:type="dxa"/>
              <w:right w:w="120" w:type="dxa"/>
            </w:tcMar>
            <w:vAlign w:val="center"/>
          </w:tcPr>
          <w:p w14:paraId="7B516994">
            <w:r>
              <w:rPr>
                <w:sz w:val="20"/>
                <w:szCs w:val="20"/>
              </w:rPr>
              <w:t>Which items are moving fastest this week (soft drinks, rice, toiletries, etc.) and need urgent restocking?</w:t>
            </w:r>
          </w:p>
        </w:tc>
        <w:tc>
          <w:tcPr>
            <w:tcW w:w="5000" w:type="pct"/>
            <w:shd w:val="clear" w:color="auto" w:fill="FFFFFF"/>
            <w:tcMar>
              <w:top w:w="100" w:type="dxa"/>
              <w:left w:w="120" w:type="dxa"/>
              <w:bottom w:w="100" w:type="dxa"/>
              <w:right w:w="120" w:type="dxa"/>
            </w:tcMar>
            <w:vAlign w:val="center"/>
          </w:tcPr>
          <w:p w14:paraId="7D4C4122">
            <w:r>
              <w:rPr>
                <w:sz w:val="20"/>
                <w:szCs w:val="20"/>
              </w:rPr>
              <w:t>Top 10 Items by Quantity Sold (bar chart)</w:t>
            </w:r>
          </w:p>
        </w:tc>
      </w:tr>
      <w:tr w14:paraId="6FA44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shd w:val="clear" w:color="auto" w:fill="E7F1EC"/>
            <w:tcMar>
              <w:top w:w="100" w:type="dxa"/>
              <w:left w:w="120" w:type="dxa"/>
              <w:bottom w:w="100" w:type="dxa"/>
              <w:right w:w="120" w:type="dxa"/>
            </w:tcMar>
            <w:vAlign w:val="center"/>
          </w:tcPr>
          <w:p w14:paraId="4997378F">
            <w:r>
              <w:rPr>
                <w:b/>
                <w:bCs/>
                <w:sz w:val="20"/>
                <w:szCs w:val="20"/>
              </w:rPr>
              <w:t>Top-Selling Items</w:t>
            </w:r>
          </w:p>
        </w:tc>
        <w:tc>
          <w:tcPr>
            <w:tcW w:w="5000" w:type="pct"/>
            <w:shd w:val="clear" w:color="auto" w:fill="E7F1EC"/>
            <w:tcMar>
              <w:top w:w="100" w:type="dxa"/>
              <w:left w:w="120" w:type="dxa"/>
              <w:bottom w:w="100" w:type="dxa"/>
              <w:right w:w="120" w:type="dxa"/>
            </w:tcMar>
            <w:vAlign w:val="center"/>
          </w:tcPr>
          <w:p w14:paraId="493B5406">
            <w:r>
              <w:rPr>
                <w:sz w:val="20"/>
                <w:szCs w:val="20"/>
              </w:rPr>
              <w:t>Which categories generate the most revenue vs. the most volume?</w:t>
            </w:r>
          </w:p>
        </w:tc>
        <w:tc>
          <w:tcPr>
            <w:tcW w:w="5000" w:type="pct"/>
            <w:shd w:val="clear" w:color="auto" w:fill="E7F1EC"/>
            <w:tcMar>
              <w:top w:w="100" w:type="dxa"/>
              <w:left w:w="120" w:type="dxa"/>
              <w:bottom w:w="100" w:type="dxa"/>
              <w:right w:w="120" w:type="dxa"/>
            </w:tcMar>
            <w:vAlign w:val="center"/>
          </w:tcPr>
          <w:p w14:paraId="04133350">
            <w:r>
              <w:rPr>
                <w:sz w:val="20"/>
                <w:szCs w:val="20"/>
              </w:rPr>
              <w:t>Category breakdown (Revenue vs. Units sold)</w:t>
            </w:r>
          </w:p>
        </w:tc>
      </w:tr>
      <w:tr w14:paraId="15042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shd w:val="clear" w:color="auto" w:fill="FFFFFF"/>
            <w:tcMar>
              <w:top w:w="100" w:type="dxa"/>
              <w:left w:w="120" w:type="dxa"/>
              <w:bottom w:w="100" w:type="dxa"/>
              <w:right w:w="120" w:type="dxa"/>
            </w:tcMar>
            <w:vAlign w:val="center"/>
          </w:tcPr>
          <w:p w14:paraId="0B91682F">
            <w:r>
              <w:rPr>
                <w:b/>
                <w:bCs/>
                <w:sz w:val="20"/>
                <w:szCs w:val="20"/>
              </w:rPr>
              <w:t>Peak Hours</w:t>
            </w:r>
          </w:p>
        </w:tc>
        <w:tc>
          <w:tcPr>
            <w:tcW w:w="5000" w:type="pct"/>
            <w:shd w:val="clear" w:color="auto" w:fill="FFFFFF"/>
            <w:tcMar>
              <w:top w:w="100" w:type="dxa"/>
              <w:left w:w="120" w:type="dxa"/>
              <w:bottom w:w="100" w:type="dxa"/>
              <w:right w:w="120" w:type="dxa"/>
            </w:tcMar>
            <w:vAlign w:val="center"/>
          </w:tcPr>
          <w:p w14:paraId="64569AA1">
            <w:r>
              <w:rPr>
                <w:sz w:val="20"/>
                <w:szCs w:val="20"/>
              </w:rPr>
              <w:t>What time of day is the shop busiest, and do we have enough cashiers on duty then?</w:t>
            </w:r>
          </w:p>
        </w:tc>
        <w:tc>
          <w:tcPr>
            <w:tcW w:w="5000" w:type="pct"/>
            <w:shd w:val="clear" w:color="auto" w:fill="FFFFFF"/>
            <w:tcMar>
              <w:top w:w="100" w:type="dxa"/>
              <w:left w:w="120" w:type="dxa"/>
              <w:bottom w:w="100" w:type="dxa"/>
              <w:right w:w="120" w:type="dxa"/>
            </w:tcMar>
            <w:vAlign w:val="center"/>
          </w:tcPr>
          <w:p w14:paraId="6976FE3C">
            <w:r>
              <w:rPr>
                <w:sz w:val="20"/>
                <w:szCs w:val="20"/>
              </w:rPr>
              <w:t>Sales by Hour of Day (column chart / heatmap)</w:t>
            </w:r>
          </w:p>
        </w:tc>
      </w:tr>
      <w:tr w14:paraId="6292E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shd w:val="clear" w:color="auto" w:fill="E7F1EC"/>
            <w:tcMar>
              <w:top w:w="100" w:type="dxa"/>
              <w:left w:w="120" w:type="dxa"/>
              <w:bottom w:w="100" w:type="dxa"/>
              <w:right w:w="120" w:type="dxa"/>
            </w:tcMar>
            <w:vAlign w:val="center"/>
          </w:tcPr>
          <w:p w14:paraId="5B16FAB2">
            <w:r>
              <w:rPr>
                <w:b/>
                <w:bCs/>
                <w:sz w:val="20"/>
                <w:szCs w:val="20"/>
              </w:rPr>
              <w:t>Peak Hours</w:t>
            </w:r>
          </w:p>
        </w:tc>
        <w:tc>
          <w:tcPr>
            <w:tcW w:w="5000" w:type="pct"/>
            <w:shd w:val="clear" w:color="auto" w:fill="E7F1EC"/>
            <w:tcMar>
              <w:top w:w="100" w:type="dxa"/>
              <w:left w:w="120" w:type="dxa"/>
              <w:bottom w:w="100" w:type="dxa"/>
              <w:right w:w="120" w:type="dxa"/>
            </w:tcMar>
            <w:vAlign w:val="center"/>
          </w:tcPr>
          <w:p w14:paraId="1B9C59B4">
            <w:r>
              <w:rPr>
                <w:sz w:val="20"/>
                <w:szCs w:val="20"/>
              </w:rPr>
              <w:t>Do peak hours differ between weekdays and weekends?</w:t>
            </w:r>
          </w:p>
        </w:tc>
        <w:tc>
          <w:tcPr>
            <w:tcW w:w="5000" w:type="pct"/>
            <w:shd w:val="clear" w:color="auto" w:fill="E7F1EC"/>
            <w:tcMar>
              <w:top w:w="100" w:type="dxa"/>
              <w:left w:w="120" w:type="dxa"/>
              <w:bottom w:w="100" w:type="dxa"/>
              <w:right w:w="120" w:type="dxa"/>
            </w:tcMar>
            <w:vAlign w:val="center"/>
          </w:tcPr>
          <w:p w14:paraId="582A1C77">
            <w:r>
              <w:rPr>
                <w:sz w:val="20"/>
                <w:szCs w:val="20"/>
              </w:rPr>
              <w:t>Hourly trend filtered by day type</w:t>
            </w:r>
          </w:p>
        </w:tc>
      </w:tr>
    </w:tbl>
    <w:p w14:paraId="3877C15D">
      <w:pPr>
        <w:spacing w:after="160"/>
      </w:pPr>
    </w:p>
    <w:p w14:paraId="6541ECEB">
      <w:pPr>
        <w:spacing w:before="200" w:after="100"/>
      </w:pPr>
      <w:r>
        <w:rPr>
          <w:b/>
          <w:bCs/>
          <w:sz w:val="22"/>
          <w:szCs w:val="22"/>
        </w:rPr>
        <w:t>4.2 Inventory &amp; Stock</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827"/>
        <w:gridCol w:w="1208"/>
        <w:gridCol w:w="1285"/>
      </w:tblGrid>
      <w:tr w14:paraId="1FB2A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0" w:type="pct"/>
            <w:shd w:val="clear" w:color="auto" w:fill="1E7145"/>
            <w:tcMar>
              <w:top w:w="100" w:type="dxa"/>
              <w:left w:w="120" w:type="dxa"/>
              <w:bottom w:w="100" w:type="dxa"/>
              <w:right w:w="120" w:type="dxa"/>
            </w:tcMar>
            <w:vAlign w:val="center"/>
          </w:tcPr>
          <w:p w14:paraId="2D2ACEEF">
            <w:r>
              <w:rPr>
                <w:b/>
                <w:bCs/>
                <w:color w:val="FFFFFF"/>
                <w:sz w:val="20"/>
                <w:szCs w:val="20"/>
              </w:rPr>
              <w:t>Focus Area</w:t>
            </w:r>
          </w:p>
        </w:tc>
        <w:tc>
          <w:tcPr>
            <w:tcW w:w="5000" w:type="pct"/>
            <w:shd w:val="clear" w:color="auto" w:fill="1E7145"/>
            <w:tcMar>
              <w:top w:w="100" w:type="dxa"/>
              <w:left w:w="120" w:type="dxa"/>
              <w:bottom w:w="100" w:type="dxa"/>
              <w:right w:w="120" w:type="dxa"/>
            </w:tcMar>
            <w:vAlign w:val="center"/>
          </w:tcPr>
          <w:p w14:paraId="5E517F50">
            <w:r>
              <w:rPr>
                <w:b/>
                <w:bCs/>
                <w:color w:val="FFFFFF"/>
                <w:sz w:val="20"/>
                <w:szCs w:val="20"/>
              </w:rPr>
              <w:t>Business Question</w:t>
            </w:r>
          </w:p>
        </w:tc>
        <w:tc>
          <w:tcPr>
            <w:tcW w:w="5000" w:type="pct"/>
            <w:shd w:val="clear" w:color="auto" w:fill="1E7145"/>
            <w:tcMar>
              <w:top w:w="100" w:type="dxa"/>
              <w:left w:w="120" w:type="dxa"/>
              <w:bottom w:w="100" w:type="dxa"/>
              <w:right w:w="120" w:type="dxa"/>
            </w:tcMar>
            <w:vAlign w:val="center"/>
          </w:tcPr>
          <w:p w14:paraId="778E0DC1">
            <w:r>
              <w:rPr>
                <w:b/>
                <w:bCs/>
                <w:color w:val="FFFFFF"/>
                <w:sz w:val="20"/>
                <w:szCs w:val="20"/>
              </w:rPr>
              <w:t>Dashboard Element(s)</w:t>
            </w:r>
          </w:p>
        </w:tc>
      </w:tr>
      <w:tr w14:paraId="467B8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shd w:val="clear" w:color="auto" w:fill="FFFFFF"/>
            <w:tcMar>
              <w:top w:w="100" w:type="dxa"/>
              <w:left w:w="120" w:type="dxa"/>
              <w:bottom w:w="100" w:type="dxa"/>
              <w:right w:w="120" w:type="dxa"/>
            </w:tcMar>
            <w:vAlign w:val="center"/>
          </w:tcPr>
          <w:p w14:paraId="2309EB59">
            <w:r>
              <w:rPr>
                <w:b/>
                <w:bCs/>
                <w:sz w:val="20"/>
                <w:szCs w:val="20"/>
              </w:rPr>
              <w:t>Low Stock Alerts</w:t>
            </w:r>
          </w:p>
        </w:tc>
        <w:tc>
          <w:tcPr>
            <w:tcW w:w="5000" w:type="pct"/>
            <w:shd w:val="clear" w:color="auto" w:fill="FFFFFF"/>
            <w:tcMar>
              <w:top w:w="100" w:type="dxa"/>
              <w:left w:w="120" w:type="dxa"/>
              <w:bottom w:w="100" w:type="dxa"/>
              <w:right w:w="120" w:type="dxa"/>
            </w:tcMar>
            <w:vAlign w:val="center"/>
          </w:tcPr>
          <w:p w14:paraId="4E967AB7">
            <w:r>
              <w:rPr>
                <w:sz w:val="20"/>
                <w:szCs w:val="20"/>
              </w:rPr>
              <w:t>Which items have fallen at or below their reorder level right now?</w:t>
            </w:r>
          </w:p>
        </w:tc>
        <w:tc>
          <w:tcPr>
            <w:tcW w:w="5000" w:type="pct"/>
            <w:shd w:val="clear" w:color="auto" w:fill="FFFFFF"/>
            <w:tcMar>
              <w:top w:w="100" w:type="dxa"/>
              <w:left w:w="120" w:type="dxa"/>
              <w:bottom w:w="100" w:type="dxa"/>
              <w:right w:w="120" w:type="dxa"/>
            </w:tcMar>
            <w:vAlign w:val="center"/>
          </w:tcPr>
          <w:p w14:paraId="7DEE9FF5">
            <w:r>
              <w:rPr>
                <w:sz w:val="20"/>
                <w:szCs w:val="20"/>
              </w:rPr>
              <w:t>Low Stock table with conditional-format alert (red flag)</w:t>
            </w:r>
          </w:p>
        </w:tc>
      </w:tr>
      <w:tr w14:paraId="5D95D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shd w:val="clear" w:color="auto" w:fill="E7F1EC"/>
            <w:tcMar>
              <w:top w:w="100" w:type="dxa"/>
              <w:left w:w="120" w:type="dxa"/>
              <w:bottom w:w="100" w:type="dxa"/>
              <w:right w:w="120" w:type="dxa"/>
            </w:tcMar>
            <w:vAlign w:val="center"/>
          </w:tcPr>
          <w:p w14:paraId="0BDAE01C">
            <w:r>
              <w:rPr>
                <w:b/>
                <w:bCs/>
                <w:sz w:val="20"/>
                <w:szCs w:val="20"/>
              </w:rPr>
              <w:t>Low Stock Alerts</w:t>
            </w:r>
          </w:p>
        </w:tc>
        <w:tc>
          <w:tcPr>
            <w:tcW w:w="5000" w:type="pct"/>
            <w:shd w:val="clear" w:color="auto" w:fill="E7F1EC"/>
            <w:tcMar>
              <w:top w:w="100" w:type="dxa"/>
              <w:left w:w="120" w:type="dxa"/>
              <w:bottom w:w="100" w:type="dxa"/>
              <w:right w:w="120" w:type="dxa"/>
            </w:tcMar>
            <w:vAlign w:val="center"/>
          </w:tcPr>
          <w:p w14:paraId="66D439E2">
            <w:r>
              <w:rPr>
                <w:sz w:val="20"/>
                <w:szCs w:val="20"/>
              </w:rPr>
              <w:t>How many days of stock are left for fast-moving items at current sales pace?</w:t>
            </w:r>
          </w:p>
        </w:tc>
        <w:tc>
          <w:tcPr>
            <w:tcW w:w="5000" w:type="pct"/>
            <w:shd w:val="clear" w:color="auto" w:fill="E7F1EC"/>
            <w:tcMar>
              <w:top w:w="100" w:type="dxa"/>
              <w:left w:w="120" w:type="dxa"/>
              <w:bottom w:w="100" w:type="dxa"/>
              <w:right w:w="120" w:type="dxa"/>
            </w:tcMar>
            <w:vAlign w:val="center"/>
          </w:tcPr>
          <w:p w14:paraId="76BD7747">
            <w:r>
              <w:rPr>
                <w:sz w:val="20"/>
                <w:szCs w:val="20"/>
              </w:rPr>
              <w:t>Stock cover indicator (Current Stock ÷ avg daily sales)</w:t>
            </w:r>
          </w:p>
        </w:tc>
      </w:tr>
      <w:tr w14:paraId="2AA8D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shd w:val="clear" w:color="auto" w:fill="FFFFFF"/>
            <w:tcMar>
              <w:top w:w="100" w:type="dxa"/>
              <w:left w:w="120" w:type="dxa"/>
              <w:bottom w:w="100" w:type="dxa"/>
              <w:right w:w="120" w:type="dxa"/>
            </w:tcMar>
            <w:vAlign w:val="center"/>
          </w:tcPr>
          <w:p w14:paraId="58C11802">
            <w:r>
              <w:rPr>
                <w:b/>
                <w:bCs/>
                <w:sz w:val="20"/>
                <w:szCs w:val="20"/>
              </w:rPr>
              <w:t>Near-Expiry Goods</w:t>
            </w:r>
          </w:p>
        </w:tc>
        <w:tc>
          <w:tcPr>
            <w:tcW w:w="5000" w:type="pct"/>
            <w:shd w:val="clear" w:color="auto" w:fill="FFFFFF"/>
            <w:tcMar>
              <w:top w:w="100" w:type="dxa"/>
              <w:left w:w="120" w:type="dxa"/>
              <w:bottom w:w="100" w:type="dxa"/>
              <w:right w:w="120" w:type="dxa"/>
            </w:tcMar>
            <w:vAlign w:val="center"/>
          </w:tcPr>
          <w:p w14:paraId="02C2E04B">
            <w:r>
              <w:rPr>
                <w:sz w:val="20"/>
                <w:szCs w:val="20"/>
              </w:rPr>
              <w:t>Which items will expire within the next 7 days and should be discounted or promoted now?</w:t>
            </w:r>
          </w:p>
        </w:tc>
        <w:tc>
          <w:tcPr>
            <w:tcW w:w="5000" w:type="pct"/>
            <w:shd w:val="clear" w:color="auto" w:fill="FFFFFF"/>
            <w:tcMar>
              <w:top w:w="100" w:type="dxa"/>
              <w:left w:w="120" w:type="dxa"/>
              <w:bottom w:w="100" w:type="dxa"/>
              <w:right w:w="120" w:type="dxa"/>
            </w:tcMar>
            <w:vAlign w:val="center"/>
          </w:tcPr>
          <w:p w14:paraId="09234F60">
            <w:r>
              <w:rPr>
                <w:sz w:val="20"/>
                <w:szCs w:val="20"/>
              </w:rPr>
              <w:t>Expiring Soon table with conditional-format alert (amber flag)</w:t>
            </w:r>
          </w:p>
        </w:tc>
      </w:tr>
      <w:tr w14:paraId="33C64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shd w:val="clear" w:color="auto" w:fill="E7F1EC"/>
            <w:tcMar>
              <w:top w:w="100" w:type="dxa"/>
              <w:left w:w="120" w:type="dxa"/>
              <w:bottom w:w="100" w:type="dxa"/>
              <w:right w:w="120" w:type="dxa"/>
            </w:tcMar>
            <w:vAlign w:val="center"/>
          </w:tcPr>
          <w:p w14:paraId="2B3B2817">
            <w:r>
              <w:rPr>
                <w:b/>
                <w:bCs/>
                <w:sz w:val="20"/>
                <w:szCs w:val="20"/>
              </w:rPr>
              <w:t>Near-Expiry Goods</w:t>
            </w:r>
          </w:p>
        </w:tc>
        <w:tc>
          <w:tcPr>
            <w:tcW w:w="5000" w:type="pct"/>
            <w:shd w:val="clear" w:color="auto" w:fill="E7F1EC"/>
            <w:tcMar>
              <w:top w:w="100" w:type="dxa"/>
              <w:left w:w="120" w:type="dxa"/>
              <w:bottom w:w="100" w:type="dxa"/>
              <w:right w:w="120" w:type="dxa"/>
            </w:tcMar>
            <w:vAlign w:val="center"/>
          </w:tcPr>
          <w:p w14:paraId="177DCFE4">
            <w:r>
              <w:rPr>
                <w:sz w:val="20"/>
                <w:szCs w:val="20"/>
              </w:rPr>
              <w:t>Which items have already expired and must be pulled from shelves?</w:t>
            </w:r>
          </w:p>
        </w:tc>
        <w:tc>
          <w:tcPr>
            <w:tcW w:w="5000" w:type="pct"/>
            <w:shd w:val="clear" w:color="auto" w:fill="E7F1EC"/>
            <w:tcMar>
              <w:top w:w="100" w:type="dxa"/>
              <w:left w:w="120" w:type="dxa"/>
              <w:bottom w:w="100" w:type="dxa"/>
              <w:right w:w="120" w:type="dxa"/>
            </w:tcMar>
            <w:vAlign w:val="center"/>
          </w:tcPr>
          <w:p w14:paraId="509D0B45">
            <w:r>
              <w:rPr>
                <w:sz w:val="20"/>
                <w:szCs w:val="20"/>
              </w:rPr>
              <w:t>Expired Items table with conditional-format alert (red flag)</w:t>
            </w:r>
          </w:p>
        </w:tc>
      </w:tr>
    </w:tbl>
    <w:p w14:paraId="58FB6CE1">
      <w:pPr>
        <w:pStyle w:val="2"/>
        <w:spacing w:before="320" w:after="160"/>
      </w:pPr>
      <w:r>
        <w:rPr>
          <w:b/>
          <w:bCs/>
          <w:color w:val="1E7145"/>
        </w:rPr>
        <w:t>5. Data Source</w:t>
      </w:r>
    </w:p>
    <w:p w14:paraId="408CD9DE">
      <w:pPr>
        <w:spacing w:after="140"/>
      </w:pPr>
      <w:r>
        <w:t>Primary source: daily CSV export from the point-of-sale system, one row per item sold, containing at minimum: Date, Time, Transaction ID, Item Name, Category, Quantity, Unit Price, Payment Method (Cash / Transfer / POS), and Cashier.</w:t>
      </w:r>
    </w:p>
    <w:p w14:paraId="768EE33A">
      <w:pPr>
        <w:spacing w:after="140"/>
      </w:pPr>
      <w:r>
        <w:t>Secondary source: an Inventory sheet maintained by staff (or exported from stock records) containing: Item Name, Category, Current Stock, Reorder Level, Supplier, Last Restocked Date, and Expiry Date.</w:t>
      </w:r>
    </w:p>
    <w:p w14:paraId="176840D2">
      <w:pPr>
        <w:pStyle w:val="2"/>
        <w:spacing w:before="320" w:after="160"/>
      </w:pPr>
      <w:r>
        <w:rPr>
          <w:b/>
          <w:bCs/>
          <w:color w:val="1E7145"/>
        </w:rPr>
        <w:t>6. Proposed Dashboard Sections</w:t>
      </w:r>
    </w:p>
    <w:p w14:paraId="158B88EA">
      <w:pPr>
        <w:pStyle w:val="17"/>
        <w:numPr>
          <w:ilvl w:val="0"/>
          <w:numId w:val="1"/>
        </w:numPr>
        <w:spacing w:after="80"/>
      </w:pPr>
      <w:r>
        <w:t>Sales Overview — today's total sales split by Cash / Transfer / POS, vs. yesterday and a set target.</w:t>
      </w:r>
    </w:p>
    <w:p w14:paraId="25103D92">
      <w:pPr>
        <w:pStyle w:val="17"/>
        <w:numPr>
          <w:ilvl w:val="0"/>
          <w:numId w:val="1"/>
        </w:numPr>
        <w:spacing w:after="80"/>
      </w:pPr>
      <w:r>
        <w:t>Top Sellers — ranked list/chart of best-selling items and categories, refreshed daily.</w:t>
      </w:r>
    </w:p>
    <w:p w14:paraId="7B16C53B">
      <w:pPr>
        <w:pStyle w:val="17"/>
        <w:numPr>
          <w:ilvl w:val="0"/>
          <w:numId w:val="1"/>
        </w:numPr>
        <w:spacing w:after="80"/>
      </w:pPr>
      <w:r>
        <w:t>Peak Hours — hourly sales pattern to guide cashier scheduling.</w:t>
      </w:r>
    </w:p>
    <w:p w14:paraId="3399554E">
      <w:pPr>
        <w:pStyle w:val="17"/>
        <w:numPr>
          <w:ilvl w:val="0"/>
          <w:numId w:val="1"/>
        </w:numPr>
        <w:spacing w:after="80"/>
      </w:pPr>
      <w:r>
        <w:t>Stock Alerts — live list of items at or below reorder level.</w:t>
      </w:r>
    </w:p>
    <w:p w14:paraId="1C6A6855">
      <w:pPr>
        <w:pStyle w:val="17"/>
        <w:numPr>
          <w:ilvl w:val="0"/>
          <w:numId w:val="1"/>
        </w:numPr>
        <w:spacing w:after="80"/>
      </w:pPr>
      <w:r>
        <w:t>Expiry Watch — items expiring within 7 days, flagged for markdown or promotion.</w:t>
      </w:r>
    </w:p>
    <w:p w14:paraId="393133EF">
      <w:pPr>
        <w:pStyle w:val="2"/>
        <w:spacing w:before="320" w:after="160"/>
      </w:pPr>
      <w:r>
        <w:rPr>
          <w:b/>
          <w:bCs/>
          <w:color w:val="1E7145"/>
        </w:rPr>
        <w:t>7. Success Criteria</w:t>
      </w:r>
    </w:p>
    <w:p w14:paraId="2FA2345D">
      <w:pPr>
        <w:pStyle w:val="17"/>
        <w:numPr>
          <w:ilvl w:val="0"/>
          <w:numId w:val="1"/>
        </w:numPr>
        <w:spacing w:after="80"/>
      </w:pPr>
      <w:r>
        <w:t>Management can reconcile daily cash, transfer, and POS totals against bank alerts within minutes of closing.</w:t>
      </w:r>
    </w:p>
    <w:p w14:paraId="7CBF93C5">
      <w:pPr>
        <w:pStyle w:val="17"/>
        <w:numPr>
          <w:ilvl w:val="0"/>
          <w:numId w:val="1"/>
        </w:numPr>
        <w:spacing w:after="80"/>
      </w:pPr>
      <w:r>
        <w:t>Low-stock and near-expiry items are visible at a glance every morning, without manually scanning the shelves or spreadsheet.</w:t>
      </w:r>
    </w:p>
    <w:p w14:paraId="5C94F16A">
      <w:pPr>
        <w:pStyle w:val="17"/>
        <w:numPr>
          <w:ilvl w:val="0"/>
          <w:numId w:val="1"/>
        </w:numPr>
        <w:spacing w:after="80"/>
      </w:pPr>
      <w:r>
        <w:t>Cashier scheduling is informed by actual peak-hour data rather than guesswork.</w:t>
      </w:r>
    </w:p>
    <w:p w14:paraId="7F9905F3">
      <w:pPr>
        <w:pStyle w:val="17"/>
        <w:numPr>
          <w:ilvl w:val="0"/>
          <w:numId w:val="1"/>
        </w:numPr>
        <w:spacing w:after="80"/>
      </w:pPr>
      <w:r>
        <w:t xml:space="preserve">The dashboard updates by simply pasting in each day's new CSV rows — no rebuilding required. </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3E64FC"/>
    <w:multiLevelType w:val="multilevel"/>
    <w:tmpl w:val="173E64FC"/>
    <w:lvl w:ilvl="0" w:tentative="0">
      <w:start w:val="1"/>
      <w:numFmt w:val="bullet"/>
      <w:lvlText w:val="•"/>
      <w:lvlJc w:val="left"/>
      <w:pPr>
        <w:ind w:left="420" w:hanging="260"/>
      </w:pPr>
    </w:lvl>
    <w:lvl w:ilvl="1" w:tentative="0">
      <w:start w:val="1"/>
      <w:numFmt w:val="bullet"/>
      <w:lvlText w:val="◦"/>
      <w:lvlJc w:val="left"/>
      <w:pPr>
        <w:ind w:left="840" w:hanging="2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2BE4"/>
    <w:rsid w:val="00442BE4"/>
    <w:rsid w:val="00574812"/>
    <w:rsid w:val="007112BC"/>
    <w:rsid w:val="2DB43BF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2D2D2D"/>
      <w:sz w:val="21"/>
      <w:szCs w:val="21"/>
      <w:lang w:val="en-GB" w:eastAsia="en-GB" w:bidi="ar-SA"/>
    </w:rPr>
  </w:style>
  <w:style w:type="paragraph" w:styleId="2">
    <w:name w:val="heading 1"/>
    <w:qFormat/>
    <w:uiPriority w:val="9"/>
    <w:pPr>
      <w:outlineLvl w:val="0"/>
    </w:pPr>
    <w:rPr>
      <w:rFonts w:ascii="Arial" w:hAnsi="Arial" w:eastAsia="Arial" w:cs="Arial"/>
      <w:color w:val="2E74B5"/>
      <w:sz w:val="32"/>
      <w:szCs w:val="32"/>
      <w:lang w:val="en-GB" w:eastAsia="en-GB" w:bidi="ar-SA"/>
    </w:rPr>
  </w:style>
  <w:style w:type="paragraph" w:styleId="3">
    <w:name w:val="heading 2"/>
    <w:semiHidden/>
    <w:unhideWhenUsed/>
    <w:qFormat/>
    <w:uiPriority w:val="9"/>
    <w:pPr>
      <w:outlineLvl w:val="1"/>
    </w:pPr>
    <w:rPr>
      <w:rFonts w:ascii="Arial" w:hAnsi="Arial" w:eastAsia="Arial" w:cs="Arial"/>
      <w:color w:val="2E74B5"/>
      <w:sz w:val="26"/>
      <w:szCs w:val="26"/>
      <w:lang w:val="en-GB" w:eastAsia="en-GB" w:bidi="ar-SA"/>
    </w:rPr>
  </w:style>
  <w:style w:type="paragraph" w:styleId="4">
    <w:name w:val="heading 3"/>
    <w:semiHidden/>
    <w:unhideWhenUsed/>
    <w:qFormat/>
    <w:uiPriority w:val="9"/>
    <w:pPr>
      <w:outlineLvl w:val="2"/>
    </w:pPr>
    <w:rPr>
      <w:rFonts w:ascii="Arial" w:hAnsi="Arial" w:eastAsia="Arial" w:cs="Arial"/>
      <w:color w:val="1F4D78"/>
      <w:sz w:val="24"/>
      <w:szCs w:val="24"/>
      <w:lang w:val="en-GB" w:eastAsia="en-GB" w:bidi="ar-SA"/>
    </w:rPr>
  </w:style>
  <w:style w:type="paragraph" w:styleId="5">
    <w:name w:val="heading 4"/>
    <w:semiHidden/>
    <w:unhideWhenUsed/>
    <w:qFormat/>
    <w:uiPriority w:val="9"/>
    <w:pPr>
      <w:outlineLvl w:val="3"/>
    </w:pPr>
    <w:rPr>
      <w:rFonts w:ascii="Arial" w:hAnsi="Arial" w:eastAsia="Arial" w:cs="Arial"/>
      <w:i/>
      <w:iCs/>
      <w:color w:val="2E74B5"/>
      <w:sz w:val="21"/>
      <w:szCs w:val="21"/>
      <w:lang w:val="en-GB" w:eastAsia="en-GB" w:bidi="ar-SA"/>
    </w:rPr>
  </w:style>
  <w:style w:type="paragraph" w:styleId="6">
    <w:name w:val="heading 5"/>
    <w:semiHidden/>
    <w:unhideWhenUsed/>
    <w:qFormat/>
    <w:uiPriority w:val="9"/>
    <w:pPr>
      <w:outlineLvl w:val="4"/>
    </w:pPr>
    <w:rPr>
      <w:rFonts w:ascii="Arial" w:hAnsi="Arial" w:eastAsia="Arial" w:cs="Arial"/>
      <w:color w:val="2E74B5"/>
      <w:sz w:val="21"/>
      <w:szCs w:val="21"/>
      <w:lang w:val="en-GB" w:eastAsia="en-GB" w:bidi="ar-SA"/>
    </w:rPr>
  </w:style>
  <w:style w:type="paragraph" w:styleId="7">
    <w:name w:val="heading 6"/>
    <w:semiHidden/>
    <w:unhideWhenUsed/>
    <w:qFormat/>
    <w:uiPriority w:val="9"/>
    <w:pPr>
      <w:outlineLvl w:val="5"/>
    </w:pPr>
    <w:rPr>
      <w:rFonts w:ascii="Arial" w:hAnsi="Arial" w:eastAsia="Arial" w:cs="Arial"/>
      <w:color w:val="1F4D78"/>
      <w:sz w:val="21"/>
      <w:szCs w:val="21"/>
      <w:lang w:val="en-GB" w:eastAsia="en-GB" w:bidi="ar-SA"/>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qFormat/>
    <w:uiPriority w:val="99"/>
    <w:rPr>
      <w:rFonts w:ascii="Arial" w:hAnsi="Arial" w:eastAsia="Arial" w:cs="Arial"/>
      <w:color w:val="2D2D2D"/>
      <w:sz w:val="20"/>
      <w:szCs w:val="20"/>
      <w:lang w:val="en-GB" w:eastAsia="en-GB"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Arial" w:hAnsi="Arial" w:eastAsia="Arial" w:cs="Arial"/>
      <w:color w:val="2D2D2D"/>
      <w:sz w:val="20"/>
      <w:szCs w:val="20"/>
      <w:lang w:val="en-GB" w:eastAsia="en-GB" w:bidi="ar-SA"/>
    </w:rPr>
  </w:style>
  <w:style w:type="character" w:styleId="14">
    <w:name w:val="Hyperlink"/>
    <w:unhideWhenUsed/>
    <w:qFormat/>
    <w:uiPriority w:val="99"/>
    <w:rPr>
      <w:color w:val="0563C1"/>
      <w:u w:val="single"/>
    </w:rPr>
  </w:style>
  <w:style w:type="paragraph" w:styleId="15">
    <w:name w:val="Title"/>
    <w:qFormat/>
    <w:uiPriority w:val="10"/>
    <w:rPr>
      <w:rFonts w:ascii="Arial" w:hAnsi="Arial" w:eastAsia="Arial" w:cs="Arial"/>
      <w:color w:val="2D2D2D"/>
      <w:sz w:val="56"/>
      <w:szCs w:val="56"/>
      <w:lang w:val="en-GB" w:eastAsia="en-GB" w:bidi="ar-SA"/>
    </w:rPr>
  </w:style>
  <w:style w:type="paragraph" w:customStyle="1" w:styleId="16">
    <w:name w:val="Strong1"/>
    <w:qFormat/>
    <w:uiPriority w:val="0"/>
    <w:rPr>
      <w:rFonts w:ascii="Arial" w:hAnsi="Arial" w:eastAsia="Arial" w:cs="Arial"/>
      <w:b/>
      <w:bCs/>
      <w:color w:val="2D2D2D"/>
      <w:sz w:val="21"/>
      <w:szCs w:val="21"/>
      <w:lang w:val="en-GB" w:eastAsia="en-GB" w:bidi="ar-SA"/>
    </w:rPr>
  </w:style>
  <w:style w:type="paragraph" w:styleId="17">
    <w:name w:val="List Paragraph"/>
    <w:qFormat/>
    <w:uiPriority w:val="0"/>
    <w:rPr>
      <w:rFonts w:ascii="Arial" w:hAnsi="Arial" w:eastAsia="Arial" w:cs="Arial"/>
      <w:color w:val="2D2D2D"/>
      <w:sz w:val="21"/>
      <w:szCs w:val="21"/>
      <w:lang w:val="en-GB" w:eastAsia="en-GB" w:bidi="ar-SA"/>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Pages>
  <Words>731</Words>
  <Characters>4167</Characters>
  <Lines>34</Lines>
  <Paragraphs>9</Paragraphs>
  <TotalTime>135</TotalTime>
  <ScaleCrop>false</ScaleCrop>
  <LinksUpToDate>false</LinksUpToDate>
  <CharactersWithSpaces>4889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2026-08-04T12:57:00Z</dcterms:created>
  <dc:creator>Un-named</dc:creator>
  <cp:lastModifiedBy>USER</cp:lastModifiedBy>
  <dcterms:modified xsi:type="dcterms:W3CDTF">2026-08-05T15:50:25Z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eyJoZGlkIjoiYTA3MzMxODRhYTQzMmViYTA5OGViOWQ0NTJjMDU2MGEifQ==</vt:lpwstr>
  </property>
  <property fmtid="{D5CDD505-2E9C-101B-9397-08002B2CF9AE}" pid="3" name="KSOProductBuildVer">
    <vt:lpwstr>1033-12.1.0.28032</vt:lpwstr>
  </property>
  <property fmtid="{D5CDD505-2E9C-101B-9397-08002B2CF9AE}" pid="4" name="ICV">
    <vt:lpwstr>8A30B8B5969E43949AF5FADA940D8539_12</vt:lpwstr>
  </property>
</Properties>
</file>