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Green</w:t>
      </w:r>
      <w:r>
        <w:t xml:space="preserve"> </w:t>
      </w:r>
      <w:r>
        <w:t xml:space="preserve">Prompt</w:t>
      </w:r>
      <w:r>
        <w:t xml:space="preserve"> </w:t>
      </w:r>
      <w:r>
        <w:t xml:space="preserve">Engineering</w:t>
      </w:r>
    </w:p>
    <w:p>
      <w:pPr>
        <w:pStyle w:val="Subtitle"/>
      </w:pPr>
      <w:r>
        <w:t xml:space="preserve">ENSF</w:t>
      </w:r>
      <w:r>
        <w:t xml:space="preserve"> </w:t>
      </w:r>
      <w:r>
        <w:t xml:space="preserve">619</w:t>
      </w:r>
      <w:r>
        <w:t xml:space="preserve"> </w:t>
      </w:r>
      <w:r>
        <w:t xml:space="preserve">·</w:t>
      </w:r>
      <w:r>
        <w:t xml:space="preserve"> </w:t>
      </w:r>
      <w:r>
        <w:t xml:space="preserve">Code</w:t>
      </w:r>
      <w:r>
        <w:t xml:space="preserve"> </w:t>
      </w:r>
      <w:r>
        <w:t xml:space="preserve">Docstring</w:t>
      </w:r>
      <w:r>
        <w:t xml:space="preserve"> </w:t>
      </w:r>
      <w:r>
        <w:t xml:space="preserve">Generation</w:t>
      </w:r>
      <w:r>
        <w:t xml:space="preserve"> </w:t>
      </w:r>
      <w:r>
        <w:t xml:space="preserve">with</w:t>
      </w:r>
      <w:r>
        <w:t xml:space="preserve"> </w:t>
      </w:r>
      <w:r>
        <w:t xml:space="preserve">Small</w:t>
      </w:r>
      <w:r>
        <w:t xml:space="preserve"> </w:t>
      </w:r>
      <w:r>
        <w:t xml:space="preserve">Language</w:t>
      </w:r>
      <w:r>
        <w:t xml:space="preserve"> </w:t>
      </w:r>
      <w:r>
        <w:t xml:space="preserve">Models</w:t>
      </w:r>
    </w:p>
    <w:p>
      <w:pPr>
        <w:pStyle w:val="Date"/>
      </w:pPr>
      <w:r>
        <w:t xml:space="preserve">October</w:t>
      </w:r>
      <w:r>
        <w:t xml:space="preserve"> </w:t>
      </w:r>
      <w:r>
        <w:t xml:space="preserve">2026</w:t>
      </w:r>
    </w:p>
    <w:bookmarkStart w:id="27" w:name="experimental-setup"/>
    <w:p>
      <w:pPr>
        <w:pStyle w:val="Heading1"/>
      </w:pPr>
      <w:r>
        <w:t xml:space="preserve">1. Experimental setup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 Google-style docstring for</w:t>
            </w:r>
            <w:r>
              <w:t xml:space="preserve"> </w:t>
            </w:r>
            <w:r>
              <w:rPr>
                <w:rStyle w:val="VerbatimChar"/>
              </w:rPr>
              <w:t xml:space="preserve">below_zero</w:t>
            </w:r>
            <w:r>
              <w:t xml:space="preserve"> </w:t>
            </w:r>
            <w:r>
              <w:t xml:space="preserve">and return the complete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Models (3 SLMs)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Qwen2.5-Coder-1.5B-Instruct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Deepseek-Coder-1.3B-Instruct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SmolLM2-1.7B-Instruct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Quantization (Qwen2.5-Coder-1.5B)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Unquantized</w:t>
            </w:r>
            <w:r>
              <w:t xml:space="preserve"> </w:t>
            </w:r>
            <w:r>
              <w:rPr>
                <w:bCs/>
                <w:b/>
              </w:rPr>
              <w:t xml:space="preserve">FP16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INT8</w:t>
            </w:r>
            <w:r>
              <w:t xml:space="preserve"> </w:t>
            </w:r>
            <w:r>
              <w:t xml:space="preserve">(bitsandbytes LLM.int8);</w:t>
            </w:r>
            <w:r>
              <w:t xml:space="preserve"> </w:t>
            </w:r>
            <w:r>
              <w:rPr>
                <w:bCs/>
                <w:b/>
              </w:rPr>
              <w:t xml:space="preserve">INT4</w:t>
            </w:r>
            <w:r>
              <w:t xml:space="preserve"> </w:t>
            </w:r>
            <w:r>
              <w:t xml:space="preserve">(bitsandbytes NF4, FP16 compute)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RTX A6000 48 GB (rented Vast.ai instance, used in place of Colab), PyTorch 2.14 / CUDA 13, Transformers 5.21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</w:t>
            </w:r>
            <w:r>
              <w:t xml:space="preserve"> </w:t>
            </w:r>
            <w:r>
              <w:rPr>
                <w:bCs/>
                <w:b/>
              </w:rPr>
              <w:t xml:space="preserve">M2 Pro</w:t>
            </w:r>
            <w:r>
              <w:t xml:space="preserve"> </w:t>
            </w:r>
            <w:r>
              <w:t xml:space="preserve">laptop, 16 GB unified memory, PyTorch MPS backend (Qwen FP16, all prompts)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models/quant configs × 3 prompts × 5 epochs on the GPU (75 runs) + 15 local runs =</w:t>
            </w:r>
            <w:r>
              <w:t xml:space="preserve"> </w:t>
            </w:r>
            <w:r>
              <w:rPr>
                <w:bCs/>
                <w:b/>
              </w:rPr>
              <w:t xml:space="preserve">90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Greedy,</w:t>
            </w:r>
            <w:r>
              <w:t xml:space="preserve"> </w:t>
            </w:r>
            <w:r>
              <w:rPr>
                <w:rStyle w:val="VerbatimChar"/>
              </w:rPr>
              <w:t xml:space="preserve">max_new_tokens=512</w:t>
            </w:r>
            <w:r>
              <w:t xml:space="preserve">, batch 1, one untimed warm-up per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T_in / T_out from the official tokenizer (chat template included);</w:t>
            </w:r>
            <w:r>
              <w:t xml:space="preserve"> </w:t>
            </w:r>
            <w:r>
              <w:rPr>
                <w:rStyle w:val="VerbatimChar"/>
              </w:rPr>
              <w:t xml:space="preserve">time.perf_counter()</w:t>
            </w:r>
            <w:r>
              <w:t xml:space="preserve"> </w:t>
            </w:r>
            <w:r>
              <w:t xml:space="preserve">around</w:t>
            </w:r>
            <w:r>
              <w:t xml:space="preserve"> </w:t>
            </w:r>
            <w:r>
              <w:rPr>
                <w:rStyle w:val="VerbatimChar"/>
              </w:rPr>
              <w:t xml:space="preserve">generate()</w:t>
            </w:r>
            <w:r>
              <w:t xml:space="preserve"> </w:t>
            </w:r>
            <w:r>
              <w:t xml:space="preserve">with device sync; GPU energy from the NVML board energy 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checker, then manual review of every unique output.</w:t>
            </w:r>
            <w:r>
              <w:t xml:space="preserve"> </w:t>
            </w:r>
            <w:r>
              <w:rPr>
                <w:bCs/>
                <w:b/>
              </w:rPr>
              <w:t xml:space="preserve">P</w:t>
            </w:r>
            <w:r>
              <w:t xml:space="preserve"> </w:t>
            </w:r>
            <w:r>
              <w:t xml:space="preserve">= valid Python; docstring</w:t>
            </w:r>
            <w:r>
              <w:t xml:space="preserve"> </w:t>
            </w:r>
            <w:r>
              <w:rPr>
                <w:iCs/>
                <w:i/>
              </w:rPr>
              <w:t xml:space="preserve">inside</w:t>
            </w:r>
            <w:r>
              <w:t xml:space="preserve"> </w:t>
            </w:r>
            <w:r>
              <w:t xml:space="preserve">the function; body unchanged; behaviour unchanged on 6 test inputs; documents</w:t>
            </w:r>
            <w:r>
              <w:t xml:space="preserve"> </w:t>
            </w:r>
            <w:r>
              <w:rPr>
                <w:rStyle w:val="VerbatimChar"/>
              </w:rPr>
              <w:t xml:space="preserve">operations</w:t>
            </w:r>
            <w:r>
              <w:t xml:space="preserve"> </w:t>
            </w:r>
            <w:r>
              <w:t xml:space="preserve">(Args/Parameters) and the bool return; any doctest examples correct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Efficiency ratio (ER)</w:t>
      </w:r>
      <w:r>
        <w:t xml:space="preserve"> </w:t>
      </w:r>
      <w:r>
        <w:t xml:space="preserve">= accuracy rate ÷ average T_total × 1000, i.e. correct docstrings per 1,000 tokens processed.</w:t>
      </w:r>
    </w:p>
    <w:bookmarkStart w:id="26" w:name="Xdb4d6a8a877a0ebdc742aa0eebd4862af683386"/>
    <w:p>
      <w:pPr>
        <w:pStyle w:val="Heading2"/>
      </w:pPr>
      <w:r>
        <w:t xml:space="preserve">Summary of results (mean of 5 epochs; GPU unless noted)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median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SD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energy median (J)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Qwen2.5-Coder-1.5B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Qwen2.5-Coder-1.5B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5/5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Qwen2.5-Coder-1.5B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Qwen2.5-Coder-1.5B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Qwen2.5-Coder-1.5B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Qwen2.5-Coder-1.5B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20.782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Qwen2.5-Coder-1.5B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Qwen2.5-Coder-1.5B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Qwen2.5-Coder-1.5B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Deepseek-Coder-1.3B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Deepseek-Coder-1.3B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Deepseek-Coder-1.3B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SmolLM2-1.7B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SmolLM2-1.7B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SmolLM2-1.7B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Qwen2.5-Coder-1.5B (M2 Pro)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Qwen2.5-Coder-1.5B (M2 Pro)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Qwen2.5-Coder-1.5B (M2 Pro)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Per-prompt averages over all GPU configurations:</w:t>
      </w:r>
      <w:r>
        <w:t xml:space="preserve"> </w:t>
      </w:r>
      <w:r>
        <w:rPr>
          <w:bCs/>
          <w:b/>
        </w:rPr>
        <w:t xml:space="preserve">P-1</w:t>
      </w:r>
      <w:r>
        <w:t xml:space="preserve"> </w:t>
      </w:r>
      <w:r>
        <w:t xml:space="preserve">346.2 tokens, 40 % accuracy, ER 1.16.</w:t>
      </w:r>
      <w:r>
        <w:t xml:space="preserve"> </w:t>
      </w:r>
      <w:r>
        <w:rPr>
          <w:bCs/>
          <w:b/>
        </w:rPr>
        <w:t xml:space="preserve">P-2</w:t>
      </w:r>
      <w:r>
        <w:t xml:space="preserve"> </w:t>
      </w:r>
      <w:r>
        <w:t xml:space="preserve">306.8 tokens, 80 % accuracy, ER 2.61.</w:t>
      </w:r>
      <w:r>
        <w:t xml:space="preserve"> </w:t>
      </w:r>
      <w:r>
        <w:rPr>
          <w:bCs/>
          <w:b/>
        </w:rPr>
        <w:t xml:space="preserve">P-3</w:t>
      </w:r>
      <w:r>
        <w:t xml:space="preserve"> </w:t>
      </w:r>
      <w:r>
        <w:t xml:space="preserve">299.2 tokens, 60 % accuracy, ER 2.01. All 90 raw rows are in</w:t>
      </w:r>
      <w:r>
        <w:t xml:space="preserve"> </w:t>
      </w:r>
      <w:r>
        <w:rPr>
          <w:rStyle w:val="VerbatimChar"/>
        </w:rPr>
        <w:t xml:space="preserve">results/experimental_matrix.xlsx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results/experimental_matrix_all.csv</w:t>
      </w:r>
      <w:r>
        <w:t xml:space="preserve">.</w:t>
      </w:r>
    </w:p>
    <w:p>
      <w:pPr>
        <w:pStyle w:val="CaptionedFigure"/>
      </w:pPr>
      <w:r>
        <w:drawing>
          <wp:inline>
            <wp:extent cx="5334000" cy="2240280"/>
            <wp:effectExtent b="0" l="0" r="0" t="0"/>
            <wp:docPr descr="Average total tokens" title="" id="21" name="Picture"/>
            <a:graphic>
              <a:graphicData uri="http://schemas.openxmlformats.org/drawingml/2006/picture">
                <pic:pic>
                  <pic:nvPicPr>
                    <pic:cNvPr descr="results/figures/avg_total_token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Average total tokens</w:t>
      </w:r>
    </w:p>
    <w:p>
      <w:pPr>
        <w:pStyle w:val="CaptionedFigure"/>
      </w:pPr>
      <w:r>
        <w:drawing>
          <wp:inline>
            <wp:extent cx="5334000" cy="2240280"/>
            <wp:effectExtent b="0" l="0" r="0" t="0"/>
            <wp:docPr descr="Median inference time" title="" id="24" name="Picture"/>
            <a:graphic>
              <a:graphicData uri="http://schemas.openxmlformats.org/drawingml/2006/picture">
                <pic:pic>
                  <pic:nvPicPr>
                    <pic:cNvPr descr="results/figures/avg_inference_tim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Median inference time</w:t>
      </w:r>
    </w:p>
    <w:bookmarkEnd w:id="26"/>
    <w:bookmarkEnd w:id="27"/>
    <w:bookmarkStart w:id="32" w:name="green-engineering-justification"/>
    <w:p>
      <w:pPr>
        <w:pStyle w:val="Heading1"/>
      </w:pPr>
      <w:r>
        <w:t xml:space="preserve">2. Green Engineering Justification</w:t>
      </w:r>
    </w:p>
    <w:bookmarkStart w:id="28" w:name="X86f6f9d16714e063e983add8a439f2f8873c122"/>
    <w:p>
      <w:pPr>
        <w:pStyle w:val="Heading2"/>
      </w:pPr>
      <w:r>
        <w:t xml:space="preserve">2.1 Optimal prompt design for green inference</w:t>
      </w:r>
    </w:p>
    <w:p>
      <w:pPr>
        <w:pStyle w:val="FirstParagraph"/>
      </w:pPr>
      <w:r>
        <w:rPr>
          <w:bCs/>
          <w:b/>
        </w:rPr>
        <w:t xml:space="preserve">P-3 gave the lowest average total token count</w:t>
      </w:r>
      <w:r>
        <w:t xml:space="preserve">: 299.2 tokens, against 306.8 for P-2 and 346.2 for P-1. It was the cheapest prompt for 4 of the 5 configurations. P-3 saves about 43 input tokens versus P-1. The exception is Deepseek-Coder. Its P-3 reply opened with</w:t>
      </w:r>
      <w:r>
        <w:t xml:space="preserve"> </w:t>
      </w:r>
      <w:r>
        <w:t xml:space="preserve">“</w:t>
      </w:r>
      <w:r>
        <w:t xml:space="preserve">Here is the corrected code</w:t>
      </w:r>
      <w:r>
        <w:t xml:space="preserve">”</w:t>
      </w:r>
      <w:r>
        <w:t xml:space="preserve"> </w:t>
      </w:r>
      <w:r>
        <w:t xml:space="preserve">and ended with a paragraph of explanation, so T_out grew to 257 tokens and the total to 447. A shorter prompt does not guarantee a shorter answer.</w:t>
      </w:r>
    </w:p>
    <w:p>
      <w:pPr>
        <w:pStyle w:val="BodyText"/>
      </w:pPr>
      <w:r>
        <w:rPr>
          <w:bCs/>
          <w:b/>
        </w:rPr>
        <w:t xml:space="preserve">P-2 gave the best efficiency ratio</w:t>
      </w:r>
      <w:r>
        <w:t xml:space="preserve">: 2.61 correct outputs per 1,000 tokens, against 2.01 for P-3 and 1.16 for P-1. Its accuracy was 80 % against 60 % and 40 %. P-3’s token savings were often a false economy. Qwen FP16 and INT4 answered P-3 by returning the original prose docstring with no Args or Returns sections. The polite, verbose P-1 was worst on both counts. For Qwen it caused a docstring placed</w:t>
      </w:r>
      <w:r>
        <w:t xml:space="preserve"> </w:t>
      </w:r>
      <w:r>
        <w:rPr>
          <w:iCs/>
          <w:i/>
        </w:rPr>
        <w:t xml:space="preserve">above</w:t>
      </w:r>
      <w:r>
        <w:t xml:space="preserve"> </w:t>
      </w:r>
      <w:r>
        <w:t xml:space="preserve">the function at module level, which is not a docstring of the function at all.</w:t>
      </w:r>
    </w:p>
    <w:bookmarkEnd w:id="28"/>
    <w:bookmarkStart w:id="29" w:name="impact-of-quantization-and-hardware"/>
    <w:p>
      <w:pPr>
        <w:pStyle w:val="Heading2"/>
      </w:pPr>
      <w:r>
        <w:t xml:space="preserve">2.2 Impact of quantization and hardware</w:t>
      </w:r>
    </w:p>
    <w:p>
      <w:pPr>
        <w:pStyle w:val="FirstParagraph"/>
      </w:pPr>
      <w:r>
        <w:t xml:space="preserve">For Qwen2.5-Coder-1.5B with P-2, every quantization level stayed accurate (5/5), but neither quantized version was faster: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FP16:</w:t>
      </w:r>
      <w:r>
        <w:t xml:space="preserve"> </w:t>
      </w:r>
      <w:r>
        <w:t xml:space="preserve">median 3.82 s and 399 J per inference.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INT4 (NF4):</w:t>
      </w:r>
      <w:r>
        <w:t xml:space="preserve"> </w:t>
      </w:r>
      <w:r>
        <w:t xml:space="preserve">7.32 s and 666 J, about 1.9× slower.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INT8:</w:t>
      </w:r>
      <w:r>
        <w:t xml:space="preserve"> </w:t>
      </w:r>
      <w:r>
        <w:t xml:space="preserve">33.35 s and 2,623 J, about 9× slower.</w:t>
      </w:r>
    </w:p>
    <w:p>
      <w:pPr>
        <w:pStyle w:val="FirstParagraph"/>
      </w:pPr>
      <w:r>
        <w:rPr>
          <w:bCs/>
          <w:b/>
        </w:rPr>
        <w:t xml:space="preserve">FP16 (unquantized) was the best level: the lowest inference time with no loss of accuracy.</w:t>
      </w:r>
    </w:p>
    <w:p>
      <w:pPr>
        <w:pStyle w:val="BodyText"/>
      </w:pPr>
      <w:r>
        <w:t xml:space="preserve">The reason is that a 1.5B model in FP16 takes only about 3 GB of a 48 GB GPU. Single-request decoding is limited by kernel-launch overhead, not by memory bandwidth. bitsandbytes adds de-quantization work to every matrix multiply, and INT8 adds its outlier-decomposition step as well. Those costs are paid without any bandwidth saving in return. Quantization’s real benefit here is memory footprint, not speed or energy.</w:t>
      </w:r>
    </w:p>
    <w:p>
      <w:pPr>
        <w:pStyle w:val="BodyText"/>
      </w:pPr>
      <w:r>
        <w:t xml:space="preserve">Quantization also changed the greedy decoding path. INT8 rewrote the docstring for P-3 and passed, while FP16 and INT4 did not. Quantized models are not output-equivalent to the original.</w:t>
      </w:r>
    </w:p>
    <w:p>
      <w:pPr>
        <w:pStyle w:val="BodyText"/>
      </w:pPr>
      <w:r>
        <w:rPr>
          <w:bCs/>
          <w:b/>
        </w:rPr>
        <w:t xml:space="preserve">Local (M2 Pro) vs cloud (A6000).</w:t>
      </w:r>
      <w:r>
        <w:t xml:space="preserve"> </w:t>
      </w:r>
      <w:r>
        <w:t xml:space="preserve">Qwen FP16 produced byte-identical text on both devices for every prompt. Median latency was similar: 3.14 s on the M2 Pro and 3.82 s on the A6000 for P-2. Batch-1 generation of a small model leaves the A6000’s compute almost idle. The A6000 board used about 400 J per docstring, an average draw of about 105 W.</w:t>
      </w:r>
    </w:p>
    <w:p>
      <w:pPr>
        <w:pStyle w:val="BodyText"/>
      </w:pPr>
      <w:r>
        <w:t xml:space="preserve">On-device power could not be measured on the Mac, because</w:t>
      </w:r>
      <w:r>
        <w:t xml:space="preserve"> </w:t>
      </w:r>
      <w:r>
        <w:rPr>
          <w:rStyle w:val="VerbatimChar"/>
        </w:rPr>
        <w:t xml:space="preserve">powermetrics</w:t>
      </w:r>
      <w:r>
        <w:t xml:space="preserve"> </w:t>
      </w:r>
      <w:r>
        <w:t xml:space="preserve">requires root. As an estimate, assuming a typical 15–30 W package draw during MPS inference, each docstring would use about 50–100 J. That is roughly</w:t>
      </w:r>
      <w:r>
        <w:t xml:space="preserve"> </w:t>
      </w:r>
      <w:r>
        <w:rPr>
          <w:bCs/>
          <w:b/>
        </w:rPr>
        <w:t xml:space="preserve">4–8× less energy per inference</w:t>
      </w:r>
      <w:r>
        <w:t xml:space="preserve"> </w:t>
      </w:r>
      <w:r>
        <w:t xml:space="preserve">than the cloud GPU at the same latency.</w:t>
      </w:r>
      <w:r>
        <w:t xml:space="preserve"> </w:t>
      </w:r>
      <w:r>
        <w:rPr>
          <w:bCs/>
          <w:b/>
        </w:rPr>
        <w:t xml:space="preserve">For single small-model requests, the laptop is the greener choice</w:t>
      </w:r>
      <w:r>
        <w:t xml:space="preserve">, although the local figure is an estimate and the GPU figure is measured.</w:t>
      </w:r>
    </w:p>
    <w:bookmarkEnd w:id="29"/>
    <w:bookmarkStart w:id="30" w:name="model-robustness-and-determinism"/>
    <w:p>
      <w:pPr>
        <w:pStyle w:val="Heading2"/>
      </w:pPr>
      <w:r>
        <w:t xml:space="preserve">2.3 Model robustness and determinism</w:t>
      </w:r>
    </w:p>
    <w:p>
      <w:pPr>
        <w:pStyle w:val="FirstParagraph"/>
      </w:pPr>
      <w:r>
        <w:t xml:space="preserve">T_out variance was</w:t>
      </w:r>
      <w:r>
        <w:t xml:space="preserve"> </w:t>
      </w:r>
      <w:r>
        <w:rPr>
          <w:bCs/>
          <w:b/>
        </w:rPr>
        <w:t xml:space="preserve">zero for all 18 combinations</w:t>
      </w:r>
      <w:r>
        <w:t xml:space="preserve">. With greedy decoding, all five epochs produced byte-identical outputs, and accuracy was therefore stable as well. Only wall-clock time varied.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Most deterministic:</w:t>
      </w:r>
      <w:r>
        <w:t xml:space="preserve"> </w:t>
      </w:r>
      <w:r>
        <w:t xml:space="preserve">Qwen2.5-Coder FP16 + P-3 on the A6000 (SD 0.018 s, coefficient of variation 0.6 %). Among the accurate combinations, SmolLM2 FP16 + P-2 (SD 0.037 s) and Qwen FP16 + P-2 (SD 0.040 s) were the most stable, both with a CV of about 1 %.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Least stable:</w:t>
      </w:r>
      <w:r>
        <w:t xml:space="preserve"> </w:t>
      </w:r>
      <w:r>
        <w:t xml:space="preserve">the bitsandbytes variants, with SD up to 20.8 s for INT8 and 7.3 s for INT4 P-2. Individual epochs jumped from about 19 s to 58–69 s while the shared cloud host showed a load average of about 12. CPU-heavy quantized kernels amplify noise from other workloads on the host. The laptop was also noisy (CV 24–48 %) because it was being used interactively during the runs.</w:t>
      </w:r>
    </w:p>
    <w:p>
      <w:pPr>
        <w:pStyle w:val="FirstParagraph"/>
      </w:pPr>
      <w:r>
        <w:t xml:space="preserve">Green metrics should therefore be reported as medians, not only means.</w:t>
      </w:r>
    </w:p>
    <w:bookmarkEnd w:id="30"/>
    <w:bookmarkStart w:id="31" w:name="overall-green-recommendation"/>
    <w:p>
      <w:pPr>
        <w:pStyle w:val="Heading2"/>
      </w:pPr>
      <w:r>
        <w:t xml:space="preserve">2.4 Overall green recommendation</w:t>
      </w:r>
    </w:p>
    <w:p>
      <w:pPr>
        <w:pStyle w:val="FirstParagraph"/>
      </w:pPr>
      <w:r>
        <w:rPr>
          <w:bCs/>
          <w:b/>
        </w:rPr>
        <w:t xml:space="preserve">Qwen2.5-Coder-1.5B-Instruct, unquantized FP16, with prompt P-2: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Accuracy:</w:t>
      </w:r>
      <w:r>
        <w:t xml:space="preserve"> </w:t>
      </w:r>
      <w:r>
        <w:t xml:space="preserve">100 % (5/5) on both devices.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Tokens:</w:t>
      </w:r>
      <w:r>
        <w:t xml:space="preserve"> </w:t>
      </w:r>
      <w:r>
        <w:t xml:space="preserve">the lowest total (280) of any combination with full accuracy.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Speed and energy:</w:t>
      </w:r>
      <w:r>
        <w:t xml:space="preserve"> </w:t>
      </w:r>
      <w:r>
        <w:t xml:space="preserve">a median of 3.82 s and 399 J on the A6000, the lowest energy of any fully accurate GPU combination.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Efficiency:</w:t>
      </w:r>
      <w:r>
        <w:t xml:space="preserve"> </w:t>
      </w:r>
      <w:r>
        <w:t xml:space="preserve">the highest practical ER (3.57).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Stability:</w:t>
      </w:r>
      <w:r>
        <w:t xml:space="preserve"> </w:t>
      </w:r>
      <w:r>
        <w:t xml:space="preserve">a CV of about 1 %.</w:t>
      </w:r>
    </w:p>
    <w:p>
      <w:pPr>
        <w:pStyle w:val="FirstParagraph"/>
      </w:pPr>
      <w:r>
        <w:t xml:space="preserve">INT8 + P-3 scored a slightly higher ER (3.79), but it needed</w:t>
      </w:r>
      <w:r>
        <w:t xml:space="preserve"> </w:t>
      </w:r>
      <w:r>
        <w:rPr>
          <w:bCs/>
          <w:b/>
        </w:rPr>
        <w:t xml:space="preserve">4×</w:t>
      </w:r>
      <w:r>
        <w:t xml:space="preserve"> </w:t>
      </w:r>
      <w:r>
        <w:t xml:space="preserve">the energy (1,579 J). SmolLM2 + P-2 is a close alternative: 295 tokens, 3.54 s and 411 J. For the lowest energy overall, run the same configuration locally on the M2 Pro.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 — Green Prompt Engineering</dc:title>
  <dc:creator/>
  <cp:keywords/>
  <dcterms:created xsi:type="dcterms:W3CDTF">2026-10-28T18:51:59Z</dcterms:created>
  <dcterms:modified xsi:type="dcterms:W3CDTF">2026-10-28T18:51:59Z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  <property fmtid="{D5CDD505-2E9C-101B-9397-08002B2CF9AE}" pid="3" name="subtitle">
    <vt:lpwstr>ENSF 619 · Code Docstring Generation with Small Language Models</vt:lpwstr>
  </property>
</Properties>
</file>