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Comparative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Model</w:t>
      </w:r>
      <w:r>
        <w:t xml:space="preserve"> </w:t>
      </w:r>
      <w:r>
        <w:t xml:space="preserve">Compression</w:t>
      </w:r>
    </w:p>
    <w:p>
      <w:pPr>
        <w:pStyle w:val="Subtitle"/>
      </w:pPr>
      <w:r>
        <w:t xml:space="preserve">ENSF</w:t>
      </w:r>
      <w:r>
        <w:t xml:space="preserve"> </w:t>
      </w:r>
      <w:r>
        <w:t xml:space="preserve">619</w:t>
      </w:r>
      <w:r>
        <w:t xml:space="preserve"> </w:t>
      </w:r>
      <w:r>
        <w:t xml:space="preserve">·</w:t>
      </w:r>
      <w:r>
        <w:t xml:space="preserve"> </w:t>
      </w:r>
      <w:r>
        <w:t xml:space="preserve">Quantization</w:t>
      </w:r>
      <w:r>
        <w:t xml:space="preserve"> </w:t>
      </w:r>
      <w:r>
        <w:t xml:space="preserve">vs. Pruning</w:t>
      </w:r>
      <w:r>
        <w:t xml:space="preserve"> </w:t>
      </w:r>
      <w:r>
        <w:t xml:space="preserve">vs. Knowledge</w:t>
      </w:r>
      <w:r>
        <w:t xml:space="preserve"> </w:t>
      </w:r>
      <w:r>
        <w:t xml:space="preserve">Distillation,</w:t>
      </w:r>
      <w:r>
        <w:t xml:space="preserve"> </w:t>
      </w:r>
      <w:r>
        <w:t xml:space="preserve">measured</w:t>
      </w:r>
      <w:r>
        <w:t xml:space="preserve"> </w:t>
      </w:r>
      <w:r>
        <w:t xml:space="preserve">with</w:t>
      </w:r>
      <w:r>
        <w:t xml:space="preserve"> </w:t>
      </w:r>
      <w:r>
        <w:t xml:space="preserve">CodeCarbon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Code repository:</w:t>
      </w:r>
      <w:r>
        <w:t xml:space="preserve"> </w:t>
      </w:r>
      <w:hyperlink r:id="rId20">
        <w:r>
          <w:rPr>
            <w:rStyle w:val="Hyperlink"/>
          </w:rPr>
          <w:t xml:space="preserve">https://github.com/ahmd-nish/ensf619-assignments/tree/main/Assignment_2</w:t>
        </w:r>
      </w:hyperlink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Assignment_2/README.md</w:t>
      </w:r>
      <w:r>
        <w:t xml:space="preserve"> </w:t>
      </w:r>
      <w:r>
        <w:t xml:space="preserve">to reproduce the results).</w:t>
      </w:r>
    </w:p>
    <w:bookmarkStart w:id="24" w:name="summary-table"/>
    <w:p>
      <w:pPr>
        <w:pStyle w:val="Heading1"/>
      </w:pPr>
      <w:r>
        <w:t xml:space="preserve">1. Summary table</w:t>
      </w:r>
    </w:p>
    <w:p>
      <w:pPr>
        <w:pStyle w:val="FirstParagraph"/>
      </w:pPr>
      <w:r>
        <w:t xml:space="preserve">Task: generate a Google-style docstring for</w:t>
      </w:r>
      <w:r>
        <w:t xml:space="preserve"> </w:t>
      </w:r>
      <w:r>
        <w:rPr>
          <w:rStyle w:val="VerbatimChar"/>
        </w:rPr>
        <w:t xml:space="preserve">below_zero</w:t>
      </w:r>
      <w:r>
        <w:t xml:space="preserve"> </w:t>
      </w:r>
      <w:r>
        <w:t xml:space="preserve">(identical to Assignment 1), using prompt</w:t>
      </w:r>
      <w:r>
        <w:t xml:space="preserve"> </w:t>
      </w:r>
      <w:r>
        <w:rPr>
          <w:bCs/>
          <w:b/>
        </w:rPr>
        <w:t xml:space="preserve">P-2</w:t>
      </w:r>
      <w:r>
        <w:t xml:space="preserve">, the best prompt in Assignment 1. Each model was run for</w:t>
      </w:r>
      <w:r>
        <w:t xml:space="preserve"> </w:t>
      </w:r>
      <w:r>
        <w:rPr>
          <w:bCs/>
          <w:b/>
        </w:rPr>
        <w:t xml:space="preserve">5 epochs</w:t>
      </w:r>
      <w:r>
        <w:t xml:space="preserve">. A</w:t>
      </w:r>
      <w:r>
        <w:t xml:space="preserve"> </w:t>
      </w:r>
      <w:r>
        <w:rPr>
          <w:bCs/>
          <w:b/>
        </w:rPr>
        <w:t xml:space="preserve">new CodeCarbon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EmissionsTracker</w:t>
      </w:r>
      <w:r>
        <w:rPr>
          <w:bCs/>
          <w:b/>
        </w:rPr>
        <w:t xml:space="preserve"> </w:t>
      </w:r>
      <w:r>
        <w:rPr>
          <w:bCs/>
          <w:b/>
        </w:rPr>
        <w:t xml:space="preserve">was started right before and stopped right after every inference run</w:t>
      </w:r>
      <w:r>
        <w:t xml:space="preserve">. CO₂ and latency are per inference, as the mean of the 5 runs.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 per inference (mg CO₂eq)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CO₂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per inference 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Latency, mean / median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size (MB)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(P/F)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Baseline</w:t>
            </w:r>
            <w:r>
              <w:t xml:space="preserve"> </w:t>
            </w:r>
            <w:r>
              <w:t xml:space="preserve">(FP16)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33.28</w:t>
            </w:r>
            <w:r>
              <w:t xml:space="preserve"> </w:t>
            </w:r>
            <w:r>
              <w:t xml:space="preserve">± 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 / 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Quantized</w:t>
            </w:r>
            <w:r>
              <w:t xml:space="preserve"> </w:t>
            </w:r>
            <w:r>
              <w:t xml:space="preserve">(4-bit NF4)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53.93</w:t>
            </w:r>
            <w:r>
              <w:t xml:space="preserve"> </w:t>
            </w:r>
            <w:r>
              <w:t xml:space="preserve">± 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 / 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−61 %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2b. Quantized (8-bit),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238.04 ± 104.3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36.82 / 24.39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Pruned</w:t>
            </w:r>
            <w:r>
              <w:t xml:space="preserve"> </w:t>
            </w:r>
            <w:r>
              <w:t xml:space="preserve">(40 % unstructured + fine-tune)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36.01</w:t>
            </w:r>
            <w:r>
              <w:t xml:space="preserve"> </w:t>
            </w:r>
            <w:r>
              <w:t xml:space="preserve">± 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 / 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2,944.5 dense (≈2,101 sparse*)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(≈−29 %*)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Distilled</w:t>
            </w:r>
            <w:r>
              <w:t xml:space="preserve"> </w:t>
            </w:r>
            <w:r>
              <w:t xml:space="preserve">(0.5B student)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distillation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28.02</w:t>
            </w:r>
            <w:r>
              <w:t xml:space="preserve"> </w:t>
            </w:r>
            <w:r>
              <w:t xml:space="preserve">± 0.33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 / 3.97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  <w:r>
              <w:t xml:space="preserve"> </w:t>
            </w:r>
            <w:r>
              <w:t xml:space="preserve">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ref: pruned 40 %, no fine-tune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6.78 / 6.80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(0/5)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ref: 0.5B student before 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 / 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(0/5)</w:t>
            </w:r>
          </w:p>
        </w:tc>
      </w:tr>
    </w:tbl>
    <w:p>
      <w:pPr>
        <w:pStyle w:val="BodyText"/>
      </w:pPr>
      <w:r>
        <w:t xml:space="preserve">Notes on the table:</w:t>
      </w:r>
    </w:p>
    <w:p>
      <w:pPr>
        <w:numPr>
          <w:ilvl w:val="0"/>
          <w:numId w:val="1001"/>
        </w:numPr>
        <w:pStyle w:val="Compact"/>
      </w:pPr>
      <w:r>
        <w:t xml:space="preserve">± is the standard deviation over the 5 runs.</w:t>
      </w:r>
    </w:p>
    <w:p>
      <w:pPr>
        <w:numPr>
          <w:ilvl w:val="0"/>
          <w:numId w:val="1001"/>
        </w:numPr>
        <w:pStyle w:val="Compact"/>
      </w:pPr>
      <w:r>
        <w:t xml:space="preserve">Model size is the serialized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, measured with the provided</w:t>
      </w:r>
      <w:r>
        <w:t xml:space="preserve"> </w:t>
      </w:r>
      <w:r>
        <w:rPr>
          <w:rStyle w:val="VerbatimChar"/>
        </w:rPr>
        <w:t xml:space="preserve">get_model_size</w:t>
      </w:r>
      <w:r>
        <w:t xml:space="preserve"> </w:t>
      </w:r>
      <w:r>
        <w:t xml:space="preserve">function. That function reports MiB.</w:t>
      </w:r>
    </w:p>
    <w:p>
      <w:pPr>
        <w:numPr>
          <w:ilvl w:val="0"/>
          <w:numId w:val="1001"/>
        </w:numPr>
        <w:pStyle w:val="Compact"/>
      </w:pPr>
      <w:r>
        <w:t xml:space="preserve">* The pruned model is stored densely: the zeros still take space. The value in brackets is the estimated size if the 1,019.6 M non-zero FP16 values were stored with a 1-bit mask over the 1,310 M pruned weights.</w:t>
      </w:r>
    </w:p>
    <w:p>
      <w:pPr>
        <w:numPr>
          <w:ilvl w:val="0"/>
          <w:numId w:val="1001"/>
        </w:numPr>
        <w:pStyle w:val="Compact"/>
      </w:pPr>
      <w:r>
        <w:t xml:space="preserve">All runs used an NVIDIA RTX A6000 48 GB in Bucharest, Romania. CodeCarbon used a grid carbon intensity of 240.6 g CO₂/kWh.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Held-out check:</w:t>
      </w:r>
      <w:r>
        <w:t xml:space="preserve"> </w:t>
      </w:r>
      <w:r>
        <w:t xml:space="preserve">a broader accuracy check ran each model once on 33 unseen HumanEval functions. Pass counts: baseline 5/33, INT4 5/33, INT8 4/33, pruned + fine-tune 27/33, distilled 12/33, pruned without fine-tune 2/33, student before KD 1/33. Section 3.3 discusses the jump for the two fine-tuned models.</w:t>
      </w:r>
    </w:p>
    <w:p>
      <w:pPr>
        <w:pStyle w:val="CaptionedFigure"/>
      </w:pPr>
      <w:r>
        <w:drawing>
          <wp:inline>
            <wp:extent cx="5334000" cy="1676400"/>
            <wp:effectExtent b="0" l="0" r="0" t="0"/>
            <wp:docPr descr="CO₂, latency and size per model version" title="" id="22" name="Picture"/>
            <a:graphic>
              <a:graphicData uri="http://schemas.openxmlformats.org/drawingml/2006/picture">
                <pic:pic>
                  <pic:nvPicPr>
                    <pic:cNvPr descr="results/figures/comparis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CO₂, latency and size per model version</w:t>
      </w:r>
    </w:p>
    <w:bookmarkEnd w:id="24"/>
    <w:bookmarkStart w:id="25" w:name="implementation-details"/>
    <w:p>
      <w:pPr>
        <w:pStyle w:val="Heading1"/>
      </w:pPr>
      <w:r>
        <w:t xml:space="preserve">2. Implementation details</w:t>
      </w:r>
    </w:p>
    <w:p>
      <w:pPr>
        <w:pStyle w:val="FirstParagraph"/>
      </w:pPr>
      <w:r>
        <w:rPr>
          <w:bCs/>
          <w:b/>
        </w:rPr>
        <w:t xml:space="preserve">Chosen SLM (baseline and teacher):</w:t>
      </w:r>
      <w:r>
        <w:t xml:space="preserve"> </w:t>
      </w:r>
      <w:r>
        <w:t xml:space="preserve">Qwen2.5-Coder-1.5B-Instruct, 1.54 B parameters, run in FP16 on CUDA. It was the most accurate model in Assignment 1 and shares its tokenizer with a smaller sibling model, which makes logit-level distillation possible. Decoding was greedy with</w:t>
      </w:r>
      <w:r>
        <w:t xml:space="preserve"> </w:t>
      </w:r>
      <w:r>
        <w:rPr>
          <w:rStyle w:val="VerbatimChar"/>
        </w:rPr>
        <w:t xml:space="preserve">max_new_tokens=512</w:t>
      </w:r>
      <w:r>
        <w:t xml:space="preserve">, and each model had one untimed warm-up run.</w:t>
      </w:r>
    </w:p>
    <w:p>
      <w:pPr>
        <w:pStyle w:val="BodyText"/>
      </w:pPr>
      <w:r>
        <w:rPr>
          <w:bCs/>
          <w:b/>
        </w:rPr>
        <w:t xml:space="preserve">Quantization:</w:t>
      </w:r>
      <w:r>
        <w:t xml:space="preserve"> </w:t>
      </w:r>
      <w:r>
        <w:t xml:space="preserve">bitsandbytes post-training weight quantization, loaded with</w:t>
      </w:r>
      <w:r>
        <w:t xml:space="preserve"> </w:t>
      </w:r>
      <w:r>
        <w:rPr>
          <w:rStyle w:val="VerbatimChar"/>
        </w:rPr>
        <w:t xml:space="preserve">BitsAndBytesConfig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4-bit NF4</w:t>
      </w:r>
      <w:r>
        <w:t xml:space="preserve">, the primary model 2:</w:t>
      </w:r>
      <w:r>
        <w:t xml:space="preserve"> </w:t>
      </w:r>
      <w:r>
        <w:rPr>
          <w:rStyle w:val="VerbatimChar"/>
        </w:rPr>
        <w:t xml:space="preserve">load_in_4bit</w:t>
      </w:r>
      <w:r>
        <w:t xml:space="preserve">,</w:t>
      </w:r>
      <w:r>
        <w:t xml:space="preserve"> </w:t>
      </w:r>
      <w:r>
        <w:rPr>
          <w:rStyle w:val="VerbatimChar"/>
        </w:rPr>
        <w:t xml:space="preserve">bnb_4bit_quant_type="nf4"</w:t>
      </w:r>
      <w:r>
        <w:t xml:space="preserve">, FP16 compute.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8-bit LLM.int8()</w:t>
      </w:r>
      <w:r>
        <w:t xml:space="preserve">, an extra row (2b), reported because Assignment 1 also tested it.</w:t>
      </w:r>
    </w:p>
    <w:p>
      <w:pPr>
        <w:pStyle w:val="FirstParagraph"/>
      </w:pPr>
      <w:r>
        <w:t xml:space="preserve">No calibration or retraining was needed. The 4-bit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 </w:t>
      </w:r>
      <w:r>
        <w:t xml:space="preserve">packs two weights per byte, which is why it reports 889 M stored</w:t>
      </w:r>
      <w:r>
        <w:t xml:space="preserve"> </w:t>
      </w:r>
      <w:r>
        <w:t xml:space="preserve">“</w:t>
      </w:r>
      <w:r>
        <w:t xml:space="preserve">parameters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Pruning (40 % unstructured):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torch.nn.utils.prune.l1_unstructured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amount=0.4</w:t>
      </w:r>
      <w:r>
        <w:t xml:space="preserve">, applied to every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in the 28 transformer blocks (196 layers: q, k, v, o, gate, up and down projections). The 40 % of weights with the smallest magnitude in each layer were set to zero. The tied embedding and LM head were left dense. The result is 40.0 % sparsity in the pruned layers and 33.9 % of all parameters.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Recovery fine-tune:</w:t>
      </w:r>
      <w:r>
        <w:t xml:space="preserve"> </w:t>
      </w:r>
      <w:r>
        <w:t xml:space="preserve">full-parameter AdamW, learning rate 1e-5, batch 8, 2 epochs (224 steps), with bf16 autocast and FP32 master weights. The binary masks were re-applied after every optimizer step, and the final sparsity was verified at exactly 40 %. Loss fell from 0.148 to 0.033.</w:t>
      </w:r>
    </w:p>
    <w:p>
      <w:pPr>
        <w:pStyle w:val="FirstParagraph"/>
      </w:pPr>
      <w:r>
        <w:rPr>
          <w:bCs/>
          <w:b/>
        </w:rPr>
        <w:t xml:space="preserve">Knowledge distillation: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Teacher and student:</w:t>
      </w:r>
      <w:r>
        <w:t xml:space="preserve"> </w:t>
      </w:r>
      <w:r>
        <w:t xml:space="preserve">the FP16 baseline Qwen2.5-Coder-1.5B, frozen, teaching</w:t>
      </w:r>
      <w:r>
        <w:t xml:space="preserve"> </w:t>
      </w:r>
      <w:r>
        <w:rPr>
          <w:bCs/>
          <w:b/>
        </w:rPr>
        <w:t xml:space="preserve">Qwen2.5-Coder-0.5B-Instruct</w:t>
      </w:r>
      <w:r>
        <w:t xml:space="preserve"> </w:t>
      </w:r>
      <w:r>
        <w:t xml:space="preserve">(0.49 B parameters, 3.1× smaller, same 151,936-token vocabulary).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Loss:</w:t>
      </w:r>
      <w:r>
        <w:t xml:space="preserve"> </w:t>
      </w:r>
      <w:r>
        <w:t xml:space="preserve">α·T²·KL(teacher‖student) at temperature T = 2, plus (1−α)·cross-entropy on the teacher-written tokens, with α = 0.5. The loss was computed on response tokens 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Training:</w:t>
      </w:r>
      <w:r>
        <w:t xml:space="preserve"> </w:t>
      </w:r>
      <w:r>
        <w:t xml:space="preserve">AdamW, learning rate 2e-5, batch 8, 3 epochs (336 steps). KL fell from 0.96 to 0.28 and cross-entropy from 0.165 to 0.042.</w:t>
      </w:r>
    </w:p>
    <w:p>
      <w:pPr>
        <w:pStyle w:val="FirstParagraph"/>
      </w:pPr>
      <w:r>
        <w:rPr>
          <w:bCs/>
          <w:b/>
        </w:rPr>
        <w:t xml:space="preserve">Training data:</w:t>
      </w:r>
      <w:r>
        <w:t xml:space="preserve"> </w:t>
      </w:r>
      <w:r>
        <w:t xml:space="preserve">the same data was used for the pruning fine-tune and for distillation. The teacher generated docstrings for:</w:t>
      </w:r>
    </w:p>
    <w:p>
      <w:pPr>
        <w:numPr>
          <w:ilvl w:val="0"/>
          <w:numId w:val="1005"/>
        </w:numPr>
        <w:pStyle w:val="Compact"/>
      </w:pPr>
      <w:r>
        <w:t xml:space="preserve">the HumanEval training split, under all three Assignment 1 prompts, and</w:t>
      </w:r>
    </w:p>
    <w:p>
      <w:pPr>
        <w:numPr>
          <w:ilvl w:val="0"/>
          <w:numId w:val="1005"/>
        </w:numPr>
        <w:pStyle w:val="Compact"/>
      </w:pPr>
      <w:r>
        <w:t xml:space="preserve">974 MBPP functions, using P-2. Each MBPP function’s task description was inserted as a plain prose docstring, so the input matches the assignment’s input format.</w:t>
      </w:r>
    </w:p>
    <w:p>
      <w:pPr>
        <w:pStyle w:val="FirstParagraph"/>
      </w:pPr>
      <w:r>
        <w:t xml:space="preserve">Only outputs that passed the same checker used for P/F grading were kept: 892 of 1,364.</w:t>
      </w:r>
      <w:r>
        <w:t xml:space="preserve"> </w:t>
      </w:r>
      <w:r>
        <w:rPr>
          <w:bCs/>
          <w:b/>
        </w:rPr>
        <w:t xml:space="preserve">HumanEval/3 (</w:t>
      </w:r>
      <w:r>
        <w:rPr>
          <w:rStyle w:val="VerbatimChar"/>
          <w:bCs/>
          <w:b/>
        </w:rPr>
        <w:t xml:space="preserve">below_zero</w:t>
      </w:r>
      <w:r>
        <w:rPr>
          <w:bCs/>
          <w:b/>
        </w:rPr>
        <w:t xml:space="preserve">) and the 33 held-out functions were never used for training.</w:t>
      </w:r>
    </w:p>
    <w:p>
      <w:pPr>
        <w:pStyle w:val="BodyText"/>
      </w:pPr>
      <w:r>
        <w:rPr>
          <w:bCs/>
          <w:b/>
        </w:rPr>
        <w:t xml:space="preserve">CodeCarbon setup:</w:t>
      </w:r>
      <w:r>
        <w:t xml:space="preserve"> </w:t>
      </w:r>
      <w:r>
        <w:t xml:space="preserve">v3.3.2, with</w:t>
      </w:r>
      <w:r>
        <w:t xml:space="preserve"> </w:t>
      </w:r>
      <w:r>
        <w:rPr>
          <w:rStyle w:val="VerbatimChar"/>
        </w:rPr>
        <w:t xml:space="preserve">EmissionsTracker(measure_power_secs=1, tracking_mode="process")</w:t>
      </w:r>
      <w:r>
        <w:t xml:space="preserve"> </w:t>
      </w:r>
      <w:r>
        <w:t xml:space="preserve">started and stopped around each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call. GPU power comes from NVML and is measured; it is about 85 % of total energy. The container exposes no RAPL interface, so CodeCarbon estimates CPU power (about 8 W) and RAM power (10 W).</w:t>
      </w:r>
    </w:p>
    <w:bookmarkEnd w:id="25"/>
    <w:bookmarkStart w:id="33" w:name="comparative-analysis"/>
    <w:p>
      <w:pPr>
        <w:pStyle w:val="Heading1"/>
      </w:pPr>
      <w:r>
        <w:t xml:space="preserve">3. Comparative analysis</w:t>
      </w:r>
    </w:p>
    <w:bookmarkStart w:id="26" w:name="X37ce2733b4ee5e79faf9ced3057045ed36ace50"/>
    <w:p>
      <w:pPr>
        <w:pStyle w:val="Heading2"/>
      </w:pPr>
      <w:r>
        <w:t xml:space="preserve">3.1 Which technique achieved the lowest CO₂ emissions?</w:t>
      </w:r>
    </w:p>
    <w:p>
      <w:pPr>
        <w:pStyle w:val="FirstParagraph"/>
      </w:pPr>
      <w:r>
        <w:rPr>
          <w:bCs/>
          <w:b/>
        </w:rPr>
        <w:t xml:space="preserve">Knowledge distillation achieved the lowest emissions: 28.0 mg CO₂eq per inference, 16 % below the 33.3 mg baseline.</w:t>
      </w:r>
      <w:r>
        <w:t xml:space="preserve"> </w:t>
      </w:r>
      <w:r>
        <w:t xml:space="preserve">It did so even though the student wrote longer answers (151 against 129 output tokens). Its energy per generated token was 2.8 J, against 3.9 J for the baseline.</w:t>
      </w:r>
    </w:p>
    <w:p>
      <w:pPr>
        <w:pStyle w:val="BodyText"/>
      </w:pPr>
      <w:r>
        <w:t xml:space="preserve">Pruning came second at 36.0 mg, 8 % above the baseline. 4-bit quantization came last at 53.9 mg, 62 % above the baseline. The 8-bit variant was far worse at 238 mg. The untrained 0.5B student emitted even less (20.3 mg) but failed the task, so it does not count.</w:t>
      </w:r>
    </w:p>
    <w:bookmarkEnd w:id="26"/>
    <w:bookmarkStart w:id="30" w:name="Xa8cdc70ca2f8a1f6ced0af7670216452e7883bf"/>
    <w:p>
      <w:pPr>
        <w:pStyle w:val="Heading2"/>
      </w:pPr>
      <w:r>
        <w:t xml:space="preserve">3.2 Relationship between model-size reduction and CO₂ reduction</w:t>
      </w:r>
    </w:p>
    <w:p>
      <w:pPr>
        <w:pStyle w:val="FirstParagraph"/>
      </w:pPr>
      <w:r>
        <w:rPr>
          <w:bCs/>
          <w:b/>
        </w:rPr>
        <w:t xml:space="preserve">Smaller files did not mean lower emissions.</w:t>
      </w:r>
      <w:r>
        <w:t xml:space="preserve"> </w:t>
      </w:r>
      <w:r>
        <w:t xml:space="preserve">Of the three techniques, the two that shrank the model on disk the most were not the greenest: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4-bit quantization:</w:t>
      </w:r>
      <w:r>
        <w:t xml:space="preserve"> </w:t>
      </w:r>
      <w:r>
        <w:t xml:space="preserve">61 % smaller, but 62 %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CO₂.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8-bit quantization:</w:t>
      </w:r>
      <w:r>
        <w:t xml:space="preserve"> </w:t>
      </w:r>
      <w:r>
        <w:t xml:space="preserve">42 % smaller, but more than 7× the emissions.</w:t>
      </w:r>
    </w:p>
    <w:p>
      <w:pPr>
        <w:pStyle w:val="FirstParagraph"/>
      </w:pPr>
      <w:r>
        <w:t xml:space="preserve">bitsandbytes stores the weights compactly but de-quantizes them inside every matrix multiply. A 1.5 B model generating one request at a time on a 48 GB GPU is limited by kernel-launch overhead, not by memory bandwidth. Quantization therefore adds compute and time (7.1 s and 24.4 s against 3.8 s) without saving anything that mattered for this workload.</w:t>
      </w:r>
    </w:p>
    <w:p>
      <w:pPr>
        <w:pStyle w:val="BodyText"/>
      </w:pPr>
      <w:r>
        <w:rPr>
          <w:bCs/>
          <w:b/>
        </w:rPr>
        <w:t xml:space="preserve">Unstructured pruning</w:t>
      </w:r>
      <w:r>
        <w:t xml:space="preserve"> </w:t>
      </w:r>
      <w:r>
        <w:t xml:space="preserve">removed 34 % of the parameters but saved neither storage nor energy. The zeros are still stored in dense tensors and still multiplied by dense GPU kernels. Emissions rose slightly (+8 %) because the pruned model generated 9 more tokens.</w:t>
      </w:r>
    </w:p>
    <w:p>
      <w:pPr>
        <w:pStyle w:val="BodyText"/>
      </w:pPr>
      <w:r>
        <w:rPr>
          <w:bCs/>
          <w:b/>
        </w:rPr>
        <w:t xml:space="preserve">Only distillation reduced the actual compute per token.</w:t>
      </w:r>
      <w:r>
        <w:t xml:space="preserve"> </w:t>
      </w:r>
      <w:r>
        <w:t xml:space="preserve">The student has 3.1× fewer parameters and 24 layers against 28, which cut size by 68 % and CO₂ by 16 %. The emissions saving is much smaller than the size saving because single-request decoding is dominated by fixed per-token overhead.</w:t>
      </w:r>
    </w:p>
    <w:p>
      <w:pPr>
        <w:pStyle w:val="BodyText"/>
      </w:pPr>
      <w:r>
        <w:t xml:space="preserve">In short,</w:t>
      </w:r>
      <w:r>
        <w:t xml:space="preserve"> </w:t>
      </w:r>
      <w:r>
        <w:rPr>
          <w:bCs/>
          <w:b/>
        </w:rPr>
        <w:t xml:space="preserve">CO₂ follows the work actually executed on the hardware, not the bytes on disk.</w:t>
      </w:r>
      <w:r>
        <w:t xml:space="preserve"> </w:t>
      </w:r>
      <w:r>
        <w:t xml:space="preserve">Size reduction only pays off when the runtime can exploit it: real 4-bit kernels for quantization, sparse or 2:4 structured kernels for pruning, or a genuinely smaller architecture for distillation.</w:t>
      </w:r>
    </w:p>
    <w:p>
      <w:pPr>
        <w:pStyle w:val="CaptionedFigure"/>
      </w:pPr>
      <w:r>
        <w:drawing>
          <wp:inline>
            <wp:extent cx="3307080" cy="2314955"/>
            <wp:effectExtent b="0" l="0" r="0" t="0"/>
            <wp:docPr descr="Model size vs. emissions" title="" id="28" name="Picture"/>
            <a:graphic>
              <a:graphicData uri="http://schemas.openxmlformats.org/drawingml/2006/picture">
                <pic:pic>
                  <pic:nvPicPr>
                    <pic:cNvPr descr="results/figures/size_vs_co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31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size vs. emissions</w:t>
      </w:r>
    </w:p>
    <w:bookmarkEnd w:id="30"/>
    <w:bookmarkStart w:id="31" w:name="best-environmental-performance-trade-off"/>
    <w:p>
      <w:pPr>
        <w:pStyle w:val="Heading2"/>
      </w:pPr>
      <w:r>
        <w:t xml:space="preserve">3.3 Best environmental-performance trade-off</w:t>
      </w:r>
    </w:p>
    <w:p>
      <w:pPr>
        <w:pStyle w:val="FirstParagraph"/>
      </w:pPr>
      <w:r>
        <w:rPr>
          <w:bCs/>
          <w:b/>
        </w:rPr>
        <w:t xml:space="preserve">Knowledge distillation gives the best trade-off:</w:t>
      </w:r>
    </w:p>
    <w:p>
      <w:pPr>
        <w:numPr>
          <w:ilvl w:val="0"/>
          <w:numId w:val="1007"/>
        </w:numPr>
        <w:pStyle w:val="Compact"/>
      </w:pPr>
      <w:r>
        <w:t xml:space="preserve">the lowest emissions of any passing model (−16 % CO₂, −16 % energy),</w:t>
      </w:r>
    </w:p>
    <w:p>
      <w:pPr>
        <w:numPr>
          <w:ilvl w:val="0"/>
          <w:numId w:val="1007"/>
        </w:numPr>
        <w:pStyle w:val="Compact"/>
      </w:pPr>
      <w:r>
        <w:t xml:space="preserve">a 68 % smaller model,</w:t>
      </w:r>
    </w:p>
    <w:p>
      <w:pPr>
        <w:numPr>
          <w:ilvl w:val="0"/>
          <w:numId w:val="1007"/>
        </w:numPr>
        <w:pStyle w:val="Compact"/>
      </w:pPr>
      <w:r>
        <w:t xml:space="preserve">the same latency (3.9 s),</w:t>
      </w:r>
    </w:p>
    <w:p>
      <w:pPr>
        <w:numPr>
          <w:ilvl w:val="0"/>
          <w:numId w:val="1007"/>
        </w:numPr>
        <w:pStyle w:val="Compact"/>
      </w:pPr>
      <w:r>
        <w:t xml:space="preserve">P/F accuracy kept on all 5 runs, with byte-identical output every run.</w:t>
      </w:r>
    </w:p>
    <w:p>
      <w:pPr>
        <w:pStyle w:val="FirstParagraph"/>
      </w:pPr>
      <w:r>
        <w:t xml:space="preserve">The ablations show that both recovery steps were essential. Without distillation, the raw 0.5B student failed (0/5): its docstring had no Args or Returns sections. Without the recovery fine-tune, the pruned model failed (0/5) and also produced 68 % more tokens and emissions.</w:t>
      </w:r>
    </w:p>
    <w:p>
      <w:pPr>
        <w:pStyle w:val="BodyText"/>
      </w:pPr>
      <w:r>
        <w:t xml:space="preserve">Distillation cost 7.8 mg CO₂ per inference more than the raw student, which is the price of turning a failing model into a passing one.</w:t>
      </w:r>
    </w:p>
    <w:p>
      <w:pPr>
        <w:pStyle w:val="BodyText"/>
      </w:pPr>
      <w:r>
        <w:t xml:space="preserve">One caveat applies to the held-out figures. The pruned (27/33) and distilled (12/33) models beat the baseline (5/33) because their training data consisted only of teacher outputs that passed the checker. The training therefore also aligned them to the required Google docstring format. This is a benefit of the recovery and distillation training, not of compression itself. The untrained ablations (2/33 and 1/33) show that compression on its own reduced quality.</w:t>
      </w:r>
    </w:p>
    <w:bookmarkEnd w:id="31"/>
    <w:bookmarkStart w:id="32" w:name="difficulty-of-implementation"/>
    <w:p>
      <w:pPr>
        <w:pStyle w:val="Heading2"/>
      </w:pPr>
      <w:r>
        <w:t xml:space="preserve">3.4 Difficulty of implementation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Quantization was the easiest.</w:t>
      </w:r>
      <w:r>
        <w:t xml:space="preserve"> </w:t>
      </w:r>
      <w:r>
        <w:t xml:space="preserve">It needs one</w:t>
      </w:r>
      <w:r>
        <w:t xml:space="preserve"> </w:t>
      </w:r>
      <w:r>
        <w:rPr>
          <w:rStyle w:val="VerbatimChar"/>
        </w:rPr>
        <w:t xml:space="preserve">BitsAndBytesConfig</w:t>
      </w:r>
      <w:r>
        <w:t xml:space="preserve"> </w:t>
      </w:r>
      <w:r>
        <w:t xml:space="preserve">argument, no data and no training, and was ready in minutes. However, it depends on hardware and libraries: bitsandbytes needed CUDA and could not be used on the Apple-silicon laptop from Assignment 1. Whether it saves energy depends entirely on kernel quality, and here it did not.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Pruning was moderate.</w:t>
      </w:r>
      <w:r>
        <w:t xml:space="preserve"> </w:t>
      </w:r>
      <w:r>
        <w:t xml:space="preserve">Zeroing the weights takes a few lines of</w:t>
      </w:r>
      <w:r>
        <w:t xml:space="preserve"> </w:t>
      </w:r>
      <w:r>
        <w:rPr>
          <w:rStyle w:val="VerbatimChar"/>
        </w:rPr>
        <w:t xml:space="preserve">torch.nn.utils.prune</w:t>
      </w:r>
      <w:r>
        <w:t xml:space="preserve">. Recovering accuracy, however, required:</w:t>
      </w:r>
    </w:p>
    <w:p>
      <w:pPr>
        <w:numPr>
          <w:ilvl w:val="1"/>
          <w:numId w:val="1009"/>
        </w:numPr>
        <w:pStyle w:val="Compact"/>
      </w:pPr>
      <w:r>
        <w:t xml:space="preserve">a labelled fine-tuning set,</w:t>
      </w:r>
    </w:p>
    <w:p>
      <w:pPr>
        <w:numPr>
          <w:ilvl w:val="1"/>
          <w:numId w:val="1009"/>
        </w:numPr>
        <w:pStyle w:val="Compact"/>
      </w:pPr>
      <w:r>
        <w:t xml:space="preserve">a training loop that keeps the masks fixed, and</w:t>
      </w:r>
    </w:p>
    <w:p>
      <w:pPr>
        <w:numPr>
          <w:ilvl w:val="1"/>
          <w:numId w:val="1009"/>
        </w:numPr>
        <w:pStyle w:val="Compact"/>
      </w:pPr>
      <w:r>
        <w:t xml:space="preserve">full fine-tuning of a 1.5 B model, which needs about 25 GB of GPU memory for FP32 weights and Adam state.</w:t>
      </w:r>
    </w:p>
    <w:p>
      <w:pPr>
        <w:numPr>
          <w:ilvl w:val="0"/>
          <w:numId w:val="1000"/>
        </w:numPr>
        <w:pStyle w:val="Compact"/>
      </w:pPr>
      <w:r>
        <w:t xml:space="preserve">Turning the sparsity into real savings would need sparse storage formats, structured (2:4) pruning or sparse kernels. Plain PyTorch provides none of these.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Distillation was the hardest.</w:t>
      </w:r>
      <w:r>
        <w:t xml:space="preserve"> </w:t>
      </w:r>
      <w:r>
        <w:t xml:space="preserve">It needed:</w:t>
      </w:r>
    </w:p>
    <w:p>
      <w:pPr>
        <w:numPr>
          <w:ilvl w:val="1"/>
          <w:numId w:val="1010"/>
        </w:numPr>
        <w:pStyle w:val="Compact"/>
      </w:pPr>
      <w:r>
        <w:t xml:space="preserve">a student with a compatible tokenizer,</w:t>
      </w:r>
    </w:p>
    <w:p>
      <w:pPr>
        <w:numPr>
          <w:ilvl w:val="1"/>
          <w:numId w:val="1010"/>
        </w:numPr>
        <w:pStyle w:val="Compact"/>
      </w:pPr>
      <w:r>
        <w:t xml:space="preserve">a transfer set (the teacher generated 1,364 answers, of which 892 were kept after filtering),</w:t>
      </w:r>
    </w:p>
    <w:p>
      <w:pPr>
        <w:numPr>
          <w:ilvl w:val="1"/>
          <w:numId w:val="1010"/>
        </w:numPr>
        <w:pStyle w:val="Compact"/>
      </w:pPr>
      <w:r>
        <w:t xml:space="preserve">teacher and student held in GPU memory together,</w:t>
      </w:r>
    </w:p>
    <w:p>
      <w:pPr>
        <w:numPr>
          <w:ilvl w:val="1"/>
          <w:numId w:val="1010"/>
        </w:numPr>
        <w:pStyle w:val="Compact"/>
      </w:pPr>
      <w:r>
        <w:t xml:space="preserve">a custom KL plus cross-entropy loss, and</w:t>
      </w:r>
    </w:p>
    <w:p>
      <w:pPr>
        <w:numPr>
          <w:ilvl w:val="1"/>
          <w:numId w:val="1010"/>
        </w:numPr>
        <w:pStyle w:val="Compact"/>
      </w:pPr>
      <w:r>
        <w:t xml:space="preserve">tuning of α and the temperature.</w:t>
      </w:r>
    </w:p>
    <w:p>
      <w:pPr>
        <w:numPr>
          <w:ilvl w:val="0"/>
          <w:numId w:val="1000"/>
        </w:numPr>
        <w:pStyle w:val="Compact"/>
      </w:pPr>
      <w:r>
        <w:t xml:space="preserve">It also has a one-time training footprint. On the A6000 the training took about 5 minutes of GPU time. The estimated upper bound is about 25 Wh, or about 6 g CO₂; this was not measured. That cost is repaid after roughly 1,100 inferences. It was the most work, but it was the only technique that gave a real environmental gain for this task.</w:t>
      </w:r>
    </w:p>
    <w:p>
      <w:pPr>
        <w:pStyle w:val="FirstParagraph"/>
      </w:pPr>
      <w:r>
        <w:rPr>
          <w:bCs/>
          <w:b/>
        </w:rPr>
        <w:t xml:space="preserve">Overall:</w:t>
      </w:r>
      <w:r>
        <w:t xml:space="preserve"> </w:t>
      </w:r>
      <w:r>
        <w:t xml:space="preserve">for small code models served one request at a time, distillation into a smaller architecture is the greenest compression option. Quantization should only be used where efficient low-bit kernels exist, and unstructured pruning should be used only together with sparse-aware storage and kernels.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hyperlink" Id="rId20" Target="https://github.com/ahmd-nish/ensf619-assignments/tree/main/Assignment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ahmd-nish/ensf619-assignments/tree/main/Assignment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— Comparative Environmental Impact of Model Compression</dc:title>
  <dc:creator/>
  <cp:keywords/>
  <dcterms:created xsi:type="dcterms:W3CDTF">2026-10-29T02:08:23Z</dcterms:created>
  <dcterms:modified xsi:type="dcterms:W3CDTF">2026-10-29T02:08:23Z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ENSF 619 · Quantization vs. Pruning vs. Knowledge Distillation, measured with CodeCarbon</vt:lpwstr>
  </property>
</Properties>
</file>