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Borders>
              <w:top w:val="single" w:color="000000" w:sz="8"/>
              <w:left w:val="none"/>
              <w:bottom w:val="none"/>
              <w:right w:val="single" w:color="000000" w:sz="8"/>
            </w:tcBorders>
            <w:shd w:fill="FFFFFF" w:val="clear"/>
            <w:tcMar>
              <w:top w:type="dxa" w:w="60"/>
              <w:left w:type="dxa" w:w="100"/>
              <w:bottom w:type="dxa" w:w="60"/>
              <w:right w:type="dxa" w:w="100"/>
            </w:tcMar>
            <w:vAlign w:val="center"/>
          </w:tcPr>
          <w:p>
            <w:pPr>
              <w:bidi/>
              <w:jc w:val="right"/>
            </w:pPr>
            <w:r>
              <w:rPr>
                <w:rFonts w:ascii="Times New Roman" w:cs="Times New Roman" w:eastAsia="Times New Roman" w:hAnsi="Times New Roman"/>
                <w:b/>
                <w:bCs/>
                <w:sz w:val="20"/>
                <w:szCs w:val="20"/>
              </w:rPr>
              <w:t xml:space="preserve">موقع الطباعة: مجمع محاكم الساحل</w:t>
            </w:r>
          </w:p>
        </w:tc>
        <w:tc>
          <w:tcPr>
            <w:tcW w:type="pct" w:w="60%"/>
            <w:tcBorders>
              <w:top w:val="single" w:color="000000" w:sz="8"/>
              <w:left w:val="single" w:color="000000" w:sz="8"/>
              <w:bottom w:val="none"/>
              <w:right w:val="none"/>
            </w:tcBorders>
            <w:shd w:fill="FFFFFF" w:val="clear"/>
            <w:tcMar>
              <w:top w:type="dxa" w:w="60"/>
              <w:left w:type="dxa" w:w="100"/>
              <w:bottom w:type="dxa" w:w="60"/>
              <w:right w:type="dxa" w:w="100"/>
            </w:tcMar>
            <w:vAlign w:val="center"/>
          </w:tcPr>
          <w:p>
            <w:pPr>
              <w:bidi/>
              <w:jc w:val="left"/>
            </w:pPr>
            <w:r>
              <w:rPr>
                <w:rFonts w:ascii="Times New Roman" w:cs="Times New Roman" w:eastAsia="Times New Roman" w:hAnsi="Times New Roman"/>
                <w:b/>
                <w:bCs/>
                <w:sz w:val="22"/>
                <w:szCs w:val="22"/>
              </w:rPr>
              <w:t xml:space="preserve">نيابة شمال القاهرة الكلية لشئون الاسرة
نيابة الساحل الجزئية لشئون الاسرة</w:t>
            </w:r>
          </w:p>
        </w:tc>
      </w:tr>
      <w:tr>
        <w:tc>
          <w:tcPr>
            <w:tcW w:type="pct" w:w="100%"/>
            <w:tcBorders>
              <w:top w:val="none"/>
              <w:left w:val="single" w:color="000000" w:sz="8"/>
              <w:bottom w:val="single" w:color="000000" w:sz="6"/>
              <w:right w:val="single" w:color="000000" w:sz="8"/>
            </w:tcBorders>
            <w:shd w:fill="FFFFFF" w:val="clear"/>
            <w:tcMar>
              <w:top w:type="dxa" w:w="60"/>
              <w:left w:type="dxa" w:w="100"/>
              <w:bottom w:type="dxa" w:w="60"/>
              <w:right w:type="dxa" w:w="100"/>
            </w:tcMar>
            <w:vAlign w:val="center"/>
          </w:tcPr>
          <w:p>
            <w:pPr>
              <w:bidi/>
              <w:spacing w:after="40" w:before="40"/>
              <w:jc w:val="center"/>
            </w:pPr>
            <w:r>
              <w:rPr>
                <w:rFonts w:ascii="Times New Roman" w:cs="Times New Roman" w:eastAsia="Times New Roman" w:hAnsi="Times New Roman"/>
                <w:b/>
                <w:bCs/>
                <w:sz w:val="28"/>
                <w:szCs w:val="28"/>
                <w:u w:val="single"/>
              </w:rPr>
              <w:t xml:space="preserve">صورة رسمية من مستندات القضية</w:t>
            </w:r>
          </w:p>
        </w:tc>
      </w:tr>
      <w:tr>
        <w:tc>
          <w:tcPr>
            <w:tcW w:type="pct" w:w="100%"/>
            <w:tcBorders>
              <w:top w:val="single" w:color="000000" w:sz="6"/>
              <w:left w:val="single" w:color="000000" w:sz="8"/>
              <w:bottom w:val="single" w:color="000000" w:sz="4"/>
              <w:right w:val="single" w:color="000000" w:sz="8"/>
            </w:tcBorders>
            <w:shd w:fill="FFFFFF" w:val="clear"/>
            <w:tcMar>
              <w:top w:type="dxa" w:w="60"/>
              <w:left w:type="dxa" w:w="100"/>
              <w:bottom w:type="dxa" w:w="60"/>
              <w:right w:type="dxa" w:w="100"/>
            </w:tcMar>
            <w:vAlign w:val="center"/>
          </w:tcPr>
          <w:p>
            <w:pPr>
              <w:bidi/>
              <w:jc w:val="right"/>
            </w:pPr>
            <w:r>
              <w:rPr>
                <w:rFonts w:ascii="Times New Roman" w:cs="Times New Roman" w:eastAsia="Times New Roman" w:hAnsi="Times New Roman"/>
                <w:b/>
                <w:bCs/>
                <w:sz w:val="26"/>
                <w:szCs w:val="26"/>
              </w:rPr>
              <w:t xml:space="preserve">بناء على الطلب المقدم من / مبروك نصر سعد البمبي</w:t>
            </w:r>
          </w:p>
        </w:tc>
      </w:tr>
      <w:tr>
        <w:tc>
          <w:tcPr>
            <w:tcW w:type="pct" w:w="100%"/>
            <w:tcBorders>
              <w:top w:val="single" w:color="000000" w:sz="4"/>
              <w:left w:val="single" w:color="000000" w:sz="8"/>
              <w:bottom w:val="single" w:color="000000" w:sz="6"/>
              <w:right w:val="single" w:color="000000" w:sz="8"/>
            </w:tcBorders>
            <w:shd w:fill="FFFFFF" w:val="clear"/>
            <w:tcMar>
              <w:top w:type="dxa" w:w="60"/>
              <w:left w:type="dxa" w:w="100"/>
              <w:bottom w:type="dxa" w:w="60"/>
              <w:right w:type="dxa" w:w="100"/>
            </w:tcMar>
            <w:vAlign w:val="center"/>
          </w:tcPr>
          <w:p>
            <w:pPr>
              <w:bidi/>
              <w:jc w:val="both"/>
            </w:pPr>
            <w:r>
              <w:rPr>
                <w:rFonts w:ascii="Times New Roman" w:cs="Times New Roman" w:eastAsia="Times New Roman" w:hAnsi="Times New Roman"/>
                <w:b/>
                <w:bCs/>
                <w:sz w:val="24"/>
                <w:szCs w:val="24"/>
              </w:rPr>
              <w:t xml:space="preserve">العنوان / الساحل - القاهرة                  رقم قومي ٢٨٦٠٩١٤١٧٠١٣١٢                  الجنسية / مصرية</w:t>
            </w:r>
          </w:p>
        </w:tc>
      </w:tr>
      <w:tr>
        <w:tc>
          <w:tcPr>
            <w:tcW w:type="pct" w:w="100%"/>
            <w:tcBorders>
              <w:top w:val="single" w:color="000000" w:sz="6"/>
              <w:left w:val="single" w:color="000000" w:sz="8"/>
              <w:bottom w:val="single" w:color="000000" w:sz="4"/>
              <w:right w:val="single" w:color="000000" w:sz="8"/>
            </w:tcBorders>
            <w:shd w:fill="FFFFFF" w:val="clear"/>
            <w:tcMar>
              <w:top w:type="dxa" w:w="60"/>
              <w:left w:type="dxa" w:w="100"/>
              <w:bottom w:type="dxa" w:w="60"/>
              <w:right w:type="dxa" w:w="100"/>
            </w:tcMar>
            <w:vAlign w:val="center"/>
          </w:tcPr>
          <w:p>
            <w:pPr>
              <w:bidi/>
              <w:jc w:val="center"/>
            </w:pPr>
            <w:r>
              <w:rPr>
                <w:rFonts w:ascii="Times New Roman" w:cs="Times New Roman" w:eastAsia="Times New Roman" w:hAnsi="Times New Roman"/>
                <w:b/>
                <w:bCs/>
                <w:sz w:val="24"/>
                <w:szCs w:val="24"/>
              </w:rPr>
              <w:t xml:space="preserve">نيابة الساحل الجزئية لشئون الاسرة               جدول أسرة متنوع               رقم القضية ١٣٦٥ لسنة ٢٠٢٦</w:t>
            </w:r>
          </w:p>
        </w:tc>
      </w:tr>
      <w:tr>
        <w:tc>
          <w:tcPr>
            <w:tcW w:type="pct" w:w="100%"/>
            <w:tcBorders>
              <w:top w:val="single" w:color="000000" w:sz="4"/>
              <w:left w:val="single" w:color="000000" w:sz="8"/>
              <w:bottom w:val="single" w:color="000000" w:sz="6"/>
              <w:right w:val="single" w:color="000000" w:sz="8"/>
            </w:tcBorders>
            <w:shd w:fill="FFFFFF" w:val="clear"/>
            <w:tcMar>
              <w:top w:type="dxa" w:w="60"/>
              <w:left w:type="dxa" w:w="100"/>
              <w:bottom w:type="dxa" w:w="60"/>
              <w:right w:type="dxa" w:w="100"/>
            </w:tcMar>
            <w:vAlign w:val="center"/>
          </w:tcPr>
          <w:p>
            <w:pPr>
              <w:bidi/>
              <w:jc w:val="center"/>
            </w:pPr>
            <w:r>
              <w:rPr>
                <w:rFonts w:ascii="Times New Roman" w:cs="Times New Roman" w:eastAsia="Times New Roman" w:hAnsi="Times New Roman"/>
                <w:b/>
                <w:bCs/>
                <w:sz w:val="24"/>
                <w:szCs w:val="24"/>
              </w:rPr>
              <w:t xml:space="preserve">الرقم الموحد: ٢٢٠٧٢٢٠٢٢١٢٢٥٣٨٦</w:t>
            </w:r>
          </w:p>
        </w:tc>
      </w:tr>
      <w:tr>
        <w:tc>
          <w:tcPr>
            <w:tcW w:type="pct" w:w="33%"/>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bidi/>
              <w:jc w:val="center"/>
            </w:pPr>
            <w:r>
              <w:rPr>
                <w:rFonts w:ascii="Times New Roman" w:cs="Times New Roman" w:eastAsia="Times New Roman" w:hAnsi="Times New Roman"/>
                <w:b/>
                <w:bCs/>
                <w:sz w:val="22"/>
                <w:szCs w:val="22"/>
              </w:rPr>
              <w:t xml:space="preserve">مقدم المستند</w:t>
            </w:r>
          </w:p>
        </w:tc>
        <w:tc>
          <w:tcPr>
            <w:tcW w:type="pct" w:w="33%"/>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bidi/>
              <w:jc w:val="center"/>
            </w:pPr>
            <w:r>
              <w:rPr>
                <w:rFonts w:ascii="Times New Roman" w:cs="Times New Roman" w:eastAsia="Times New Roman" w:hAnsi="Times New Roman"/>
                <w:b/>
                <w:bCs/>
                <w:sz w:val="22"/>
                <w:szCs w:val="22"/>
              </w:rPr>
              <w:t xml:space="preserve">تاريخ تقديم المستند</w:t>
            </w:r>
          </w:p>
        </w:tc>
        <w:tc>
          <w:tcPr>
            <w:tcW w:type="pct" w:w="34%"/>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bidi/>
              <w:jc w:val="center"/>
            </w:pPr>
            <w:r>
              <w:rPr>
                <w:rFonts w:ascii="Times New Roman" w:cs="Times New Roman" w:eastAsia="Times New Roman" w:hAnsi="Times New Roman"/>
                <w:b/>
                <w:bCs/>
                <w:sz w:val="22"/>
                <w:szCs w:val="22"/>
              </w:rPr>
              <w:t xml:space="preserve">نوع المستند</w:t>
            </w:r>
          </w:p>
        </w:tc>
      </w:tr>
      <w:tr>
        <w:tc>
          <w:tcPr>
            <w:tcW w:type="pct" w:w="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bidi/>
              <w:jc w:val="center"/>
            </w:pPr>
            <w:r>
              <w:rPr>
                <w:rFonts w:ascii="Times New Roman" w:cs="Times New Roman" w:eastAsia="Times New Roman" w:hAnsi="Times New Roman"/>
                <w:b/>
                <w:bCs/>
                <w:sz w:val="24"/>
                <w:szCs w:val="24"/>
              </w:rPr>
              <w:t xml:space="preserve">المدعى عليه</w:t>
            </w:r>
          </w:p>
        </w:tc>
        <w:tc>
          <w:tcPr>
            <w:tcW w:type="pct" w:w="3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bidi/>
              <w:jc w:val="center"/>
            </w:pPr>
            <w:r>
              <w:rPr>
                <w:rFonts w:ascii="Times New Roman" w:cs="Times New Roman" w:eastAsia="Times New Roman" w:hAnsi="Times New Roman"/>
                <w:b/>
                <w:bCs/>
                <w:sz w:val="24"/>
                <w:szCs w:val="24"/>
              </w:rPr>
              <w:t xml:space="preserve">جلسة    /    / ٢٠٢٦</w:t>
            </w:r>
          </w:p>
        </w:tc>
        <w:tc>
          <w:tcPr>
            <w:tcW w:type="pct" w:w="34%"/>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bidi/>
              <w:jc w:val="center"/>
            </w:pPr>
            <w:r>
              <w:rPr>
                <w:rFonts w:ascii="Times New Roman" w:cs="Times New Roman" w:eastAsia="Times New Roman" w:hAnsi="Times New Roman"/>
                <w:b/>
                <w:bCs/>
                <w:sz w:val="26"/>
                <w:szCs w:val="26"/>
              </w:rPr>
              <w:t xml:space="preserve">مسودة الحكم</w:t>
            </w:r>
          </w:p>
        </w:tc>
      </w:tr>
      <w:tr>
        <w:tc>
          <w:tcPr>
            <w:tcW w:type="pct" w:w="100%"/>
            <w:tcBorders>
              <w:top w:val="single" w:color="000000" w:sz="6"/>
              <w:left w:val="single" w:color="000000" w:sz="8"/>
              <w:bottom w:val="single" w:color="000000" w:sz="6"/>
              <w:right w:val="single" w:color="000000" w:sz="8"/>
            </w:tcBorders>
            <w:shd w:fill="FFFFFF" w:val="clear"/>
            <w:tcMar>
              <w:top w:type="dxa" w:w="100"/>
              <w:left w:type="dxa" w:w="140"/>
              <w:bottom w:type="dxa" w:w="100"/>
              <w:right w:type="dxa" w:w="140"/>
            </w:tcMar>
            <w:vAlign w:val="center"/>
          </w:tcPr>
          <w:p>
            <w:pPr>
              <w:bidi/>
              <w:spacing w:after="40" w:before="80"/>
              <w:jc w:val="center"/>
            </w:pPr>
            <w:r>
              <w:rPr>
                <w:rFonts w:ascii="Times New Roman" w:cs="Times New Roman" w:eastAsia="Times New Roman" w:hAnsi="Times New Roman"/>
                <w:b/>
                <w:bCs/>
                <w:sz w:val="26"/>
                <w:szCs w:val="26"/>
              </w:rPr>
              <w:t xml:space="preserve">مسودة بأسباب ومنطوق الحكم الصادر في الدعوى رقم ١٣٦٥ لسنة ٢٠٢٦ أسرة الساحل</w:t>
            </w:r>
          </w:p>
          <w:p>
            <w:pPr>
              <w:bidi/>
              <w:spacing w:after="80" w:before="0"/>
              <w:jc w:val="center"/>
            </w:pPr>
            <w:r>
              <w:rPr>
                <w:rFonts w:ascii="Times New Roman" w:cs="Times New Roman" w:eastAsia="Times New Roman" w:hAnsi="Times New Roman"/>
                <w:b/>
                <w:bCs/>
                <w:sz w:val="24"/>
                <w:szCs w:val="24"/>
              </w:rPr>
              <w:t xml:space="preserve">والصادرة بجلسة    /    / ٢٠٢٦ م</w:t>
            </w:r>
          </w:p>
          <w:p>
            <w:pPr>
              <w:bidi/>
              <w:spacing w:after="30" w:before="30" w:line="280"/>
              <w:jc w:val="both"/>
            </w:pPr>
            <w:r>
              <w:rPr>
                <w:rFonts w:ascii="Times New Roman" w:cs="Times New Roman" w:eastAsia="Times New Roman" w:hAnsi="Times New Roman"/>
                <w:b w:val="false"/>
                <w:bCs w:val="false"/>
                <w:color w:val="000000"/>
                <w:sz w:val="24"/>
                <w:szCs w:val="24"/>
              </w:rPr>
              <w:t xml:space="preserve">بعد سماع المرافعة ومطالعة الاوراق وسماع رأي النيابة العامة والمداولة قانوناً ...</w:t>
            </w:r>
          </w:p>
          <w:p>
            <w:pPr>
              <w:bidi/>
              <w:spacing w:after="30" w:before="30" w:line="280"/>
              <w:jc w:val="both"/>
            </w:pPr>
            <w:r>
              <w:rPr>
                <w:rFonts w:ascii="Times New Roman" w:cs="Times New Roman" w:eastAsia="Times New Roman" w:hAnsi="Times New Roman"/>
                <w:b w:val="false"/>
                <w:bCs w:val="false"/>
                <w:color w:val="000000"/>
                <w:sz w:val="24"/>
                <w:szCs w:val="24"/>
              </w:rPr>
              <w:t xml:space="preserve">حيث تـتحصل وقائع الدعوى في أن المدعية أقامتها بموجب صحيفة أودعت قلم كتاب المحكمة بتاريخ    /    / ٢٠٢٦ وأعلنت قانوناً طلباً في ختامها الحكم: «بنقل وإثبات الولاية التعليمية للمدعية على ابنها الصغير (معاذ) ونقلها إليها من المدعى عليه (مبروك نصر سعد البمبي)، مع إلزام المدعى عليه بالمصروفات ومقابل اتعاب المحاماة والنفاذ المعجل».</w:t>
            </w:r>
          </w:p>
          <w:p>
            <w:pPr>
              <w:bidi/>
              <w:spacing w:after="30" w:before="30" w:line="280"/>
              <w:jc w:val="both"/>
            </w:pPr>
            <w:r>
              <w:rPr>
                <w:rFonts w:ascii="Times New Roman" w:cs="Times New Roman" w:eastAsia="Times New Roman" w:hAnsi="Times New Roman"/>
                <w:b w:val="false"/>
                <w:bCs w:val="false"/>
                <w:color w:val="000000"/>
                <w:sz w:val="24"/>
                <w:szCs w:val="24"/>
              </w:rPr>
              <w:t xml:space="preserve">على سند من القول: إن المدعية زوجة للمدعى عليه بصحيح العقد الشرعي ورزقت منه على فراش الزوجية بالصغير (معاذ) وهو في سن التعليم، وزعمت بصحيفة دعواها وجود خلافات أدت إلى تعنت المدعى عليه وإهماله مصلحة الصغير التعليمية، الأمر الذي حدا بها لإقامة دعواها بغية الحكم لها بطلباتها سالفة الذكر.</w:t>
            </w:r>
          </w:p>
          <w:p>
            <w:pPr>
              <w:bidi/>
              <w:spacing w:after="30" w:before="30" w:line="280"/>
              <w:jc w:val="both"/>
            </w:pPr>
            <w:r>
              <w:rPr>
                <w:rFonts w:ascii="Times New Roman" w:cs="Times New Roman" w:eastAsia="Times New Roman" w:hAnsi="Times New Roman"/>
                <w:b w:val="false"/>
                <w:bCs w:val="false"/>
                <w:color w:val="000000"/>
                <w:sz w:val="24"/>
                <w:szCs w:val="24"/>
              </w:rPr>
              <w:t xml:space="preserve">وقدمت سنداً لدعواها حافظة مستندات طالعتها المحكمة وألمت بها أهم ما طويت عليها: صورة ضوئية من وثيقة عقد زواج المدعية من المدعى عليه، وصورة ضوئية من قيد ميلاد الصغير (معاذ)، وما يفيد اللجوء لمكتب تسوية المنازعات الأسرية.</w:t>
            </w:r>
          </w:p>
          <w:p>
            <w:pPr>
              <w:bidi/>
              <w:spacing w:after="30" w:before="30" w:line="280"/>
              <w:jc w:val="both"/>
            </w:pPr>
            <w:r>
              <w:rPr>
                <w:rFonts w:ascii="Times New Roman" w:cs="Times New Roman" w:eastAsia="Times New Roman" w:hAnsi="Times New Roman"/>
                <w:b w:val="false"/>
                <w:bCs w:val="false"/>
                <w:color w:val="000000"/>
                <w:sz w:val="24"/>
                <w:szCs w:val="24"/>
              </w:rPr>
              <w:t xml:space="preserve">وتداولت الدعوى بالجلسات أمام المحكمة ومثل كلا المدعيان بوكيل عنهما محامٍ وقدم المدعى عليه حافظة مستندات طويت على وثيقة عقد الزواج الثابت بها استمرار قيام الرابطة الزوجية، وما يفيد سداد المصروفات المدرسية للصغير (معاذ) وانتظامه بالدراسة، ودفع برفض الدعوى تأسيساً على استمرار العلاقة الزوجية ومساكنة الزوجية وعدم وجود أي إهمال لمصلحة الصغير.</w:t>
            </w:r>
          </w:p>
          <w:p>
            <w:pPr>
              <w:bidi/>
              <w:spacing w:after="30" w:before="30" w:line="280"/>
              <w:jc w:val="both"/>
            </w:pPr>
            <w:r>
              <w:rPr>
                <w:rFonts w:ascii="Times New Roman" w:cs="Times New Roman" w:eastAsia="Times New Roman" w:hAnsi="Times New Roman"/>
                <w:b w:val="false"/>
                <w:bCs w:val="false"/>
                <w:color w:val="000000"/>
                <w:sz w:val="24"/>
                <w:szCs w:val="24"/>
              </w:rPr>
              <w:t xml:space="preserve">وإذ أودع الخبيرين النفسي والاجتماعي تقريراً طالعته المحكمة، والنيابة فوضت الرأي للمحكمة، والمحكمة عرضت الصلح دون جدوى ... وبجلسة المرافعة الأخيرة قررت المحكمة حجز الدعوى للحكم لجلسة اليوم.</w:t>
            </w:r>
          </w:p>
          <w:p>
            <w:pPr>
              <w:bidi/>
              <w:spacing w:after="40" w:before="80"/>
              <w:jc w:val="right"/>
            </w:pPr>
            <w:r>
              <w:rPr>
                <w:rFonts w:ascii="Times New Roman" w:cs="Times New Roman" w:eastAsia="Times New Roman" w:hAnsi="Times New Roman"/>
                <w:b/>
                <w:bCs/>
                <w:sz w:val="26"/>
                <w:szCs w:val="26"/>
                <w:u w:val="single"/>
              </w:rPr>
              <w:t xml:space="preserve">وحيث إنه عن موضوع الدعوى:</w:t>
            </w:r>
          </w:p>
          <w:p>
            <w:pPr>
              <w:bidi/>
              <w:spacing w:after="30" w:before="30" w:line="280"/>
              <w:jc w:val="both"/>
            </w:pPr>
            <w:r>
              <w:rPr>
                <w:rFonts w:ascii="Times New Roman" w:cs="Times New Roman" w:eastAsia="Times New Roman" w:hAnsi="Times New Roman"/>
                <w:b w:val="false"/>
                <w:bCs w:val="false"/>
                <w:color w:val="000000"/>
                <w:sz w:val="24"/>
                <w:szCs w:val="24"/>
              </w:rPr>
              <w:t xml:space="preserve">فلما كان من النص في المادة (٥٤/ فقرة ثانية) من قانون الطفل رقم ١٢ لسنة ١٩٩٦ المعدل بالقانون رقم ١٢٦ لسنة ٢٠٠٨ أنه: «التعليم حق لجميع الأطفال في مدارس الدولة بالمجان... وتكون الولاية التعليمية على الطفل للحاضن، وعند الخلاف على ما يحقق مصلحة الطفل الفضلى يرفع الأمر إلى رئيس محكمة الأسرة بصفته قاضياً للأمور الوقتية ليصدر قراره بأمر على عريضة، مراعياً مدى يسار ولي الأمر، وذلك دون الإخلال بحق الحاضن في الولاية التعليمية».</w:t>
            </w:r>
          </w:p>
          <w:p>
            <w:pPr>
              <w:bidi/>
              <w:spacing w:after="30" w:before="30" w:line="280"/>
              <w:jc w:val="both"/>
            </w:pPr>
            <w:r>
              <w:rPr>
                <w:rFonts w:ascii="Times New Roman" w:cs="Times New Roman" w:eastAsia="Times New Roman" w:hAnsi="Times New Roman"/>
                <w:b w:val="false"/>
                <w:bCs w:val="false"/>
                <w:color w:val="000000"/>
                <w:sz w:val="24"/>
                <w:szCs w:val="24"/>
              </w:rPr>
              <w:t xml:space="preserve">ولما كان من المستقر عليه فقهاً وقضاءً أن الولاية على الصغير — ومنها الولاية التعليمية — تثبت أصلًا للأب بصفته الولي الطبيعي والشرعي والمسئول عن الإنفاق على الصغير وإعداده للحياة، ما دامت رابطة الزوجية قائمة والأسرة مستقرة بمسكن الزوجية المشترك؛ إذ تتكامل رعاية الأبوين للطفل تحت سقف واحد وتندمج واجبات الحضانة والرعاية.</w:t>
            </w:r>
          </w:p>
          <w:p>
            <w:pPr>
              <w:bidi/>
              <w:spacing w:after="30" w:before="30" w:line="280"/>
              <w:jc w:val="both"/>
            </w:pPr>
            <w:r>
              <w:rPr>
                <w:rFonts w:ascii="Times New Roman" w:cs="Times New Roman" w:eastAsia="Times New Roman" w:hAnsi="Times New Roman"/>
                <w:b w:val="false"/>
                <w:bCs w:val="false"/>
                <w:color w:val="000000"/>
                <w:sz w:val="24"/>
                <w:szCs w:val="24"/>
              </w:rPr>
              <w:t xml:space="preserve">وإن ما استحدثه المشرع بنص المادة (٥٤) سالفة البيان بجعل الولاية التعليمية للحاضن، إنما مناطه وغايته التشريعية حالات انفصام عرى الزوجية بالطلاق أو الخلع أو قيام فرقة فعلية مستمرة بين الزوجين واستقلال الحاضنة بمسكن مستقل؛ تيسيراً لشئون المحضون ومنعاً لتعنت ولي الأمر ومكايدته للحاضنة بتعطيل مسار الصغير الدراسي.</w:t>
            </w:r>
          </w:p>
          <w:p>
            <w:pPr>
              <w:bidi/>
              <w:spacing w:after="30" w:before="30" w:line="280"/>
              <w:jc w:val="both"/>
            </w:pPr>
            <w:r>
              <w:rPr>
                <w:rFonts w:ascii="Times New Roman" w:cs="Times New Roman" w:eastAsia="Times New Roman" w:hAnsi="Times New Roman"/>
                <w:b w:val="false"/>
                <w:bCs w:val="false"/>
                <w:color w:val="000000"/>
                <w:sz w:val="24"/>
                <w:szCs w:val="24"/>
              </w:rPr>
              <w:t xml:space="preserve">أما في حالة استمرار قيام الرابطة الزوجية حقيقةً وحكماً ومساكنة الزوجين بمسكن الزوجية؛ فإن الولاية التعليمية تظل ثابتة ومستقرة للأب بقوة القانون ولا تسلب منه إلا إذا ثبت قطعيّاً إهداره لمصلحة الصغير التعليمية أو تقصيره الجسيم فيها على نحو يهدد مستقبله الدراسي.</w:t>
            </w:r>
          </w:p>
          <w:p>
            <w:pPr>
              <w:bidi/>
              <w:spacing w:after="30" w:before="30" w:line="280"/>
              <w:jc w:val="both"/>
            </w:pPr>
            <w:r>
              <w:rPr>
                <w:rFonts w:ascii="Times New Roman" w:cs="Times New Roman" w:eastAsia="Times New Roman" w:hAnsi="Times New Roman"/>
                <w:b w:val="false"/>
                <w:bCs w:val="false"/>
                <w:color w:val="000000"/>
                <w:sz w:val="24"/>
                <w:szCs w:val="24"/>
              </w:rPr>
              <w:t xml:space="preserve">وحيث إنه لما كان ما تقدم، وهدياً به، وكان الثابت للمحكمة من مطالعة سائر أوراق الدعوى ومستنداتها وما حواه تقرير الخبيرين: قيام العلاقة الزوجية بين طرفي التداعي (المدعية والمدعى عليه) واستمرارها شرعاً وقانوناً دون انفصام، واستقرار مساكنة الزوجية، وقد خلت الأوراق تماماً من ثمة دليل يثبت تعنت المدعى عليه أو تقصيره في حق ابنه الصغير (معاذ) أو امتناعه عن سداد نفقاته الدراسية، بل ثبت انتظامه في دراسته وسداد مصروفاته واستقرار مساره التعليمي؛ وكان مجرد حصول خلافات عارضة بين الزوجين لا يسوغ بذاته سلب ولاية الأب التعليمية حال قيام الزوجية لما في ذلك من افتئات على ولايته الطبيعية وقوامته الشرعية؛ ومن ثم تضحى دعوى المدعية قد أقيمت على غير سند صحيح من الواقع أو القانون خليقة بالرفض، وهو ما تقضي به المحكمة على نحو ما سيرد بالمنطوق.</w:t>
            </w:r>
          </w:p>
          <w:p>
            <w:pPr>
              <w:bidi/>
              <w:spacing w:after="30" w:before="30" w:line="280"/>
              <w:jc w:val="both"/>
            </w:pPr>
            <w:r>
              <w:rPr>
                <w:rFonts w:ascii="Times New Roman" w:cs="Times New Roman" w:eastAsia="Times New Roman" w:hAnsi="Times New Roman"/>
                <w:b w:val="false"/>
                <w:bCs w:val="false"/>
                <w:color w:val="000000"/>
                <w:sz w:val="24"/>
                <w:szCs w:val="24"/>
              </w:rPr>
              <w:t xml:space="preserve">وحيث إنه عن المصاريف شاملة اتعاب المحاماة فالمحكمة تلزم بها المدعية عملاً بالمادة (١/١٨٤) من قانون المرافعات والمادة (١/١٨٧) من قانون المحاماة المعدل.</w:t>
            </w:r>
          </w:p>
          <w:p>
            <w:pPr>
              <w:bidi/>
              <w:spacing w:after="40" w:before="80"/>
              <w:jc w:val="center"/>
            </w:pPr>
            <w:r>
              <w:rPr>
                <w:rFonts w:ascii="Times New Roman" w:cs="Times New Roman" w:eastAsia="Times New Roman" w:hAnsi="Times New Roman"/>
                <w:b/>
                <w:bCs/>
                <w:sz w:val="28"/>
                <w:szCs w:val="28"/>
              </w:rPr>
              <w:t xml:space="preserve">فلهذه الأسباب</w:t>
            </w:r>
          </w:p>
          <w:p>
            <w:pPr>
              <w:bidi/>
              <w:spacing w:after="100" w:before="40" w:line="280"/>
              <w:jc w:val="center"/>
            </w:pPr>
            <w:r>
              <w:rPr>
                <w:rFonts w:ascii="Times New Roman" w:cs="Times New Roman" w:eastAsia="Times New Roman" w:hAnsi="Times New Roman"/>
                <w:b/>
                <w:bCs/>
                <w:color w:val="000000"/>
                <w:sz w:val="26"/>
                <w:szCs w:val="26"/>
              </w:rPr>
              <w:t xml:space="preserve">حكمت المحكمة: برفض الدعوى، وألزمت المدعية بالمصاريف ومبلغ خمسة وسبعون جنيهاً مقابل أتعاب المحاماة.</w:t>
            </w:r>
          </w:p>
          <w:p>
            <w:pPr>
              <w:bidi/>
              <w:spacing w:after="40" w:before="100"/>
              <w:jc w:val="center"/>
            </w:pPr>
            <w:r>
              <w:rPr>
                <w:rFonts w:ascii="Times New Roman" w:cs="Times New Roman" w:eastAsia="Times New Roman" w:hAnsi="Times New Roman"/>
                <w:b/>
                <w:bCs/>
                <w:sz w:val="26"/>
                <w:szCs w:val="26"/>
              </w:rPr>
              <w:t xml:space="preserve">رئيس المحكمة</w:t>
            </w:r>
          </w:p>
          <w:p>
            <w:pPr>
              <w:bidi/>
              <w:spacing w:after="40" w:before="0"/>
              <w:jc w:val="center"/>
            </w:pPr>
            <w:r>
              <w:rPr>
                <w:rFonts w:ascii="Times New Roman" w:cs="Times New Roman" w:eastAsia="Times New Roman" w:hAnsi="Times New Roman"/>
                <w:sz w:val="22"/>
                <w:szCs w:val="22"/>
              </w:rPr>
              <w:t xml:space="preserve">( ................................................ )</w:t>
            </w:r>
          </w:p>
        </w:tc>
      </w:tr>
      <w:tr>
        <w:tc>
          <w:tcPr>
            <w:tcW w:type="pct" w:w="100%"/>
            <w:tcBorders>
              <w:top w:val="single" w:color="000000" w:sz="6"/>
              <w:left w:val="single" w:color="000000" w:sz="8"/>
              <w:bottom w:val="single" w:color="000000" w:sz="4"/>
              <w:right w:val="single" w:color="000000" w:sz="8"/>
            </w:tcBorders>
            <w:shd w:fill="FFFFFF" w:val="clear"/>
            <w:tcMar>
              <w:top w:type="dxa" w:w="60"/>
              <w:left w:type="dxa" w:w="100"/>
              <w:bottom w:type="dxa" w:w="60"/>
              <w:right w:type="dxa" w:w="100"/>
            </w:tcMar>
            <w:vAlign w:val="center"/>
          </w:tcPr>
          <w:p>
            <w:pPr>
              <w:bidi/>
              <w:jc w:val="right"/>
            </w:pPr>
            <w:r>
              <w:rPr>
                <w:rFonts w:ascii="Times New Roman" w:cs="Times New Roman" w:eastAsia="Times New Roman" w:hAnsi="Times New Roman"/>
                <w:b/>
                <w:bCs/>
                <w:sz w:val="20"/>
                <w:szCs w:val="20"/>
              </w:rPr>
              <w:t xml:space="preserve">حررت هذه الصورة الرسمية بناء على الطلب بعد سداد الرسوم المقررة وقدرها ٤٥. جنيه بالقسيمة رقم ٦٤٦٦٩٥٧
ومقابل الخدمة الرقمية وقدره ٢٠ جنيها        عدد النسخ  ١        بإجمالي ٢٠ جنيها
بالقسيمة رقم ١٣٠٢٠</w:t>
            </w:r>
          </w:p>
        </w:tc>
      </w:tr>
      <w:tr>
        <w:tc>
          <w:tcPr>
            <w:tcW w:type="pct" w:w="100%"/>
            <w:tcBorders>
              <w:top w:val="single" w:color="000000" w:sz="4"/>
              <w:left w:val="single" w:color="000000" w:sz="8"/>
              <w:bottom w:val="single" w:color="000000" w:sz="8"/>
              <w:right w:val="single" w:color="000000" w:sz="8"/>
            </w:tcBorders>
            <w:shd w:fill="FFFFFF" w:val="clear"/>
            <w:tcMar>
              <w:top w:type="dxa" w:w="60"/>
              <w:left w:type="dxa" w:w="100"/>
              <w:bottom w:type="dxa" w:w="60"/>
              <w:right w:type="dxa" w:w="100"/>
            </w:tcMar>
            <w:vAlign w:val="center"/>
          </w:tcPr>
          <w:p>
            <w:pPr>
              <w:bidi/>
              <w:jc w:val="center"/>
            </w:pPr>
            <w:r>
              <w:rPr>
                <w:rFonts w:ascii="Times New Roman" w:cs="Times New Roman" w:eastAsia="Times New Roman" w:hAnsi="Times New Roman"/>
                <w:b/>
                <w:bCs/>
                <w:sz w:val="22"/>
                <w:szCs w:val="22"/>
              </w:rPr>
              <w:t xml:space="preserve">رئيس القلم                                                    الصور                                                    المحرر</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2026-10-17T18:00:26.069Z</dcterms:created>
  <dcterms:modified xsi:type="dcterms:W3CDTF">2026-10-17T18:00:26.069Z</dcterms:modified>
</cp:coreProperties>
</file>

<file path=docProps/custom.xml><?xml version="1.0" encoding="utf-8"?>
<Properties xmlns="http://schemas.openxmlformats.org/officeDocument/2006/custom-properties" xmlns:vt="http://schemas.openxmlformats.org/officeDocument/2006/docPropsVTypes"/>
</file>