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jc w:val="left"/>
            </w:pPr>
            <w:r>
              <w:drawing>
                <wp:inline distT="0" distB="0" distL="0" distR="0">
                  <wp:extent cx="809625" cy="552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0%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bidi/>
              <w:spacing w:after="0" w:before="40"/>
              <w:jc w:val="center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2"/>
                <w:szCs w:val="22"/>
              </w:rPr>
              <w:t xml:space="preserve">موقع الطباعة: مجمع محاكم الساحل</w:t>
            </w:r>
          </w:p>
        </w:tc>
        <w:tc>
          <w:tcPr>
            <w:tcW w:type="pct" w:w="35%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bidi/>
              <w:spacing w:after="20" w:before="0"/>
              <w:jc w:val="right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3"/>
                <w:szCs w:val="23"/>
              </w:rPr>
              <w:t xml:space="preserve">نيابة شمال القاهرة الكلية لشئون الاسرة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3"/>
                <w:szCs w:val="23"/>
              </w:rPr>
              <w:t xml:space="preserve">نيابة الساحل الجزئية لشئون الاسرة</w:t>
            </w:r>
          </w:p>
        </w:tc>
      </w:tr>
    </w:tbl>
    <w:p>
      <w:pPr>
        <w:bidi/>
        <w:spacing w:after="120" w:before="100"/>
        <w:jc w:val="center"/>
      </w:pPr>
      <w:r>
        <w:rPr>
          <w:rFonts w:ascii="Simplified Arabic" w:cs="Simplified Arabic" w:eastAsia="Simplified Arabic" w:hAnsi="Simplified Arabic"/>
          <w:b/>
          <w:bCs/>
          <w:sz w:val="30"/>
          <w:szCs w:val="30"/>
          <w:u w:val="single"/>
        </w:rPr>
        <w:t xml:space="preserve">صورة رسمية من مستندات القضية</w:t>
      </w:r>
    </w:p>
    <w:p>
      <w:pPr>
        <w:bidi/>
        <w:spacing w:after="30" w:before="30"/>
        <w:jc w:val="right"/>
      </w:pPr>
      <w:r>
        <w:rPr>
          <w:rFonts w:ascii="Simplified Arabic" w:cs="Simplified Arabic" w:eastAsia="Simplified Arabic" w:hAnsi="Simplified Arabic"/>
          <w:b/>
          <w:bCs/>
          <w:sz w:val="25"/>
          <w:szCs w:val="25"/>
        </w:rPr>
        <w:t xml:space="preserve">بناء على الطلب المقدم من/ </w:t>
      </w:r>
      <w:r>
        <w:rPr>
          <w:rFonts w:ascii="Simplified Arabic" w:cs="Simplified Arabic" w:eastAsia="Simplified Arabic" w:hAnsi="Simplified Arabic"/>
          <w:b/>
          <w:bCs/>
          <w:sz w:val="25"/>
          <w:szCs w:val="25"/>
        </w:rPr>
        <w:t xml:space="preserve">مبروك نصر سعد البمبي</w:t>
      </w:r>
    </w:p>
    <w:p>
      <w:pPr>
        <w:bidi/>
        <w:spacing w:after="50" w:before="0"/>
        <w:jc w:val="right"/>
      </w:pPr>
      <w:r>
        <w:rPr>
          <w:rFonts w:ascii="Simplified Arabic" w:cs="Simplified Arabic" w:eastAsia="Simplified Arabic" w:hAnsi="Simplified Arabic"/>
          <w:b/>
          <w:bCs/>
          <w:sz w:val="23"/>
          <w:szCs w:val="23"/>
        </w:rPr>
        <w:t xml:space="preserve">الجنسية/ مصرية</w:t>
      </w:r>
      <w:r>
        <w:rPr>
          <w:rFonts w:ascii="Simplified Arabic" w:cs="Simplified Arabic" w:eastAsia="Simplified Arabic" w:hAnsi="Simplified Arabic"/>
          <w:b/>
          <w:bCs/>
          <w:sz w:val="23"/>
          <w:szCs w:val="23"/>
        </w:rPr>
        <w:t xml:space="preserve">          رقم قومى  28609141701312          </w:t>
      </w:r>
      <w:r>
        <w:rPr>
          <w:rFonts w:ascii="Simplified Arabic" w:cs="Simplified Arabic" w:eastAsia="Simplified Arabic" w:hAnsi="Simplified Arabic"/>
          <w:b/>
          <w:bCs/>
          <w:sz w:val="23"/>
          <w:szCs w:val="23"/>
        </w:rPr>
        <w:t xml:space="preserve">العنوان / شبرا - الساحل - القاهرة</w:t>
      </w:r>
    </w:p>
    <w:p>
      <w:pPr>
        <w:bidi/>
        <w:spacing w:after="30" w:before="40"/>
        <w:jc w:val="right"/>
      </w:pPr>
      <w:r>
        <w:rPr>
          <w:rFonts w:ascii="Simplified Arabic" w:cs="Simplified Arabic" w:eastAsia="Simplified Arabic" w:hAnsi="Simplified Arabic"/>
          <w:b/>
          <w:bCs/>
          <w:sz w:val="24"/>
          <w:szCs w:val="24"/>
        </w:rPr>
        <w:t xml:space="preserve">نيابة الساحل الجزئية لشئون الاسرة</w:t>
      </w:r>
      <w:r>
        <w:rPr>
          <w:rFonts w:ascii="Simplified Arabic" w:cs="Simplified Arabic" w:eastAsia="Simplified Arabic" w:hAnsi="Simplified Arabic"/>
          <w:b/>
          <w:bCs/>
          <w:sz w:val="24"/>
          <w:szCs w:val="24"/>
        </w:rPr>
        <w:t xml:space="preserve">            جدول أسرة متنوع            </w:t>
      </w:r>
      <w:r>
        <w:rPr>
          <w:rFonts w:ascii="Simplified Arabic" w:cs="Simplified Arabic" w:eastAsia="Simplified Arabic" w:hAnsi="Simplified Arabic"/>
          <w:b/>
          <w:bCs/>
          <w:sz w:val="24"/>
          <w:szCs w:val="24"/>
        </w:rPr>
        <w:t xml:space="preserve">رقم القضية  1365  لسنة  2026</w:t>
      </w:r>
    </w:p>
    <w:p>
      <w:pPr>
        <w:bidi/>
        <w:spacing w:after="80" w:before="0"/>
        <w:jc w:val="right"/>
      </w:pPr>
      <w:r>
        <w:rPr>
          <w:rFonts w:ascii="Simplified Arabic" w:cs="Simplified Arabic" w:eastAsia="Simplified Arabic" w:hAnsi="Simplified Arabic"/>
          <w:b/>
          <w:bCs/>
          <w:sz w:val="24"/>
          <w:szCs w:val="24"/>
        </w:rPr>
        <w:t xml:space="preserve">الرقم الموحد  2207220221225386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37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4"/>
                <w:szCs w:val="24"/>
              </w:rPr>
              <w:t xml:space="preserve">مقدم المستند</w:t>
            </w:r>
          </w:p>
        </w:tc>
        <w:tc>
          <w:tcPr>
            <w:tcW w:type="pct" w:w="3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4"/>
                <w:szCs w:val="24"/>
              </w:rPr>
              <w:t xml:space="preserve">تاريخ تقديم المستند</w:t>
            </w:r>
          </w:p>
        </w:tc>
        <w:tc>
          <w:tcPr>
            <w:tcW w:type="pct" w:w="33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4"/>
                <w:szCs w:val="24"/>
              </w:rPr>
              <w:t xml:space="preserve">نوع المستند</w:t>
            </w:r>
          </w:p>
        </w:tc>
      </w:tr>
      <w:tr>
        <w:tc>
          <w:tcPr>
            <w:tcW w:type="pct" w:w="37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spacing w:after="60" w:before="60"/>
              <w:jc w:val="center"/>
            </w:pPr>
            <w:r>
              <w:rPr>
                <w:rFonts w:ascii="Simplified Arabic" w:cs="Simplified Arabic" w:eastAsia="Simplified Arabic" w:hAnsi="Simplified Arabic"/>
                <w:sz w:val="24"/>
                <w:szCs w:val="24"/>
              </w:rPr>
              <w:t xml:space="preserve"> </w:t>
            </w:r>
          </w:p>
        </w:tc>
        <w:tc>
          <w:tcPr>
            <w:tcW w:type="pct" w:w="3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spacing w:after="60" w:before="60"/>
              <w:jc w:val="center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4"/>
                <w:szCs w:val="24"/>
              </w:rPr>
              <w:t xml:space="preserve">2026/06/22</w:t>
            </w:r>
          </w:p>
        </w:tc>
        <w:tc>
          <w:tcPr>
            <w:tcW w:type="pct" w:w="33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spacing w:after="60" w:before="60"/>
              <w:jc w:val="center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4"/>
                <w:szCs w:val="24"/>
              </w:rPr>
              <w:t xml:space="preserve">مسودة الحكم</w:t>
            </w:r>
          </w:p>
        </w:tc>
      </w:tr>
    </w:tbl>
    <w:p>
      <w:pPr>
        <w:spacing w:after="40" w:before="80"/>
      </w:pPr>
    </w:p>
    <w:p>
      <w:pPr>
        <w:bidi/>
        <w:spacing w:after="30" w:before="60"/>
        <w:jc w:val="center"/>
      </w:pPr>
      <w:r>
        <w:rPr>
          <w:rFonts w:ascii="Simplified Arabic" w:cs="Simplified Arabic" w:eastAsia="Simplified Arabic" w:hAnsi="Simplified Arabic"/>
          <w:b/>
          <w:bCs/>
          <w:sz w:val="23"/>
          <w:szCs w:val="23"/>
        </w:rPr>
        <w:t xml:space="preserve">مسودة بأسباب ومنطوق الحكم الصادر في الدعوى رقم ١٣٦٥ لسنة ٢٠٢٦ أسرة الساحل</w:t>
      </w:r>
    </w:p>
    <w:p>
      <w:pPr>
        <w:bidi/>
        <w:spacing w:after="80" w:before="0"/>
        <w:jc w:val="center"/>
      </w:pPr>
      <w:r>
        <w:rPr>
          <w:rFonts w:ascii="Simplified Arabic" w:cs="Simplified Arabic" w:eastAsia="Simplified Arabic" w:hAnsi="Simplified Arabic"/>
          <w:b/>
          <w:bCs/>
          <w:sz w:val="22"/>
          <w:szCs w:val="22"/>
        </w:rPr>
        <w:t xml:space="preserve">والصادرة بجلسة ٢٠٢٦/٦/٢٢</w:t>
      </w:r>
    </w:p>
    <w:p>
      <w:pPr>
        <w:bidi/>
        <w:spacing w:after="40" w:before="40" w:line="260"/>
        <w:jc w:val="both"/>
      </w:pPr>
      <w:r>
        <w:rPr>
          <w:rFonts w:ascii="Simplified Arabic" w:cs="Simplified Arabic" w:eastAsia="Simplified Arabic" w:hAnsi="Simplified Arabic"/>
          <w:b w:val="false"/>
          <w:bCs w:val="false"/>
          <w:sz w:val="22"/>
          <w:szCs w:val="22"/>
        </w:rPr>
        <w:t xml:space="preserve">بعد سماع المرافعة ومطالعة الاوراق وسماع رأي النيابة العامة والمداولة قانونا ...</w:t>
      </w:r>
    </w:p>
    <w:p>
      <w:pPr>
        <w:bidi/>
        <w:spacing w:after="40" w:before="40" w:line="260"/>
        <w:jc w:val="both"/>
      </w:pPr>
      <w:r>
        <w:rPr>
          <w:rFonts w:ascii="Simplified Arabic" w:cs="Simplified Arabic" w:eastAsia="Simplified Arabic" w:hAnsi="Simplified Arabic"/>
          <w:b w:val="false"/>
          <w:bCs w:val="false"/>
          <w:sz w:val="22"/>
          <w:szCs w:val="22"/>
        </w:rPr>
        <w:t xml:space="preserve">حيث تتحصل وقائع الدعوى في أن المدعية أقامتها بموجب صحيفة أودعت قلم كتاب المحكمة بتاريخ ٢٠٢٥/١٢/٢٥ وأعلنت قانوناً للمدعى عليه طلباً في ختامها الحكم بنقل وإسناد الولاية التعليمية على الصغير ( معاذ ) للمدعية مع إلزام المدعى عليه بالمصروفات ومقابل أتعاب المحاماة والنفاذ ... على سند من القول أن المدعى عليه تزوج من المدعية ودخل بها وعاشرها معاشرة الأزواج ورزق منها بالصغير ( معاذ ) ، وعلى إثر خلاف بينهما تركت منزل الزوجية وبرفقتها الصغير ، وامتنعت عن تمكين المدعى عليه من رؤية نجله الصغير ، كما زعمت تعنته في مباشرة شؤونه التعليمية ، الأمر الذي حدا بالمدعية إلى إقامة تلك الدعوى للحكم لها بطلباتها سالفة الذكر . وقدمت سنداً لدعواها حافظة مستندات طالعتها المحكمة وألمت بها طويت على صورة ضوئية من وثيقة عقد زواج المدعية من المدعى عليه ، وصورة ضوئية من قيد ميلاد الصغير ( معاذ ) . وتداول نظر الدعوى بجلسات المرافعة على النحو الثابت بمحاضرها مثلاً خلالها كلٌ بوكيل عنه ، وأودع الخبيرين النفسي والاجتماعي تقريرهما ألمت به المحكمة ، والنيابة فوضت الرأي للمحكمة ، وبجلسة المرافعة الأخيرة قررت المحكمة حجز الدعوى للحكم لجلسة اليوم .</w:t>
      </w:r>
    </w:p>
    <w:p>
      <w:pPr>
        <w:bidi/>
        <w:spacing w:after="40" w:before="40" w:line="276"/>
        <w:jc w:val="right"/>
      </w:pPr>
      <w:r>
        <w:rPr>
          <w:rFonts w:ascii="Simplified Arabic" w:cs="Simplified Arabic" w:eastAsia="Simplified Arabic" w:hAnsi="Simplified Arabic"/>
          <w:b/>
          <w:bCs/>
          <w:sz w:val="22"/>
          <w:szCs w:val="22"/>
          <w:u w:val="single"/>
        </w:rPr>
        <w:t xml:space="preserve">وحيث أنه عن موضوع الدعوى :</w:t>
      </w:r>
    </w:p>
    <w:p>
      <w:pPr>
        <w:bidi/>
        <w:spacing w:after="40" w:before="40" w:line="260"/>
        <w:jc w:val="both"/>
      </w:pPr>
      <w:r>
        <w:rPr>
          <w:rFonts w:ascii="Simplified Arabic" w:cs="Simplified Arabic" w:eastAsia="Simplified Arabic" w:hAnsi="Simplified Arabic"/>
          <w:b w:val="false"/>
          <w:bCs w:val="false"/>
          <w:sz w:val="22"/>
          <w:szCs w:val="22"/>
        </w:rPr>
        <w:t xml:space="preserve">فلما كان النص في المادة ٥٤ من قانون الطفل رقم ١٢ لسنة ١٩٩٦ المعدل بالقانون رقم ١٢٦ لسنة ٢٠٠٨ قد جرى على أنه " التعليم حق لجميع الأطفال ... وتكون الولاية التعليمية على الطفل للحاضن ، وعند الخلاف على ما يحقق مصلحة الطفل الفضلى يرفع أي من ذوي الشأن الأمر إلى رئيس محكمة الأسرة بصفته قاضياً للأمور الوقتية ليصدر قراره بأمر على عريضة ... " . وكان من المقرر قانوناً وفقاً لنص المادة ٢١ من القانون رقم ١ لسنة ٢٠٠٠ وللقواعد العامة المقررة بأحكام محكمة النقض أن الأصل الشرعي والقانوني أن الولاية على الصغير في نفسه وماله – ومنها الولاية التعليمية – ثابتة بحكم القانون للأب بصفته الولي الطبيعي ، وأن إسناد الولاية التعليمية للحاضنة إنما شرع استثناءً في حالات النزاع والانفصال والفرقة الزوجية أو امتناع الأب وتعنته بما يضر بمصلحة الصغير الفضلى .</w:t>
      </w:r>
    </w:p>
    <w:p>
      <w:pPr>
        <w:bidi/>
        <w:spacing w:after="60" w:before="80"/>
        <w:jc w:val="left"/>
      </w:pPr>
      <w:r>
        <w:rPr>
          <w:rFonts w:ascii="Simplified Arabic" w:cs="Simplified Arabic" w:eastAsia="Simplified Arabic" w:hAnsi="Simplified Arabic"/>
          <w:b/>
          <w:bCs/>
          <w:sz w:val="22"/>
          <w:szCs w:val="22"/>
        </w:rPr>
        <w:t xml:space="preserve">تأشيرة القاضي:  م . ح   |   ٢٠٢٦/٦/٢٢</w:t>
      </w:r>
    </w:p>
    <w:tbl>
      <w:tblPr>
        <w:tblW w:type="pct" w:w="100%"/>
        <w:tblBorders>
          <w:top w:val="single" w:color="666666" w:sz="4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10.21.37.114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bidi/>
              <w:spacing w:after="0" w:before="40"/>
              <w:jc w:val="center"/>
            </w:pPr>
            <w:r>
              <w:rPr>
                <w:rFonts w:ascii="Simplified Arabic" w:cs="Simplified Arabic" w:eastAsia="Simplified Arabic" w:hAnsi="Simplified Arabic"/>
                <w:sz w:val="19"/>
                <w:szCs w:val="19"/>
              </w:rPr>
              <w:t xml:space="preserve">رقم الجهاز :        3    من    1  صفحه رقم    جمال الدين عبد النعيم موسى فرغلى</w:t>
            </w:r>
          </w:p>
        </w:tc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2026/07/15 9:47 AM :تاريخ الطباعة</w:t>
            </w:r>
          </w:p>
        </w:tc>
      </w:tr>
    </w:tbl>
    <w:p>
      <w:pPr>
        <w:sectPr>
          <w:pgSz w:w="11906" w:h="16838" w:orient="portrait"/>
          <w:pgMar w:top="720" w:right="720" w:bottom="720" w:left="720" w:header="708" w:footer="708" w:gutter="0"/>
          <w:pgBorders w:offsetFrom="page"/>
          <w:pgNumType/>
          <w:docGrid w:linePitch="360"/>
        </w:sectPr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jc w:val="left"/>
            </w:pPr>
            <w:r>
              <w:drawing>
                <wp:inline distT="0" distB="0" distL="0" distR="0">
                  <wp:extent cx="809625" cy="552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0%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bidi/>
              <w:spacing w:after="0" w:before="40"/>
              <w:jc w:val="center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2"/>
                <w:szCs w:val="22"/>
              </w:rPr>
              <w:t xml:space="preserve">موقع الطباعة: مجمع محاكم الساحل</w:t>
            </w:r>
          </w:p>
        </w:tc>
        <w:tc>
          <w:tcPr>
            <w:tcW w:type="pct" w:w="35%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bidi/>
              <w:spacing w:after="20" w:before="0"/>
              <w:jc w:val="right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3"/>
                <w:szCs w:val="23"/>
              </w:rPr>
              <w:t xml:space="preserve">نيابة شمال القاهرة الكلية لشئون الاسرة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3"/>
                <w:szCs w:val="23"/>
              </w:rPr>
              <w:t xml:space="preserve">نيابة الساحل الجزئية لشئون الاسرة</w:t>
            </w:r>
          </w:p>
        </w:tc>
      </w:tr>
    </w:tbl>
    <w:p>
      <w:pPr>
        <w:bidi/>
        <w:spacing w:after="120" w:before="100"/>
        <w:jc w:val="center"/>
      </w:pPr>
      <w:r>
        <w:rPr>
          <w:rFonts w:ascii="Simplified Arabic" w:cs="Simplified Arabic" w:eastAsia="Simplified Arabic" w:hAnsi="Simplified Arabic"/>
          <w:b/>
          <w:bCs/>
          <w:sz w:val="30"/>
          <w:szCs w:val="30"/>
          <w:u w:val="single"/>
        </w:rPr>
        <w:t xml:space="preserve">تابع صورة رسمية من مستندات القضية</w:t>
      </w:r>
    </w:p>
    <w:p>
      <w:pPr>
        <w:bidi/>
        <w:spacing w:after="30" w:before="40"/>
        <w:jc w:val="right"/>
      </w:pPr>
      <w:r>
        <w:rPr>
          <w:rFonts w:ascii="Simplified Arabic" w:cs="Simplified Arabic" w:eastAsia="Simplified Arabic" w:hAnsi="Simplified Arabic"/>
          <w:b/>
          <w:bCs/>
          <w:sz w:val="24"/>
          <w:szCs w:val="24"/>
        </w:rPr>
        <w:t xml:space="preserve">نيابة الساحل الجزئية لشئون الاسرة</w:t>
      </w:r>
      <w:r>
        <w:rPr>
          <w:rFonts w:ascii="Simplified Arabic" w:cs="Simplified Arabic" w:eastAsia="Simplified Arabic" w:hAnsi="Simplified Arabic"/>
          <w:b/>
          <w:bCs/>
          <w:sz w:val="24"/>
          <w:szCs w:val="24"/>
        </w:rPr>
        <w:t xml:space="preserve">            جدول أسرة متنوع            </w:t>
      </w:r>
      <w:r>
        <w:rPr>
          <w:rFonts w:ascii="Simplified Arabic" w:cs="Simplified Arabic" w:eastAsia="Simplified Arabic" w:hAnsi="Simplified Arabic"/>
          <w:b/>
          <w:bCs/>
          <w:sz w:val="24"/>
          <w:szCs w:val="24"/>
        </w:rPr>
        <w:t xml:space="preserve">رقم القضية  1365  لسنة  2026</w:t>
      </w:r>
    </w:p>
    <w:p>
      <w:pPr>
        <w:bidi/>
        <w:spacing w:after="80" w:before="0"/>
        <w:jc w:val="right"/>
      </w:pPr>
      <w:r>
        <w:rPr>
          <w:rFonts w:ascii="Simplified Arabic" w:cs="Simplified Arabic" w:eastAsia="Simplified Arabic" w:hAnsi="Simplified Arabic"/>
          <w:b/>
          <w:bCs/>
          <w:sz w:val="24"/>
          <w:szCs w:val="24"/>
        </w:rPr>
        <w:t xml:space="preserve">الرقم الموحد  2207220221225386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37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4"/>
                <w:szCs w:val="24"/>
              </w:rPr>
              <w:t xml:space="preserve">مقدم المستند</w:t>
            </w:r>
          </w:p>
        </w:tc>
        <w:tc>
          <w:tcPr>
            <w:tcW w:type="pct" w:w="3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4"/>
                <w:szCs w:val="24"/>
              </w:rPr>
              <w:t xml:space="preserve">تاريخ تقديم المستند</w:t>
            </w:r>
          </w:p>
        </w:tc>
        <w:tc>
          <w:tcPr>
            <w:tcW w:type="pct" w:w="33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spacing w:after="40" w:before="40"/>
              <w:jc w:val="center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4"/>
                <w:szCs w:val="24"/>
              </w:rPr>
              <w:t xml:space="preserve">نوع المستند</w:t>
            </w:r>
          </w:p>
        </w:tc>
      </w:tr>
      <w:tr>
        <w:tc>
          <w:tcPr>
            <w:tcW w:type="pct" w:w="37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spacing w:after="60" w:before="60"/>
              <w:jc w:val="center"/>
            </w:pPr>
            <w:r>
              <w:rPr>
                <w:rFonts w:ascii="Simplified Arabic" w:cs="Simplified Arabic" w:eastAsia="Simplified Arabic" w:hAnsi="Simplified Arabic"/>
                <w:sz w:val="24"/>
                <w:szCs w:val="24"/>
              </w:rPr>
              <w:t xml:space="preserve"> </w:t>
            </w:r>
          </w:p>
        </w:tc>
        <w:tc>
          <w:tcPr>
            <w:tcW w:type="pct" w:w="30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spacing w:after="60" w:before="60"/>
              <w:jc w:val="center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4"/>
                <w:szCs w:val="24"/>
              </w:rPr>
              <w:t xml:space="preserve">2026/06/22</w:t>
            </w:r>
          </w:p>
        </w:tc>
        <w:tc>
          <w:tcPr>
            <w:tcW w:type="pct" w:w="33%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vAlign w:val="center"/>
          </w:tcPr>
          <w:p>
            <w:pPr>
              <w:bidi/>
              <w:spacing w:after="60" w:before="60"/>
              <w:jc w:val="center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4"/>
                <w:szCs w:val="24"/>
              </w:rPr>
              <w:t xml:space="preserve">مسودة الحكم</w:t>
            </w:r>
          </w:p>
        </w:tc>
      </w:tr>
    </w:tbl>
    <w:p>
      <w:pPr>
        <w:spacing w:after="40" w:before="60"/>
      </w:pPr>
    </w:p>
    <w:p>
      <w:pPr>
        <w:bidi/>
        <w:spacing w:after="40" w:before="40" w:line="260"/>
        <w:jc w:val="both"/>
      </w:pPr>
      <w:r>
        <w:rPr>
          <w:rFonts w:ascii="Simplified Arabic" w:cs="Simplified Arabic" w:eastAsia="Simplified Arabic" w:hAnsi="Simplified Arabic"/>
          <w:b w:val="false"/>
          <w:bCs w:val="false"/>
          <w:sz w:val="22"/>
          <w:szCs w:val="22"/>
        </w:rPr>
        <w:t xml:space="preserve">وحيث أنه بالبناء على ما تقدم ، وكان الثابت للمحكمة من مطالعة سائر أوراق الدعوى ومستنداتها وما دار بشأنها بجلسات المرافعة ، قيام العلاقة الزوجية ومساكنة الزوجية بين طرفي التداعي ( المدعية والمدعى عليه ) واستمرار رابطة الزوجية قائمة حقيقة وواقعاً بينهما حتى تاريخه ، ولم تقدم المدعية بالأوراق ثمة ما يفيد وقوع الطلاق أو انفصام عرى الزوجية أو وجود حكم قضائي بالفرقة بينهما ، كما خلت أوراق الدعوى ومستنداتها من ثمة دليل يقطع بتعنت المدعى عليه أو امتناعه أو إساءة استعماله لحق الولاية التعليمية المقرر له قانوناً وشرعاً على نجله الصغير ( معاذ ) ، أو امتناعه عن قيده بالمدارس المناسبة أو سداد مصروفاته الدراسية ، بل الثابت قيامه بواجبه الأبوي والتعليمي على الوجه الأكمل وحرصه التام على مصلحة نجله الفضلى ، ومن ثم تنتفي علة ومناط سلب أو نقل الولاية التعليمية من الأب صاحب الحق الأصيل الطبيعي والشرعي والقانوني ، الأمر الذي تكون معه دعوى المدعية قد أقيمت على غير سند صحيح من الواقع والقانون خليقة بالرفض ، وهو ما تقضي به المحكمة على نحو ما سيرد بالمنطوق .</w:t>
      </w:r>
    </w:p>
    <w:p>
      <w:pPr>
        <w:bidi/>
        <w:spacing w:after="40" w:before="40" w:line="260"/>
        <w:jc w:val="both"/>
      </w:pPr>
      <w:r>
        <w:rPr>
          <w:rFonts w:ascii="Simplified Arabic" w:cs="Simplified Arabic" w:eastAsia="Simplified Arabic" w:hAnsi="Simplified Arabic"/>
          <w:b w:val="false"/>
          <w:bCs w:val="false"/>
          <w:sz w:val="22"/>
          <w:szCs w:val="22"/>
        </w:rPr>
        <w:t xml:space="preserve">وحيث أنه وعن طلب النفاذ المعجل فالمحكمة ترى لا موجب له ومن ثم ترفضه مكتفية بايراد ذلك بالاسباب دون النص عليه بالمنطوق .</w:t>
      </w:r>
    </w:p>
    <w:p>
      <w:pPr>
        <w:bidi/>
        <w:spacing w:after="40" w:before="40" w:line="260"/>
        <w:jc w:val="both"/>
      </w:pPr>
      <w:r>
        <w:rPr>
          <w:rFonts w:ascii="Simplified Arabic" w:cs="Simplified Arabic" w:eastAsia="Simplified Arabic" w:hAnsi="Simplified Arabic"/>
          <w:b w:val="false"/>
          <w:bCs w:val="false"/>
          <w:sz w:val="22"/>
          <w:szCs w:val="22"/>
        </w:rPr>
        <w:t xml:space="preserve">وحيث أنه عن المصاريف شاملة اتعاب المحاماة فالمحكمة تلزم بها المدعية عملا بالمادة ١/١٨٤ من قانون المرافعات والمادة ١/١٨٧ من قانون المحاماة المعدل .</w:t>
      </w:r>
    </w:p>
    <w:p>
      <w:pPr>
        <w:bidi/>
        <w:spacing w:after="60" w:before="100"/>
        <w:jc w:val="center"/>
      </w:pPr>
      <w:r>
        <w:rPr>
          <w:rFonts w:ascii="Simplified Arabic" w:cs="Simplified Arabic" w:eastAsia="Simplified Arabic" w:hAnsi="Simplified Arabic"/>
          <w:b/>
          <w:bCs/>
          <w:sz w:val="26"/>
          <w:szCs w:val="26"/>
          <w:u w:val="single"/>
        </w:rPr>
        <w:t xml:space="preserve">فلهذه الاسباب</w:t>
      </w:r>
    </w:p>
    <w:p>
      <w:pPr>
        <w:bidi/>
        <w:spacing w:after="120" w:before="60"/>
        <w:jc w:val="center"/>
      </w:pPr>
      <w:r>
        <w:rPr>
          <w:rFonts w:ascii="Simplified Arabic" w:cs="Simplified Arabic" w:eastAsia="Simplified Arabic" w:hAnsi="Simplified Arabic"/>
          <w:b/>
          <w:bCs/>
          <w:sz w:val="25"/>
          <w:szCs w:val="25"/>
        </w:rPr>
        <w:t xml:space="preserve">حكمت المحكمة : برفض الدعوى ، وألزمت المدعية بالمصاريف ومبلغ خمسة وسبعون جنيهاً مقابل أتعاب المحاماة .</w:t>
      </w:r>
    </w:p>
    <w:p>
      <w:pPr>
        <w:bidi/>
        <w:spacing w:after="40" w:before="120"/>
        <w:jc w:val="left"/>
      </w:pPr>
      <w:r>
        <w:rPr>
          <w:rFonts w:ascii="Simplified Arabic" w:cs="Simplified Arabic" w:eastAsia="Simplified Arabic" w:hAnsi="Simplified Arabic"/>
          <w:b/>
          <w:bCs/>
          <w:sz w:val="25"/>
          <w:szCs w:val="25"/>
        </w:rPr>
        <w:t xml:space="preserve">رئيس المحكمة</w:t>
      </w:r>
    </w:p>
    <w:p>
      <w:pPr>
        <w:bidi/>
        <w:spacing w:after="40" w:before="20"/>
        <w:jc w:val="left"/>
      </w:pPr>
      <w:r>
        <w:rPr>
          <w:rFonts w:ascii="Simplified Arabic" w:cs="Simplified Arabic" w:eastAsia="Simplified Arabic" w:hAnsi="Simplified Arabic"/>
          <w:sz w:val="24"/>
          <w:szCs w:val="24"/>
        </w:rPr>
        <w:t xml:space="preserve">القاضي / ........................................</w:t>
      </w:r>
    </w:p>
    <w:p>
      <w:pPr>
        <w:bidi/>
        <w:spacing w:after="140" w:before="20"/>
        <w:jc w:val="left"/>
      </w:pPr>
      <w:r>
        <w:rPr>
          <w:rFonts w:ascii="Simplified Arabic" w:cs="Simplified Arabic" w:eastAsia="Simplified Arabic" w:hAnsi="Simplified Arabic"/>
          <w:sz w:val="22"/>
          <w:szCs w:val="22"/>
        </w:rPr>
        <w:t xml:space="preserve">التوقيع: ............................  ( ٢٠٢٦/٦/٢٢ )</w:t>
      </w:r>
    </w:p>
    <w:tbl>
      <w:tblPr>
        <w:tblW w:type="pct" w:w="100%"/>
        <w:tblBorders>
          <w:top w:val="single" w:color="666666" w:sz="4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10.21.37.114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bidi/>
              <w:spacing w:after="0" w:before="40"/>
              <w:jc w:val="center"/>
            </w:pPr>
            <w:r>
              <w:rPr>
                <w:rFonts w:ascii="Simplified Arabic" w:cs="Simplified Arabic" w:eastAsia="Simplified Arabic" w:hAnsi="Simplified Arabic"/>
                <w:sz w:val="19"/>
                <w:szCs w:val="19"/>
              </w:rPr>
              <w:t xml:space="preserve">رقم الجهاز :        3    من    2  صفحه رقم    جمال الدين عبد النعيم موسى فرغلى</w:t>
            </w:r>
          </w:p>
        </w:tc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2026/07/15 9:47 AM :تاريخ الطباعة</w:t>
            </w:r>
          </w:p>
        </w:tc>
      </w:tr>
    </w:tbl>
    <w:p>
      <w:pPr>
        <w:sectPr>
          <w:pgSz w:w="11906" w:h="16838" w:orient="portrait"/>
          <w:pgMar w:top="720" w:right="720" w:bottom="720" w:left="720" w:header="708" w:footer="708" w:gutter="0"/>
          <w:pgBorders w:offsetFrom="page"/>
          <w:pgNumType/>
          <w:docGrid w:linePitch="360"/>
        </w:sectPr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jc w:val="left"/>
            </w:pPr>
            <w:r>
              <w:drawing>
                <wp:inline distT="0" distB="0" distL="0" distR="0">
                  <wp:extent cx="809625" cy="552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0%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bidi/>
              <w:spacing w:after="0" w:before="40"/>
              <w:jc w:val="center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2"/>
                <w:szCs w:val="22"/>
              </w:rPr>
              <w:t xml:space="preserve">موقع الطباعة: مجمع محاكم الساحل</w:t>
            </w:r>
          </w:p>
        </w:tc>
        <w:tc>
          <w:tcPr>
            <w:tcW w:type="pct" w:w="35%"/>
            <w:tcBorders>
              <w:top w:val="none"/>
              <w:left w:val="none"/>
              <w:bottom w:val="none"/>
              <w:right w:val="none"/>
            </w:tcBorders>
            <w:vAlign w:val="top"/>
          </w:tcPr>
          <w:p>
            <w:pPr>
              <w:bidi/>
              <w:spacing w:after="20" w:before="0"/>
              <w:jc w:val="right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3"/>
                <w:szCs w:val="23"/>
              </w:rPr>
              <w:t xml:space="preserve">نيابة شمال القاهرة الكلية لشئون الاسرة</w:t>
            </w:r>
          </w:p>
          <w:p>
            <w:pPr>
              <w:bidi/>
              <w:spacing w:after="0" w:before="0"/>
              <w:jc w:val="right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3"/>
                <w:szCs w:val="23"/>
              </w:rPr>
              <w:t xml:space="preserve">نيابة الساحل الجزئية لشئون الاسرة</w:t>
            </w:r>
          </w:p>
        </w:tc>
      </w:tr>
    </w:tbl>
    <w:p>
      <w:pPr>
        <w:bidi/>
        <w:spacing w:after="120" w:before="100"/>
        <w:jc w:val="center"/>
      </w:pPr>
      <w:r>
        <w:rPr>
          <w:rFonts w:ascii="Simplified Arabic" w:cs="Simplified Arabic" w:eastAsia="Simplified Arabic" w:hAnsi="Simplified Arabic"/>
          <w:b/>
          <w:bCs/>
          <w:sz w:val="30"/>
          <w:szCs w:val="30"/>
          <w:u w:val="single"/>
        </w:rPr>
        <w:t xml:space="preserve">تابع صورة رسمية من مستندات القضية</w:t>
      </w:r>
    </w:p>
    <w:p>
      <w:pPr>
        <w:spacing w:after="60" w:before="60"/>
      </w:pPr>
    </w:p>
    <w:tbl>
      <w:tblPr>
        <w:tblW w:type="pct" w:w="100%"/>
        <w:tblBorders>
          <w:top w:val="single" w:color="000000" w:sz="10"/>
          <w:left w:val="single" w:color="000000" w:sz="10"/>
          <w:bottom w:val="single" w:color="000000" w:sz="10"/>
          <w:right w:val="single" w:color="000000" w:sz="10"/>
          <w:insideH w:val="none"/>
          <w:insideV w:val="none"/>
        </w:tblBorders>
      </w:tblPr>
      <w:tblGrid>
        <w:gridCol w:w="100"/>
      </w:tblGrid>
      <w:tr>
        <w:tc>
          <w:tcPr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</w:tcPr>
          <w:p>
            <w:pPr>
              <w:bidi/>
              <w:spacing w:after="40" w:before="80"/>
              <w:jc w:val="right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4"/>
                <w:szCs w:val="24"/>
              </w:rPr>
              <w:t xml:space="preserve">حررت هذه الصورة الرسمية بناء على الطلب بعد سداد الرسوم المقررة وقدرها  45.  جنيه بالقسيمة رقم  6466957</w:t>
            </w:r>
          </w:p>
          <w:p>
            <w:pPr>
              <w:bidi/>
              <w:spacing w:after="40" w:before="20"/>
              <w:jc w:val="right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4"/>
                <w:szCs w:val="24"/>
              </w:rPr>
              <w:t xml:space="preserve">ومقابل الخدمة الرقمية وقدره  20  جنيها          عدد النسخ  1          بإجمالي  20  جنيها</w:t>
            </w:r>
          </w:p>
          <w:p>
            <w:pPr>
              <w:bidi/>
              <w:spacing w:after="60" w:before="0"/>
              <w:jc w:val="right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4"/>
                <w:szCs w:val="24"/>
              </w:rPr>
              <w:t xml:space="preserve">بالقسيمة رقم  13020</w:t>
            </w:r>
          </w:p>
          <w:p>
            <w:pPr>
              <w:bidi/>
              <w:spacing w:after="80" w:before="60"/>
              <w:jc w:val="right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4"/>
                <w:szCs w:val="24"/>
              </w:rPr>
              <w:t xml:space="preserve">وقيدت برقم صور  2026-2516          بتاريخ  2026/07/15          رقم طلب الاستخراج  2026/9798</w:t>
            </w:r>
          </w:p>
        </w:tc>
      </w:tr>
    </w:tbl>
    <w:p>
      <w:pPr>
        <w:spacing w:after="60" w:before="8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bidi/>
              <w:spacing w:after="40" w:before="80"/>
              <w:jc w:val="center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5"/>
                <w:szCs w:val="25"/>
              </w:rPr>
              <w:t xml:space="preserve">رئيس القلم</w:t>
            </w:r>
          </w:p>
          <w:p>
            <w:pPr>
              <w:spacing w:after="40" w:before="40"/>
              <w:jc w:val="center"/>
            </w:pPr>
            <w:r>
              <w:rPr>
                <w:rFonts w:ascii="Simplified Arabic" w:cs="Simplified Arabic" w:eastAsia="Simplified Arabic" w:hAnsi="Simplified Arabic"/>
                <w:sz w:val="24"/>
                <w:szCs w:val="24"/>
              </w:rPr>
              <w:t xml:space="preserve">........................</w:t>
            </w:r>
          </w:p>
        </w:tc>
        <w:tc>
          <w:tcPr>
            <w:tcW w:type="pct" w:w="34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bidi/>
              <w:spacing w:after="40" w:before="80"/>
              <w:jc w:val="center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5"/>
                <w:szCs w:val="25"/>
              </w:rPr>
              <w:t xml:space="preserve">الصور</w:t>
            </w:r>
          </w:p>
          <w:p>
            <w:pPr>
              <w:spacing w:after="40" w:before="40"/>
              <w:jc w:val="center"/>
            </w:pPr>
            <w:r>
              <w:rPr>
                <w:rFonts w:ascii="Simplified Arabic" w:cs="Simplified Arabic" w:eastAsia="Simplified Arabic" w:hAnsi="Simplified Arabic"/>
                <w:sz w:val="24"/>
                <w:szCs w:val="24"/>
              </w:rPr>
              <w:t xml:space="preserve">........................</w:t>
            </w:r>
          </w:p>
        </w:tc>
        <w:tc>
          <w:tcPr>
            <w:tcW w:type="pct" w:w="33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bidi/>
              <w:spacing w:after="40" w:before="80"/>
              <w:jc w:val="center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5"/>
                <w:szCs w:val="25"/>
              </w:rPr>
              <w:t xml:space="preserve">المحرر</w:t>
            </w:r>
          </w:p>
          <w:p>
            <w:pPr>
              <w:bidi/>
              <w:spacing w:after="40" w:before="20"/>
              <w:jc w:val="center"/>
            </w:pPr>
            <w:r>
              <w:rPr>
                <w:rFonts w:ascii="Simplified Arabic" w:cs="Simplified Arabic" w:eastAsia="Simplified Arabic" w:hAnsi="Simplified Arabic"/>
                <w:b/>
                <w:bCs/>
                <w:sz w:val="23"/>
                <w:szCs w:val="23"/>
              </w:rPr>
              <w:t xml:space="preserve">جمال الدين عبد النعيم موسى فرغلى</w:t>
            </w:r>
          </w:p>
        </w:tc>
      </w:tr>
    </w:tbl>
    <w:p>
      <w:pPr>
        <w:spacing w:after="100" w:before="2500"/>
      </w:pPr>
    </w:p>
    <w:tbl>
      <w:tblPr>
        <w:tblW w:type="pct" w:w="100%"/>
        <w:tblBorders>
          <w:top w:val="single" w:color="666666" w:sz="4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10.21.37.114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bidi/>
              <w:spacing w:after="0" w:before="40"/>
              <w:jc w:val="center"/>
            </w:pPr>
            <w:r>
              <w:rPr>
                <w:rFonts w:ascii="Simplified Arabic" w:cs="Simplified Arabic" w:eastAsia="Simplified Arabic" w:hAnsi="Simplified Arabic"/>
                <w:sz w:val="19"/>
                <w:szCs w:val="19"/>
              </w:rPr>
              <w:t xml:space="preserve">رقم الجهاز :        3    من    3  صفحه رقم    جمال الدين عبد النعيم موسى فرغلى</w:t>
            </w:r>
          </w:p>
        </w:tc>
        <w:tc>
          <w:tcPr>
            <w:tcW w:type="pct" w:w="2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40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2026/07/15 9:47 AM :تاريخ الطباعة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Borders w:offsetFrom="page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c63b082b91d7f32f2a68d9ad893bef91324e3db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2026-10-17T18:17:01.655Z</dcterms:created>
  <dcterms:modified xsi:type="dcterms:W3CDTF">2026-10-17T18:17:01.656Z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