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bidi/>
        <w:spacing w:after="140" w:before="80"/>
        <w:jc w:val="right"/>
      </w:pPr>
      <w:r>
        <w:rPr>
          <w:rFonts w:ascii="Times New Roman" w:cs="Times New Roman" w:eastAsia="Times New Roman" w:hAnsi="Times New Roman"/>
          <w:b/>
          <w:bCs/>
          <w:color w:val="000000"/>
          <w:sz w:val="26"/>
          <w:szCs w:val="26"/>
          <w:rtl/>
        </w:rPr>
        <w:t xml:space="preserve">مديرية الزراعة بالإسكندرية
الإدارة القانونية</w:t>
      </w:r>
    </w:p>
    <w:p>
      <w:pPr>
        <w:bidi/>
        <w:spacing w:after="60" w:before="80"/>
        <w:jc w:val="center"/>
      </w:pPr>
      <w:r>
        <w:rPr>
          <w:rFonts w:ascii="Times New Roman" w:cs="Times New Roman" w:eastAsia="Times New Roman" w:hAnsi="Times New Roman"/>
          <w:b/>
          <w:bCs/>
          <w:color w:val="000000"/>
          <w:sz w:val="38"/>
          <w:szCs w:val="38"/>
          <w:rtl/>
        </w:rPr>
        <w:t xml:space="preserve">مذكرة بالرأي القانوني والتأصيل التشريعي</w:t>
      </w:r>
    </w:p>
    <w:p>
      <w:pPr>
        <w:bidi/>
        <w:spacing w:after="240"/>
        <w:jc w:val="center"/>
      </w:pPr>
      <w:r>
        <w:rPr>
          <w:rFonts w:ascii="Times New Roman" w:cs="Times New Roman" w:eastAsia="Times New Roman" w:hAnsi="Times New Roman"/>
          <w:b/>
          <w:bCs/>
          <w:color w:val="000000"/>
          <w:sz w:val="26"/>
          <w:szCs w:val="26"/>
          <w:rtl/>
        </w:rPr>
        <w:t xml:space="preserve">دراسة الإدارة القانونية لكتاب مديرية التنظيم والإدارة بالإسكندرية رقم ص.م 1561 لسنة 2026
بشأن ضوابط وتكرار إجازة رعاية الطفل للموظفة / إلهام شهاب فرج في ضوء أحكام قانون الخدمة المدنية ولائحته وقانون الطفل وقضاء مجلس الدولة</w:t>
      </w:r>
    </w:p>
    <w:p>
      <w:pPr>
        <w:bidi/>
        <w:spacing w:after="120" w:before="240"/>
        <w:jc w:val="right"/>
      </w:pPr>
      <w:r>
        <w:rPr>
          <w:rFonts w:ascii="Times New Roman" w:cs="Times New Roman" w:eastAsia="Times New Roman" w:hAnsi="Times New Roman"/>
          <w:b/>
          <w:bCs/>
          <w:color w:val="000000"/>
          <w:sz w:val="34"/>
          <w:szCs w:val="34"/>
          <w:rtl/>
        </w:rPr>
        <w:t xml:space="preserve">أولاً / التسلسل الزمني والمستندي للنزاع وواقعة «الإجازة التاسعة»</w:t>
      </w:r>
    </w:p>
    <w:p>
      <w:pPr>
        <w:bidi/>
        <w:spacing w:after="60" w:before="60" w:line="360"/>
        <w:jc w:val="both"/>
      </w:pPr>
      <w:r>
        <w:rPr>
          <w:rFonts w:ascii="Times New Roman" w:cs="Times New Roman" w:eastAsia="Times New Roman" w:hAnsi="Times New Roman"/>
          <w:b w:val="false"/>
          <w:bCs w:val="false"/>
          <w:color w:val="000000"/>
          <w:sz w:val="32"/>
          <w:szCs w:val="32"/>
          <w:rtl/>
        </w:rPr>
        <w:t xml:space="preserve">السيد المهندس / وكيل الوزارة — مدير مديرية الزراعة بالإسكندرية</w:t>
      </w:r>
    </w:p>
    <w:p>
      <w:pPr>
        <w:bidi/>
        <w:spacing w:after="60" w:before="60" w:line="360"/>
        <w:jc w:val="both"/>
      </w:pPr>
      <w:r>
        <w:rPr>
          <w:rFonts w:ascii="Times New Roman" w:cs="Times New Roman" w:eastAsia="Times New Roman" w:hAnsi="Times New Roman"/>
          <w:b w:val="false"/>
          <w:bCs w:val="false"/>
          <w:color w:val="000000"/>
          <w:sz w:val="32"/>
          <w:szCs w:val="32"/>
          <w:rtl/>
        </w:rPr>
        <w:t xml:space="preserve">تحية تقدير وإعزاز لشخصكم الكريم وبعد،،،</w:t>
      </w:r>
    </w:p>
    <w:p>
      <w:pPr>
        <w:bidi/>
        <w:spacing w:after="60" w:before="60" w:line="360"/>
        <w:jc w:val="both"/>
      </w:pPr>
      <w:r>
        <w:rPr>
          <w:rFonts w:ascii="Times New Roman" w:cs="Times New Roman" w:eastAsia="Times New Roman" w:hAnsi="Times New Roman"/>
          <w:b w:val="false"/>
          <w:bCs w:val="false"/>
          <w:color w:val="000000"/>
          <w:sz w:val="32"/>
          <w:szCs w:val="32"/>
          <w:rtl/>
        </w:rPr>
        <w:t xml:space="preserve">تتشرف الإدارة العامة للشئون القانونية بأن ترفع لمعاليكم هذه المذكرة القانونية والتأصيلية المتكاملة، في إطار دراسة وفحص كتاب مديرية التنظيم والإدارة بالإسكندرية (الإدارة العامة للخدمة المدنية - إدارة الاستفسارات والفتاوى) رقم ص.م 1561 المؤرخ 17/9/2026، والوارد لمديريتنا برقم 2863 بتاريخ 22/9/2026، والمشفوع بالرأي الصادر عن الإدارة المركزية للدعم التشريعي والخدمة المدنية بالجهاز المركزي للتنظيم والإدارة برقم 273 المؤرخ 8/9/2026.</w:t>
      </w:r>
    </w:p>
    <w:p>
      <w:pPr>
        <w:bidi/>
        <w:spacing w:after="60" w:before="60" w:line="360"/>
        <w:jc w:val="both"/>
      </w:pPr>
      <w:r>
        <w:rPr>
          <w:rFonts w:ascii="Times New Roman" w:cs="Times New Roman" w:eastAsia="Times New Roman" w:hAnsi="Times New Roman"/>
          <w:b w:val="false"/>
          <w:bCs w:val="false"/>
          <w:color w:val="000000"/>
          <w:sz w:val="32"/>
          <w:szCs w:val="32"/>
          <w:rtl/>
        </w:rPr>
        <w:t xml:space="preserve">والمتعلق بالطلب المقدم من السيدة / إلهام شهاب فرج — الموظفة بمديرية الزراعة بالإسكندرية — والتي تلتمس فيه منحها إجازة خاصة بدون مرتب لرعاية طفلها لمدة ثلاثة أشهر، وهو الطلب الذي يمثل في واقعه الإجازة رقم (9) لها بعد أن سبق وحصلت على عدد ثماني (8) إجازات رعاية طفل سابقة بموجب قرارات إدارية منفصلة ومتعاقبة.</w:t>
      </w:r>
    </w:p>
    <w:p>
      <w:pPr>
        <w:bidi/>
        <w:spacing w:after="60" w:before="60" w:line="360"/>
        <w:jc w:val="both"/>
      </w:pPr>
      <w:r>
        <w:rPr>
          <w:rFonts w:ascii="Times New Roman" w:cs="Times New Roman" w:eastAsia="Times New Roman" w:hAnsi="Times New Roman"/>
          <w:b w:val="false"/>
          <w:bCs w:val="false"/>
          <w:color w:val="000000"/>
          <w:sz w:val="32"/>
          <w:szCs w:val="32"/>
          <w:rtl/>
        </w:rPr>
        <w:t xml:space="preserve">وقد خلص كتاب مديرية التنظيم والإدارة الموقر إلى الإفادة بما ارتآه الجهاز من: «أنه ليس هناك ما يمنع قانوناً من تكرار منح الموظفة تلك الإجازة لعدة مرات ولو جاوزت ثلاث مرات طالما لم تستنفد مدة الست سنوات»، مع التفضل بالإشارة إلى تقدير حد أدنى للإجازة بثلاثة أشهر على الأقل، واختتام الكتاب بالتوجيه الكريم بموافاة الجهاز برأي إدارة الفتوى والتشريع بمجلس الدولة عند وروده.</w:t>
      </w:r>
    </w:p>
    <w:p>
      <w:pPr>
        <w:bidi/>
        <w:spacing w:after="60" w:before="60" w:line="360"/>
        <w:jc w:val="both"/>
      </w:pPr>
      <w:r>
        <w:rPr>
          <w:rFonts w:ascii="Times New Roman" w:cs="Times New Roman" w:eastAsia="Times New Roman" w:hAnsi="Times New Roman"/>
          <w:b w:val="false"/>
          <w:bCs w:val="false"/>
          <w:color w:val="000000"/>
          <w:sz w:val="32"/>
          <w:szCs w:val="32"/>
          <w:rtl/>
        </w:rPr>
        <w:t xml:space="preserve">وانطلاقاً من واجب الإدارة القانونية الأصيل في إحكام الرقابة على المشروعية الإدارية، وصون المصلحة العامة، وحسن تسيير المرافق الزراعية الحيوية بمحافظة الإسكندرية، وضمان سلامة أوجه الصرف المالي والاشتراكات التأمينية؛ فإننا نتشرف بأن نبسط أمام بصر معاليكم دراسة قانونية موضوعية متجردة، تشرح أبعاد هذا الموضوع في ضوء أحكام قانون الخدمة المدنية رقم 81 لسنة 2016 ولائحته التنفيذية، وقانون الطفل رقم 12 لسنة 1996 وتعديلاته بالقانون 126 لسنة 2008، وقضاء المحكمة الإدارية العليا المستقر، مع عرض التوصيات الإجرائية اللازمة في هذا الشأن:</w:t>
      </w:r>
    </w:p>
    <w:p>
      <w:pPr>
        <w:bidi/>
        <w:spacing w:after="60" w:before="60" w:line="360"/>
        <w:jc w:val="both"/>
      </w:pPr>
      <w:r>
        <w:rPr>
          <w:rFonts w:ascii="Times New Roman" w:cs="Times New Roman" w:eastAsia="Times New Roman" w:hAnsi="Times New Roman"/>
          <w:b w:val="false"/>
          <w:bCs w:val="false"/>
          <w:color w:val="000000"/>
          <w:sz w:val="32"/>
          <w:szCs w:val="32"/>
          <w:rtl/>
        </w:rPr>
        <w:t xml:space="preserve">وتتلخص وقائع النزاع وتفاصيل الملف الوظيفي للموظفة المذكورة في العناصر الموضوعية الآتية:</w:t>
      </w:r>
    </w:p>
    <w:p>
      <w:pPr>
        <w:bidi/>
        <w:spacing w:after="60" w:before="60" w:line="360"/>
        <w:jc w:val="both"/>
      </w:pPr>
      <w:r>
        <w:rPr>
          <w:rFonts w:ascii="Times New Roman" w:cs="Times New Roman" w:eastAsia="Times New Roman" w:hAnsi="Times New Roman"/>
          <w:b w:val="false"/>
          <w:bCs w:val="false"/>
          <w:color w:val="000000"/>
          <w:sz w:val="32"/>
          <w:szCs w:val="32"/>
          <w:rtl/>
        </w:rPr>
        <w:t xml:space="preserve">1. السيدة / إلهام شهاب فرج، معينة بإحدى الوظائف التخصصية بمديرية الزراعة بالإسكندرية وخاضعة لأحكام قانون الخدمة المدنية رقم 81 لسنة 2016 ولائحته التنفيذية وقانون الطفل رقم 12 لسنة 1996 وتعديلاته.</w:t>
      </w:r>
    </w:p>
    <w:p>
      <w:pPr>
        <w:bidi/>
        <w:spacing w:after="60" w:before="60" w:line="360"/>
        <w:jc w:val="both"/>
      </w:pPr>
      <w:r>
        <w:rPr>
          <w:rFonts w:ascii="Times New Roman" w:cs="Times New Roman" w:eastAsia="Times New Roman" w:hAnsi="Times New Roman"/>
          <w:b w:val="false"/>
          <w:bCs w:val="false"/>
          <w:color w:val="000000"/>
          <w:sz w:val="32"/>
          <w:szCs w:val="32"/>
          <w:rtl/>
        </w:rPr>
        <w:t xml:space="preserve">2. بالرجوع إلى السجل التاريخي والملف الوظيفي للمذكورة بإدارة الموارد البشرية بالمديرية، تبين أنها قد حصلت سابقاً — ولرعاية ذات الطفل — على عدد (8) ثمانية قرارات إدارية منفصلة بمنحها إجازة خاصة بدون مرتب لرعاية الطفل، امتدت على فترات متفرقة ومتقطعة، وهو ما ترى الإدارة القانونية أنه جاوز الحد الأقصى العددي المقرر في المادة (72) من قانون الطفل (وهو ثلاث مرات طوال مدة الخدمة).</w:t>
      </w:r>
    </w:p>
    <w:p>
      <w:pPr>
        <w:bidi/>
        <w:spacing w:after="60" w:before="60" w:line="360"/>
        <w:jc w:val="both"/>
      </w:pPr>
      <w:r>
        <w:rPr>
          <w:rFonts w:ascii="Times New Roman" w:cs="Times New Roman" w:eastAsia="Times New Roman" w:hAnsi="Times New Roman"/>
          <w:b w:val="false"/>
          <w:bCs w:val="false"/>
          <w:color w:val="000000"/>
          <w:sz w:val="32"/>
          <w:szCs w:val="32"/>
          <w:rtl/>
        </w:rPr>
        <w:t xml:space="preserve">3. تقدمت المذكورة مؤخراً بطلب جديد يلتمس منحها إجازة رعاية طفل لمدة «ثلاثة أشهر»، وهو ما يعني في حال الاستجابة له صدور القرار الإداري رقم (9) تسعة لصالحها بمنح إجازة رعاية طفل للموظفة ذاتها ولنفس الطفل.</w:t>
      </w:r>
    </w:p>
    <w:p>
      <w:pPr>
        <w:bidi/>
        <w:spacing w:after="60" w:before="60" w:line="360"/>
        <w:jc w:val="both"/>
      </w:pPr>
      <w:r>
        <w:rPr>
          <w:rFonts w:ascii="Times New Roman" w:cs="Times New Roman" w:eastAsia="Times New Roman" w:hAnsi="Times New Roman"/>
          <w:b w:val="false"/>
          <w:bCs w:val="false"/>
          <w:color w:val="000000"/>
          <w:sz w:val="32"/>
          <w:szCs w:val="32"/>
          <w:rtl/>
        </w:rPr>
        <w:t xml:space="preserve">4. وحرصاً من الإدارة العامة للشئون القانونية بمديرية الزراعة بالإسكندرية على ضبط دولاب العمل والتحقق من التطبيق الدقيق لأحكام القانون وقواعد التأمينات الاجتماعية؛ قامت الإدارة القانونية برئاسة الأستاذ / أحمد منصور بإعداد «دراسة قانونية وبحثية مستفيضة تقع في (15 صفحة) كاملة»، تم فيها استعراض النصوص التشريعية الحاكمة وتاريخ تطورها وتأصيل قيد المرات الثلاث، وأُحيلت الأوراق كاملة إلى مديرية التنظيم والإدارة بالإسكندرية لطلب استطلاع رأي الجهاز المركزي على هدى تلك المبادئ التشريعية.</w:t>
      </w:r>
    </w:p>
    <w:p>
      <w:pPr>
        <w:bidi/>
        <w:spacing w:after="60" w:before="60" w:line="360"/>
        <w:jc w:val="both"/>
      </w:pPr>
      <w:r>
        <w:rPr>
          <w:rFonts w:ascii="Times New Roman" w:cs="Times New Roman" w:eastAsia="Times New Roman" w:hAnsi="Times New Roman"/>
          <w:b w:val="false"/>
          <w:bCs w:val="false"/>
          <w:color w:val="000000"/>
          <w:sz w:val="32"/>
          <w:szCs w:val="32"/>
          <w:rtl/>
        </w:rPr>
        <w:t xml:space="preserve">5. ورد كتاب مديرية التنظيم والإدارة الموقرة رقم ص.م 1561 المؤرخ 17/9/2026 مشفوعاً بالرأي رقم 273 الصادر عن الإدارة المركزية للدعم التشريعي، متضمناً الرأي سالف البيان؛ مما يقتضي من الإدارة القانونية توضيح النظر القانوني الصحيح وإبداء الملاحظات الموضوعية والتأصيلية بشأنه.</w:t>
      </w:r>
    </w:p>
    <w:p>
      <w:pPr>
        <w:bidi/>
        <w:spacing w:after="120" w:before="240"/>
        <w:jc w:val="right"/>
      </w:pPr>
      <w:r>
        <w:rPr>
          <w:rFonts w:ascii="Times New Roman" w:cs="Times New Roman" w:eastAsia="Times New Roman" w:hAnsi="Times New Roman"/>
          <w:b/>
          <w:bCs/>
          <w:color w:val="000000"/>
          <w:sz w:val="34"/>
          <w:szCs w:val="34"/>
          <w:rtl/>
        </w:rPr>
        <w:t xml:space="preserve">ثانياً / أهمية الإحاطة بالدراسة القانونية المستفيضة السابق إعدادها بمعرفة المديرية (15 صفحة)</w:t>
      </w:r>
    </w:p>
    <w:p>
      <w:pPr>
        <w:bidi/>
        <w:spacing w:after="60" w:before="60" w:line="360"/>
        <w:jc w:val="both"/>
      </w:pPr>
      <w:r>
        <w:rPr>
          <w:rFonts w:ascii="Times New Roman" w:cs="Times New Roman" w:eastAsia="Times New Roman" w:hAnsi="Times New Roman"/>
          <w:b w:val="false"/>
          <w:bCs w:val="false"/>
          <w:color w:val="000000"/>
          <w:sz w:val="32"/>
          <w:szCs w:val="32"/>
          <w:rtl/>
        </w:rPr>
        <w:t xml:space="preserve">مع كامل التقدير والاحترام للجهد المبذول من الزملاء الأفاضل بمديرية التنظيم والإدارة بالإسكندرية والإدارة المركزية للدعم التشريعي بالجهاز المركزي؛ فإن الإدارة القانونية تود التنويه إلى ملاحظة إجرائية جوهرية تتعلق بمسار الفحص والدراسة:</w:t>
      </w:r>
    </w:p>
    <w:p>
      <w:pPr>
        <w:bidi/>
        <w:spacing w:after="60" w:before="60" w:line="360"/>
        <w:jc w:val="both"/>
      </w:pPr>
      <w:r>
        <w:rPr>
          <w:rFonts w:ascii="Times New Roman" w:cs="Times New Roman" w:eastAsia="Times New Roman" w:hAnsi="Times New Roman"/>
          <w:b w:val="false"/>
          <w:bCs w:val="false"/>
          <w:color w:val="000000"/>
          <w:sz w:val="32"/>
          <w:szCs w:val="32"/>
          <w:rtl/>
        </w:rPr>
        <w:t xml:space="preserve">1. شمولية الدراسة السابقة: لقد تضمنت المذكرة القانونية الشاملة التي رفعتها مديرية الزراعة (المكونة من 15 صفحة) دراسة فقهية وقضائية وتشريعية متعمقة، تناولت التطور التاريخي لنصوص الإجازات، والغاية التي توخاها المشرع في التعديل التشريعي لقانون الطفل الصادر بالقانون رقم 126 لسنة 2008، ومقارنة ذلك بنصوص قانون الخدمة المدنية رقم 81 لسنة 2016، ومبادئ المحكمة الإدارية العليا الحاكمة لتحمل جهة الإدارة للاشتراكات التأمينية.</w:t>
      </w:r>
    </w:p>
    <w:p>
      <w:pPr>
        <w:bidi/>
        <w:spacing w:after="60" w:before="60" w:line="360"/>
        <w:jc w:val="both"/>
      </w:pPr>
      <w:r>
        <w:rPr>
          <w:rFonts w:ascii="Times New Roman" w:cs="Times New Roman" w:eastAsia="Times New Roman" w:hAnsi="Times New Roman"/>
          <w:b w:val="false"/>
          <w:bCs w:val="false"/>
          <w:color w:val="000000"/>
          <w:sz w:val="32"/>
          <w:szCs w:val="32"/>
          <w:rtl/>
        </w:rPr>
        <w:t xml:space="preserve">2. الرغبة في التكامل المؤسسي: وكان أمل الإدارة القانونية أن يتفضل الإخوة الزملاء الأفاضل بالجهاز المركزي بمناقشة هذه المحاور التفصيلية وإبداء الرأي فيها دفعاً بدفع، وصولاً إلى رؤية قانونية مشتركة ومتكاملة؛ إلا أن كتاب التنظيم والإدارة جاء مقتصراً على ترديد فتوى عامة سابقة ومقتضبة، دون أن يتطرق إلى مناقشة أو تفنيد الأسانيد والوقائع التفصيلية الواردة بمذكرتنا الموسوعية.</w:t>
      </w:r>
    </w:p>
    <w:p>
      <w:pPr>
        <w:bidi/>
        <w:spacing w:after="60" w:before="60" w:line="360"/>
        <w:jc w:val="both"/>
      </w:pPr>
      <w:r>
        <w:rPr>
          <w:rFonts w:ascii="Times New Roman" w:cs="Times New Roman" w:eastAsia="Times New Roman" w:hAnsi="Times New Roman"/>
          <w:b w:val="false"/>
          <w:bCs w:val="false"/>
          <w:color w:val="000000"/>
          <w:sz w:val="32"/>
          <w:szCs w:val="32"/>
          <w:rtl/>
        </w:rPr>
        <w:t xml:space="preserve">3. أثر استيعاب الدفوع على سلامة الرأي: ومما لا شك فيه وفقاً للأصول الفقهية المستقرة، فإن الفتاوى والآراء الإدارية التي تستجيب لمقتضيات الواقع وتعين الجهات التنفيذية على اتخاذ القرارات السليمة، هي تلك التي تستوعب كافة الدفوع والمحاور المثارة في الأوراق؛ الأمر الذي يجعل من إعادة بسط تلك الأسانيد ضرورة تشريعية وإجرائية لازمة لإجلاء الحقيقة القانونية أمام القيادة التنفيذية بالمديرية ومجلس الدولة الموقر.</w:t>
      </w:r>
    </w:p>
    <w:p>
      <w:pPr>
        <w:bidi/>
        <w:spacing w:after="120" w:before="240"/>
        <w:jc w:val="right"/>
      </w:pPr>
      <w:r>
        <w:rPr>
          <w:rFonts w:ascii="Times New Roman" w:cs="Times New Roman" w:eastAsia="Times New Roman" w:hAnsi="Times New Roman"/>
          <w:b/>
          <w:bCs/>
          <w:color w:val="000000"/>
          <w:sz w:val="34"/>
          <w:szCs w:val="34"/>
          <w:rtl/>
        </w:rPr>
        <w:t xml:space="preserve">ثالثاً / التطور التشريعي الحاكم لإجازة رعاية الطفل ومدى ملاءمة الاستناد إلى سابقة الإفتاء الصادرة عام 1982</w:t>
      </w:r>
    </w:p>
    <w:p>
      <w:pPr>
        <w:bidi/>
        <w:spacing w:after="60" w:before="60" w:line="360"/>
        <w:jc w:val="both"/>
      </w:pPr>
      <w:r>
        <w:rPr>
          <w:rFonts w:ascii="Times New Roman" w:cs="Times New Roman" w:eastAsia="Times New Roman" w:hAnsi="Times New Roman"/>
          <w:b w:val="false"/>
          <w:bCs w:val="false"/>
          <w:color w:val="000000"/>
          <w:sz w:val="32"/>
          <w:szCs w:val="32"/>
          <w:rtl/>
        </w:rPr>
        <w:t xml:space="preserve">استند كتاب مديرية التنظيم والإدارة الموقر في إجازة تكرار منح الإجازة لما يجاوز ثلاث مرات إلى عبارة مفادها: «وقد استقر الرأي بالجهاز على أحقية إحدى العاملات في إجازة لرعاية طفلها وأنه ليس هناك ما يمنع قانوناً أن تحصل العاملة على هذه الإجازة لطفل واحد أو أن تستحق تلك الإجازة بناءً على عدة طلبات ولو زاد عددها على ثلاثة...».</w:t>
      </w:r>
    </w:p>
    <w:p>
      <w:pPr>
        <w:bidi/>
        <w:spacing w:after="60" w:before="60" w:line="360"/>
        <w:jc w:val="both"/>
      </w:pPr>
      <w:r>
        <w:rPr>
          <w:rFonts w:ascii="Times New Roman" w:cs="Times New Roman" w:eastAsia="Times New Roman" w:hAnsi="Times New Roman"/>
          <w:b w:val="false"/>
          <w:bCs w:val="false"/>
          <w:color w:val="000000"/>
          <w:sz w:val="32"/>
          <w:szCs w:val="32"/>
          <w:rtl/>
        </w:rPr>
        <w:t xml:space="preserve">وفي هذا الخصوص، نوضح بكل مودة واحترام الأبعاد التشريعية والتاريخية الحاكمة لهذه المسألة:</w:t>
      </w:r>
    </w:p>
    <w:p>
      <w:pPr>
        <w:bidi/>
        <w:spacing w:after="60" w:before="60" w:line="360"/>
        <w:jc w:val="both"/>
      </w:pPr>
      <w:r>
        <w:rPr>
          <w:rFonts w:ascii="Times New Roman" w:cs="Times New Roman" w:eastAsia="Times New Roman" w:hAnsi="Times New Roman"/>
          <w:b w:val="false"/>
          <w:bCs w:val="false"/>
          <w:color w:val="000000"/>
          <w:sz w:val="32"/>
          <w:szCs w:val="32"/>
          <w:rtl/>
        </w:rPr>
        <w:t xml:space="preserve">1. السياق التاريخي والتشريعي للرأي المشار إليه: إن هذه العبارة مقتبسة من فتوى كريمة أصدرتها الجمعية العمومية لقسمي الفتوى والتشريع بمجلس الدولة الموقر بجلسة 21/4/1982 أو 15/12/1982 (ملف رقم 292/6/86) وما تلاها من الكتاب الدوري للجهاز المركزي رقم 15 لسنة 1983.</w:t>
      </w:r>
    </w:p>
    <w:p>
      <w:pPr>
        <w:bidi/>
        <w:spacing w:after="60" w:before="60" w:line="360"/>
        <w:jc w:val="both"/>
      </w:pPr>
      <w:r>
        <w:rPr>
          <w:rFonts w:ascii="Times New Roman" w:cs="Times New Roman" w:eastAsia="Times New Roman" w:hAnsi="Times New Roman"/>
          <w:b w:val="false"/>
          <w:bCs w:val="false"/>
          <w:color w:val="000000"/>
          <w:sz w:val="32"/>
          <w:szCs w:val="32"/>
          <w:rtl/>
        </w:rPr>
        <w:t xml:space="preserve">2. اختلاف الأساس التشريعي: لقد صدرت تلك الفتوى وتلك التعليمات في عام 1982، أي في ظل سريان قانون نظام العاملين المدنيين بالدولة السابق رقم 47 لسنة 1978 (الملغي)، وقبل صدور قانون الطفل رقم 12 لسنة 1996، وقبل التعديل التشريعي الجوهري بالقانون رقم 126 لسنة 2008، وقبل صدور قانون الخدمة المدنية رقم 81 لسنة 2016 بما يربو على ثلاثة عقود كاملة.</w:t>
      </w:r>
    </w:p>
    <w:p>
      <w:pPr>
        <w:bidi/>
        <w:spacing w:after="60" w:before="60" w:line="360"/>
        <w:jc w:val="both"/>
      </w:pPr>
      <w:r>
        <w:rPr>
          <w:rFonts w:ascii="Times New Roman" w:cs="Times New Roman" w:eastAsia="Times New Roman" w:hAnsi="Times New Roman"/>
          <w:b w:val="false"/>
          <w:bCs w:val="false"/>
          <w:color w:val="000000"/>
          <w:sz w:val="32"/>
          <w:szCs w:val="32"/>
          <w:rtl/>
        </w:rPr>
        <w:t xml:space="preserve">3. التدخل التشريعي الحاسم بالقانون رقم 126 لسنة 2008: في عام 2008، رأى المشرع المصري الحكيم معالجة مسألة تجزئة إجازات رعاية الطفل وتكرارها، فاستبدل نص المادة (72) من قانون الطفل ونص صراحة ولأول مرة على: «وتستحق ثلاث مرات طوال مدة خدمتها... ولا تستحق هذه الإجازة لأكثر من ثلاث مرات طوال مدة خدمتها»، واضعاً بذلك حداً أقصى عددياً جلياً لم يكن منصوصاً عليه في ظل القوانين السابقة.</w:t>
      </w:r>
    </w:p>
    <w:p>
      <w:pPr>
        <w:bidi/>
        <w:spacing w:after="60" w:before="60" w:line="360"/>
        <w:jc w:val="both"/>
      </w:pPr>
      <w:r>
        <w:rPr>
          <w:rFonts w:ascii="Times New Roman" w:cs="Times New Roman" w:eastAsia="Times New Roman" w:hAnsi="Times New Roman"/>
          <w:b w:val="false"/>
          <w:bCs w:val="false"/>
          <w:color w:val="000000"/>
          <w:sz w:val="32"/>
          <w:szCs w:val="32"/>
          <w:rtl/>
        </w:rPr>
        <w:t xml:space="preserve">4. الأثر القانوني للتشريع اللاحق على الآراء السابقة: من القواعد الأصولية المستقرة في الفقه الإداري والقضائي أن الفتاوى والتفسيرات الإدارية ترتبط ارتباطاً وثيقاً بالنصوص التشريعية القائمة وقت صدورها؛ فإذا ما تدخل المشرع لاحقاً بنص جديد استحدث به قيداً أو شرطاً آمراً، فإن السوابق الإفتائية السابقة تصبح غير منطبقة على الواقع في ضوء النص المستحدث؛ مما يجعل الاستناد إلى فتوى عام 1982 محل مراجعة واجبة في ظل المنظومة القانونية السارية.</w:t>
      </w:r>
    </w:p>
    <w:p>
      <w:pPr>
        <w:bidi/>
        <w:spacing w:after="120" w:before="240"/>
        <w:jc w:val="right"/>
      </w:pPr>
      <w:r>
        <w:rPr>
          <w:rFonts w:ascii="Times New Roman" w:cs="Times New Roman" w:eastAsia="Times New Roman" w:hAnsi="Times New Roman"/>
          <w:b/>
          <w:bCs/>
          <w:color w:val="000000"/>
          <w:sz w:val="34"/>
          <w:szCs w:val="34"/>
          <w:rtl/>
        </w:rPr>
        <w:t xml:space="preserve">رابعاً / البناء التشريعي المتكامل وقواعد التفسير (الخدمة المدنية ولائحته وقانون الطفل)</w:t>
      </w:r>
    </w:p>
    <w:p>
      <w:pPr>
        <w:bidi/>
        <w:spacing w:after="60" w:before="60" w:line="360"/>
        <w:jc w:val="both"/>
      </w:pPr>
      <w:r>
        <w:rPr>
          <w:rFonts w:ascii="Times New Roman" w:cs="Times New Roman" w:eastAsia="Times New Roman" w:hAnsi="Times New Roman"/>
          <w:b w:val="false"/>
          <w:bCs w:val="false"/>
          <w:color w:val="000000"/>
          <w:sz w:val="32"/>
          <w:szCs w:val="32"/>
          <w:rtl/>
        </w:rPr>
        <w:t xml:space="preserve">حرص كتاب التنظيم والإدارة على الاستشهاد بظاهر عبارة المادة (53/ بند 3) من قانون الخدمة المدنية رقم 81 لسنة 2016؛ وإيضاحاً للبناء التشريعي السليم الذي يحكم الواقعة، نستعرض النصوص الحرفية والقواعد التفسيرية الحاكمة لها:</w:t>
      </w:r>
    </w:p>
    <w:p>
      <w:pPr>
        <w:bidi/>
        <w:spacing w:after="60" w:before="120" w:line="360"/>
        <w:jc w:val="both"/>
      </w:pPr>
      <w:r>
        <w:rPr>
          <w:rFonts w:ascii="Times New Roman" w:cs="Times New Roman" w:eastAsia="Times New Roman" w:hAnsi="Times New Roman"/>
          <w:b/>
          <w:bCs/>
          <w:color w:val="000000"/>
          <w:sz w:val="32"/>
          <w:szCs w:val="32"/>
          <w:rtl/>
        </w:rPr>
        <w:t xml:space="preserve">أولاً: النص الحرفي للمادة (53/ بند 3) من قانون الخدمة المدنية رقم 81 لسنة 2016:</w:t>
      </w:r>
    </w:p>
    <w:p>
      <w:pPr>
        <w:bidi/>
        <w:spacing w:after="60" w:before="60" w:line="360"/>
        <w:jc w:val="both"/>
      </w:pPr>
      <w:r>
        <w:rPr>
          <w:rFonts w:ascii="Times New Roman" w:cs="Times New Roman" w:eastAsia="Times New Roman" w:hAnsi="Times New Roman"/>
          <w:b w:val="false"/>
          <w:bCs w:val="false"/>
          <w:color w:val="000000"/>
          <w:sz w:val="32"/>
          <w:szCs w:val="32"/>
          <w:rtl/>
        </w:rPr>
        <w:t xml:space="preserve">«تكون حالات الترخيص بالإجازة بدون أجر على الوجه الآتي: ... 3- مع مراعاة أحكام قانون الطفل الصادر بالقانون رقم 12 لسنة 1996، تستحق الموظفة إجازة بدون أجر لرعاية طفلها لمدة عامين على الأكثر في المرة الواحدة وبحد أقصى ستة أعوام طوال مدة عملها بالخدمة المدنية، واستثناءً من أحكام قانون التأمين الاجتماعي المشار إليه، تتحمل الوحدة اشتراكات التأمين الاجتماعي المستحقة عليها وعلى الموظفة».</w:t>
      </w:r>
    </w:p>
    <w:p>
      <w:pPr>
        <w:bidi/>
        <w:spacing w:after="60" w:before="120" w:line="360"/>
        <w:jc w:val="both"/>
      </w:pPr>
      <w:r>
        <w:rPr>
          <w:rFonts w:ascii="Times New Roman" w:cs="Times New Roman" w:eastAsia="Times New Roman" w:hAnsi="Times New Roman"/>
          <w:b/>
          <w:bCs/>
          <w:color w:val="000000"/>
          <w:sz w:val="32"/>
          <w:szCs w:val="32"/>
          <w:rtl/>
        </w:rPr>
        <w:t xml:space="preserve">ثانياً: النص الحرفي للمادة (137) من اللائحة التنفيذية لقانون الخدمة المدنية (قرار رئيس مجلس الوزراء رقم 1216 لسنة 2017):</w:t>
      </w:r>
    </w:p>
    <w:p>
      <w:pPr>
        <w:bidi/>
        <w:spacing w:after="60" w:before="60" w:line="360"/>
        <w:jc w:val="both"/>
      </w:pPr>
      <w:r>
        <w:rPr>
          <w:rFonts w:ascii="Times New Roman" w:cs="Times New Roman" w:eastAsia="Times New Roman" w:hAnsi="Times New Roman"/>
          <w:b w:val="false"/>
          <w:bCs w:val="false"/>
          <w:color w:val="000000"/>
          <w:sz w:val="32"/>
          <w:szCs w:val="32"/>
          <w:rtl/>
        </w:rPr>
        <w:t xml:space="preserve">أكدت المادة (137) من اللائحة التنفيذية لقانون الخدمة المدنية الصادرة بقرار رئيس مجلس الوزراء رقم 1216 لسنة 2017 صراحة على ربط استحقاق الموظفة لإجازة رعاية الطفل بالضوابط والشروط المقررة بقانون الطفل، مما يقطع بأن اللائحة التنفيذية الصادرة عن رئيس مجلس الوزراء ذاته قد التزمت التزاماً تاماً بالإحالة إلى قانون الطفل ولم تخرج عن قيوده أو تعطل أحكامه.</w:t>
      </w:r>
    </w:p>
    <w:p>
      <w:pPr>
        <w:bidi/>
        <w:spacing w:after="60" w:before="120" w:line="360"/>
        <w:jc w:val="both"/>
      </w:pPr>
      <w:r>
        <w:rPr>
          <w:rFonts w:ascii="Times New Roman" w:cs="Times New Roman" w:eastAsia="Times New Roman" w:hAnsi="Times New Roman"/>
          <w:b/>
          <w:bCs/>
          <w:color w:val="000000"/>
          <w:sz w:val="32"/>
          <w:szCs w:val="32"/>
          <w:rtl/>
        </w:rPr>
        <w:t xml:space="preserve">ثالثاً: النص الحرفي للمادة (72) من قانون الطفل رقم 12 لسنة 1996 المستبدلة بالقانون رقم 126 لسنة 2008:</w:t>
      </w:r>
    </w:p>
    <w:p>
      <w:pPr>
        <w:bidi/>
        <w:spacing w:after="60" w:before="60" w:line="360"/>
        <w:jc w:val="both"/>
      </w:pPr>
      <w:r>
        <w:rPr>
          <w:rFonts w:ascii="Times New Roman" w:cs="Times New Roman" w:eastAsia="Times New Roman" w:hAnsi="Times New Roman"/>
          <w:b w:val="false"/>
          <w:bCs w:val="false"/>
          <w:color w:val="000000"/>
          <w:sz w:val="32"/>
          <w:szCs w:val="32"/>
          <w:rtl/>
        </w:rPr>
        <w:t xml:space="preserve">«للعاملة في الدولة والقطاع العام وقطاع الأعمال العام والقطاع الخاص، الحق في إجازة بدون أجر لرعاية طفلها لمدة سنتين على الأكثر، وتستحق ثلاث مرات طوال مدة خدمتها. واستثناءً من أحكام قانون التأمين الاجتماعي، تتحمل الجهة التابعة لها العاملة باشتراكات التأمين المستحقة عليها وعلى العاملة وفقاً لأحكام هذا القانون، أو تمنح العاملة تعويضاً عن أجرها يساوي 25% من المرتب الذي كانت تستحقه في تاريخ بدء فترة الإجازة وفقاً لاختيارها. وفي القطاع الخاص يُشترط ألا يقل عدد العاملين لدى صاحب العمل عن خمسين عاملاً، ولا تستحق هذه الإجازة لأكثر من ثلاث مرات طوال مدة خدمتها».</w:t>
      </w:r>
    </w:p>
    <w:p>
      <w:pPr>
        <w:bidi/>
        <w:spacing w:after="60" w:before="120" w:line="360"/>
        <w:jc w:val="both"/>
      </w:pPr>
      <w:r>
        <w:rPr>
          <w:rFonts w:ascii="Times New Roman" w:cs="Times New Roman" w:eastAsia="Times New Roman" w:hAnsi="Times New Roman"/>
          <w:b/>
          <w:bCs/>
          <w:color w:val="000000"/>
          <w:sz w:val="32"/>
          <w:szCs w:val="32"/>
          <w:rtl/>
        </w:rPr>
        <w:t xml:space="preserve">رابعاً: القواعد الأصولية والتفسيرية المعتمدة:</w:t>
      </w:r>
    </w:p>
    <w:p>
      <w:pPr>
        <w:bidi/>
        <w:spacing w:after="60" w:before="60" w:line="360"/>
        <w:jc w:val="both"/>
      </w:pPr>
      <w:r>
        <w:rPr>
          <w:rFonts w:ascii="Times New Roman" w:cs="Times New Roman" w:eastAsia="Times New Roman" w:hAnsi="Times New Roman"/>
          <w:b w:val="false"/>
          <w:bCs w:val="false"/>
          <w:color w:val="000000"/>
          <w:sz w:val="32"/>
          <w:szCs w:val="32"/>
          <w:rtl/>
        </w:rPr>
        <w:t xml:space="preserve">1. دلالة عبارة: «مع مراعاة أحكام قانون الطفل»: إن استهلال المشرع للمادة بعبارة «مع مراعاة أحكام قانون الطفل» هو إحالة تشريعية صريحة وواجبة الإعمال، تقتضي تطبيق أحكام وقواعد قانون الطفل باعتباره قانوناً خاصاً ومكملاً لقانون الخدمة المدنية؛ والمشرع منزه عن اللغو، وتصديره للنص بهذه العبارة يدل دلالة قاطعة على إرادته في إعمال القيود الواردة بقانون الطفل جنباً إلى جنب مع نصوص الخدمة المدنية.</w:t>
      </w:r>
    </w:p>
    <w:p>
      <w:pPr>
        <w:bidi/>
        <w:spacing w:after="60" w:before="60" w:line="360"/>
        <w:jc w:val="both"/>
      </w:pPr>
      <w:r>
        <w:rPr>
          <w:rFonts w:ascii="Times New Roman" w:cs="Times New Roman" w:eastAsia="Times New Roman" w:hAnsi="Times New Roman"/>
          <w:b w:val="false"/>
          <w:bCs w:val="false"/>
          <w:color w:val="000000"/>
          <w:sz w:val="32"/>
          <w:szCs w:val="32"/>
          <w:rtl/>
        </w:rPr>
        <w:t xml:space="preserve">2. قاعدة: «الخاص يقيد العام» و«إعمال النصين أولى من إهمال أحدهما»: قانون الخدمة المدنية هو الشريعة العامة للوظيفة العامة، وقانون الطفل هو القانون الخاص المنظم لحقوق ورعاية الطفولة؛ والمستقر عليه قضاءً وإفتاءً أن الخاص يقيد العام، وأن الجمع بين النصين وتنسيق أحكامهما هو الأصل الأصولي المقدم على إهدار أي منهما؛ وبناءً عليه يتكامل البناء التشريعي على النحو الآتي:</w:t>
      </w:r>
    </w:p>
    <w:p>
      <w:pPr>
        <w:bidi/>
        <w:spacing w:after="60" w:before="60" w:line="360"/>
        <w:jc w:val="both"/>
      </w:pPr>
      <w:r>
        <w:rPr>
          <w:rFonts w:ascii="Times New Roman" w:cs="Times New Roman" w:eastAsia="Times New Roman" w:hAnsi="Times New Roman"/>
          <w:b w:val="false"/>
          <w:bCs w:val="false"/>
          <w:color w:val="000000"/>
          <w:sz w:val="32"/>
          <w:szCs w:val="32"/>
          <w:rtl/>
        </w:rPr>
        <w:t xml:space="preserve">• الحد الأقصى للمرة الواحدة: عامان.</w:t>
      </w:r>
    </w:p>
    <w:p>
      <w:pPr>
        <w:bidi/>
        <w:spacing w:after="60" w:before="60" w:line="360"/>
        <w:jc w:val="both"/>
      </w:pPr>
      <w:r>
        <w:rPr>
          <w:rFonts w:ascii="Times New Roman" w:cs="Times New Roman" w:eastAsia="Times New Roman" w:hAnsi="Times New Roman"/>
          <w:b w:val="false"/>
          <w:bCs w:val="false"/>
          <w:color w:val="000000"/>
          <w:sz w:val="32"/>
          <w:szCs w:val="32"/>
          <w:rtl/>
        </w:rPr>
        <w:t xml:space="preserve">• الحد الأقصى الزمني الإجمالي طوال مدة الخدمة: ستة أعوام.</w:t>
      </w:r>
    </w:p>
    <w:p>
      <w:pPr>
        <w:bidi/>
        <w:spacing w:after="60" w:before="60" w:line="360"/>
        <w:jc w:val="both"/>
      </w:pPr>
      <w:r>
        <w:rPr>
          <w:rFonts w:ascii="Times New Roman" w:cs="Times New Roman" w:eastAsia="Times New Roman" w:hAnsi="Times New Roman"/>
          <w:b w:val="false"/>
          <w:bCs w:val="false"/>
          <w:color w:val="000000"/>
          <w:sz w:val="32"/>
          <w:szCs w:val="32"/>
          <w:rtl/>
        </w:rPr>
        <w:t xml:space="preserve">• الحد الأقصى العددي الإجمالي طوال مدة الخدمة: ثلاث مرات فقط.</w:t>
      </w:r>
    </w:p>
    <w:p>
      <w:pPr>
        <w:bidi/>
        <w:spacing w:after="60" w:before="60" w:line="360"/>
        <w:jc w:val="both"/>
      </w:pPr>
      <w:r>
        <w:rPr>
          <w:rFonts w:ascii="Times New Roman" w:cs="Times New Roman" w:eastAsia="Times New Roman" w:hAnsi="Times New Roman"/>
          <w:b w:val="false"/>
          <w:bCs w:val="false"/>
          <w:color w:val="000000"/>
          <w:sz w:val="32"/>
          <w:szCs w:val="32"/>
          <w:rtl/>
        </w:rPr>
        <w:t xml:space="preserve">وبذلك تتسق النصوص التشريعية وتتكامل أحكامها دون أي تعارض أو إهدار لقيد استحدثه المشرع لصالح المرفق والطفل معاً.</w:t>
      </w:r>
    </w:p>
    <w:p>
      <w:pPr>
        <w:bidi/>
        <w:spacing w:after="120" w:before="240"/>
        <w:jc w:val="right"/>
      </w:pPr>
      <w:r>
        <w:rPr>
          <w:rFonts w:ascii="Times New Roman" w:cs="Times New Roman" w:eastAsia="Times New Roman" w:hAnsi="Times New Roman"/>
          <w:b/>
          <w:bCs/>
          <w:color w:val="000000"/>
          <w:sz w:val="34"/>
          <w:szCs w:val="34"/>
          <w:rtl/>
        </w:rPr>
        <w:t xml:space="preserve">خامساً / في شأن ما استخلصه الرأي من تحديد حد أدنى للإجازة بثلاثة أشهر</w:t>
      </w:r>
    </w:p>
    <w:p>
      <w:pPr>
        <w:bidi/>
        <w:spacing w:after="60" w:before="60" w:line="360"/>
        <w:jc w:val="both"/>
      </w:pPr>
      <w:r>
        <w:rPr>
          <w:rFonts w:ascii="Times New Roman" w:cs="Times New Roman" w:eastAsia="Times New Roman" w:hAnsi="Times New Roman"/>
          <w:b w:val="false"/>
          <w:bCs w:val="false"/>
          <w:color w:val="000000"/>
          <w:sz w:val="32"/>
          <w:szCs w:val="32"/>
          <w:rtl/>
        </w:rPr>
        <w:t xml:space="preserve">تضمن كتاب مديرية التنظيم والإدارة الموقر في صفحته الثانية الإشارة إلى أن: «القانون لم يحدد أدنى مدة للحصول على تلك الإجازة وإنما جعلها مطلقة»، ثم أضاف الرأي: «ويمكن تقدير هذه المدة بثلاثة أشهر على الأقل».</w:t>
      </w:r>
    </w:p>
    <w:p>
      <w:pPr>
        <w:bidi/>
        <w:spacing w:after="60" w:before="60" w:line="360"/>
        <w:jc w:val="both"/>
      </w:pPr>
      <w:r>
        <w:rPr>
          <w:rFonts w:ascii="Times New Roman" w:cs="Times New Roman" w:eastAsia="Times New Roman" w:hAnsi="Times New Roman"/>
          <w:b w:val="false"/>
          <w:bCs w:val="false"/>
          <w:color w:val="000000"/>
          <w:sz w:val="32"/>
          <w:szCs w:val="32"/>
          <w:rtl/>
        </w:rPr>
        <w:t xml:space="preserve">وفي هذا الإطار، نبدي الملاحظات الموضوعية الآتية بكل تقدير:</w:t>
      </w:r>
    </w:p>
    <w:p>
      <w:pPr>
        <w:bidi/>
        <w:spacing w:after="60" w:before="60" w:line="360"/>
        <w:jc w:val="both"/>
      </w:pPr>
      <w:r>
        <w:rPr>
          <w:rFonts w:ascii="Times New Roman" w:cs="Times New Roman" w:eastAsia="Times New Roman" w:hAnsi="Times New Roman"/>
          <w:b w:val="false"/>
          <w:bCs w:val="false"/>
          <w:color w:val="000000"/>
          <w:sz w:val="32"/>
          <w:szCs w:val="32"/>
          <w:rtl/>
        </w:rPr>
        <w:t xml:space="preserve">1. تقدير الحرص التنظيمي للجهاز: نقدر بكل إجلال الحرص الإداري والعملي الذي توخاه الزملاء الأفاضل بجهاز التنظيم والإدارة، وهو محاولة وضع ضابط تنظيمي يمنع التجزئة المفرطة للإجازات إلى مدد بالغة القصر (كالأيام أو الأسابيع) وما يترتب عليها من إرباك للعمل الإداري.</w:t>
      </w:r>
    </w:p>
    <w:p>
      <w:pPr>
        <w:bidi/>
        <w:spacing w:after="60" w:before="60" w:line="360"/>
        <w:jc w:val="both"/>
      </w:pPr>
      <w:r>
        <w:rPr>
          <w:rFonts w:ascii="Times New Roman" w:cs="Times New Roman" w:eastAsia="Times New Roman" w:hAnsi="Times New Roman"/>
          <w:b w:val="false"/>
          <w:bCs w:val="false"/>
          <w:color w:val="000000"/>
          <w:sz w:val="32"/>
          <w:szCs w:val="32"/>
          <w:rtl/>
        </w:rPr>
        <w:t xml:space="preserve">2. أصل المشروعية في القيود الوظيفية: بيد أن القواعد التشريعية المستقرة تقضي بأن فرض الشروط والقيود الزمنية الدنيا على ممارسة الحقوق الوظيفية هو أمر منوط بالنص التشريعي أو اللائحي الصريح الصادر عن السلطة المختصة؛ وحيث إن نصوص قانون الخدمة المدنية ولائحته وقانون الطفل قد خلت من اشتراط حد أدنى قدره ثلاثة أشهر، فإن هذا القيد يفتقر إلى السند الإلزامي.</w:t>
      </w:r>
    </w:p>
    <w:p>
      <w:pPr>
        <w:bidi/>
        <w:spacing w:after="60" w:before="60" w:line="360"/>
        <w:jc w:val="both"/>
      </w:pPr>
      <w:r>
        <w:rPr>
          <w:rFonts w:ascii="Times New Roman" w:cs="Times New Roman" w:eastAsia="Times New Roman" w:hAnsi="Times New Roman"/>
          <w:b w:val="false"/>
          <w:bCs w:val="false"/>
          <w:color w:val="000000"/>
          <w:sz w:val="32"/>
          <w:szCs w:val="32"/>
          <w:rtl/>
        </w:rPr>
        <w:t xml:space="preserve">3. كفاية القيد التشريعي الأصيل: ونرى بكل تواضع أن الأولى بالاتباع والاتساق مع المنظومة التشريعية هو الالتزام بالقيد العددي الذي وضعه المشرع صراحة (وهو ثلاث مرات طوال مدة الخدمة)؛ إذ إن الالتزام بهذا القيد التشريعي الصريح يغني جهة الإدارة عن استحداث أي قيود زمنية صغرى، ويحقق التوازن الكامل بين حق الموظفة في رعاية طفلها وبين استقرار دولاب العمل المرفقي.</w:t>
      </w:r>
    </w:p>
    <w:p>
      <w:pPr>
        <w:bidi/>
        <w:spacing w:after="120" w:before="240"/>
        <w:jc w:val="right"/>
      </w:pPr>
      <w:r>
        <w:rPr>
          <w:rFonts w:ascii="Times New Roman" w:cs="Times New Roman" w:eastAsia="Times New Roman" w:hAnsi="Times New Roman"/>
          <w:b/>
          <w:bCs/>
          <w:color w:val="000000"/>
          <w:sz w:val="34"/>
          <w:szCs w:val="34"/>
          <w:rtl/>
        </w:rPr>
        <w:t xml:space="preserve">سادساً / الترحيب بما انتهى إليه كتاب التنظيم والإدارة من تعليق الأمر على فتوى مجلس الدولة</w:t>
      </w:r>
    </w:p>
    <w:p>
      <w:pPr>
        <w:bidi/>
        <w:spacing w:after="60" w:before="60" w:line="360"/>
        <w:jc w:val="both"/>
      </w:pPr>
      <w:r>
        <w:rPr>
          <w:rFonts w:ascii="Times New Roman" w:cs="Times New Roman" w:eastAsia="Times New Roman" w:hAnsi="Times New Roman"/>
          <w:b w:val="false"/>
          <w:bCs w:val="false"/>
          <w:color w:val="000000"/>
          <w:sz w:val="32"/>
          <w:szCs w:val="32"/>
          <w:rtl/>
        </w:rPr>
        <w:t xml:space="preserve">سجل كتاب مديرية التنظيم والإدارة بالإسكندرية في ختامه توجيهاً محموداً ومقدراً نص فيه على:</w:t>
      </w:r>
    </w:p>
    <w:p>
      <w:pPr>
        <w:bidi/>
        <w:spacing w:after="60" w:before="60" w:line="360"/>
        <w:jc w:val="both"/>
      </w:pPr>
      <w:r>
        <w:rPr>
          <w:rFonts w:ascii="Times New Roman" w:cs="Times New Roman" w:eastAsia="Times New Roman" w:hAnsi="Times New Roman"/>
          <w:b w:val="false"/>
          <w:bCs w:val="false"/>
          <w:color w:val="000000"/>
          <w:sz w:val="32"/>
          <w:szCs w:val="32"/>
          <w:rtl/>
        </w:rPr>
        <w:t xml:space="preserve">«مع مراعاة أن يتم موافاتنا برأي إدارة الفتوى والتشريع عند وروده».</w:t>
      </w:r>
    </w:p>
    <w:p>
      <w:pPr>
        <w:bidi/>
        <w:spacing w:after="60" w:before="60" w:line="360"/>
        <w:jc w:val="both"/>
      </w:pPr>
      <w:r>
        <w:rPr>
          <w:rFonts w:ascii="Times New Roman" w:cs="Times New Roman" w:eastAsia="Times New Roman" w:hAnsi="Times New Roman"/>
          <w:b w:val="false"/>
          <w:bCs w:val="false"/>
          <w:color w:val="000000"/>
          <w:sz w:val="32"/>
          <w:szCs w:val="32"/>
          <w:rtl/>
        </w:rPr>
        <w:t xml:space="preserve">وهذا التوجيه الكريم محل تقدير وترحيب كاملين من جانب الإدارة العامة للشئون القانونية بمديرية الزراعة، وذلك للأسباب والاعتبارات الآتية:</w:t>
      </w:r>
    </w:p>
    <w:p>
      <w:pPr>
        <w:bidi/>
        <w:spacing w:after="60" w:before="60" w:line="360"/>
        <w:jc w:val="both"/>
      </w:pPr>
      <w:r>
        <w:rPr>
          <w:rFonts w:ascii="Times New Roman" w:cs="Times New Roman" w:eastAsia="Times New Roman" w:hAnsi="Times New Roman"/>
          <w:b w:val="false"/>
          <w:bCs w:val="false"/>
          <w:color w:val="000000"/>
          <w:sz w:val="32"/>
          <w:szCs w:val="32"/>
          <w:rtl/>
        </w:rPr>
        <w:t xml:space="preserve">1. إعلاء الولاية الدستورية لمجلس الدولة: إعلاء المكانة الدستورية الرفيعة لقسمي الفتوى والتشريع بمجلس الدولة الموقر، صاحب الولاية الدستورية الأصيلة والحصرية في إبداء الرأي القانوني الملزم للجهات الإدارية وفقاً لنص المادة (190) من الدستور المصري.</w:t>
      </w:r>
    </w:p>
    <w:p>
      <w:pPr>
        <w:bidi/>
        <w:spacing w:after="60" w:before="60" w:line="360"/>
        <w:jc w:val="both"/>
      </w:pPr>
      <w:r>
        <w:rPr>
          <w:rFonts w:ascii="Times New Roman" w:cs="Times New Roman" w:eastAsia="Times New Roman" w:hAnsi="Times New Roman"/>
          <w:b w:val="false"/>
          <w:bCs w:val="false"/>
          <w:color w:val="000000"/>
          <w:sz w:val="32"/>
          <w:szCs w:val="32"/>
          <w:rtl/>
        </w:rPr>
        <w:t xml:space="preserve">2. التوافق المؤسسي على طبيعة المسألة: إقرار مشترك بين مديرية الزراعة ومديرية التنظيم والإدارة بأن المسألة تمثل استفساراً تشريعياً وتأويلياً هاماً يمس عموم المصالح الحكومية، وأن القول الفصل والحاسم فيه ينعقد لقضاة مجلس الدولة الأجلاء.</w:t>
      </w:r>
    </w:p>
    <w:p>
      <w:pPr>
        <w:bidi/>
        <w:spacing w:after="60" w:before="60" w:line="360"/>
        <w:jc w:val="both"/>
      </w:pPr>
      <w:r>
        <w:rPr>
          <w:rFonts w:ascii="Times New Roman" w:cs="Times New Roman" w:eastAsia="Times New Roman" w:hAnsi="Times New Roman"/>
          <w:b w:val="false"/>
          <w:bCs w:val="false"/>
          <w:color w:val="000000"/>
          <w:sz w:val="32"/>
          <w:szCs w:val="32"/>
          <w:rtl/>
        </w:rPr>
        <w:t xml:space="preserve">3. الحيطة والتحوط الإداري والمالي: إن التريث في إصدار قرار إداري بمنح إجازة للمرة التاسعة لحين استطلاع رأي إدارة الفتوى والتشريع هو المسلك الإداري والتحوطي الرشيد، الذي يقي جهة الإدارة من شبهة الصرف المالي غير المستقر أو ترتيب مراكز قانونية قد يتعذر تداركها لاحقاً.</w:t>
      </w:r>
    </w:p>
    <w:p>
      <w:pPr>
        <w:bidi/>
        <w:spacing w:after="120" w:before="240"/>
        <w:jc w:val="right"/>
      </w:pPr>
      <w:r>
        <w:rPr>
          <w:rFonts w:ascii="Times New Roman" w:cs="Times New Roman" w:eastAsia="Times New Roman" w:hAnsi="Times New Roman"/>
          <w:b/>
          <w:bCs/>
          <w:color w:val="000000"/>
          <w:sz w:val="34"/>
          <w:szCs w:val="34"/>
          <w:rtl/>
        </w:rPr>
        <w:t xml:space="preserve">سابعاً / الأبعاد المرفقية والمالية والتأمينية الحاكمة للمسألة</w:t>
      </w:r>
    </w:p>
    <w:p>
      <w:pPr>
        <w:bidi/>
        <w:spacing w:after="60" w:before="60" w:line="360"/>
        <w:jc w:val="both"/>
      </w:pPr>
      <w:r>
        <w:rPr>
          <w:rFonts w:ascii="Times New Roman" w:cs="Times New Roman" w:eastAsia="Times New Roman" w:hAnsi="Times New Roman"/>
          <w:b w:val="false"/>
          <w:bCs w:val="false"/>
          <w:color w:val="000000"/>
          <w:sz w:val="32"/>
          <w:szCs w:val="32"/>
          <w:rtl/>
        </w:rPr>
        <w:t xml:space="preserve">إن النظر في طلب الموظفة المذكورة يقتضي مراعاة التوازن الدقيق بين مختلف المصالح المشروعة التي كفلها الدستور والقانون:</w:t>
      </w:r>
    </w:p>
    <w:p>
      <w:pPr>
        <w:bidi/>
        <w:spacing w:after="60" w:before="120" w:line="360"/>
        <w:jc w:val="both"/>
      </w:pPr>
      <w:r>
        <w:rPr>
          <w:rFonts w:ascii="Times New Roman" w:cs="Times New Roman" w:eastAsia="Times New Roman" w:hAnsi="Times New Roman"/>
          <w:b/>
          <w:bCs/>
          <w:color w:val="000000"/>
          <w:sz w:val="32"/>
          <w:szCs w:val="32"/>
          <w:rtl/>
        </w:rPr>
        <w:t xml:space="preserve">أولاً: سير المرفق العام بانتظام واطراد:</w:t>
      </w:r>
    </w:p>
    <w:p>
      <w:pPr>
        <w:bidi/>
        <w:spacing w:after="60" w:before="60" w:line="360"/>
        <w:jc w:val="both"/>
      </w:pPr>
      <w:r>
        <w:rPr>
          <w:rFonts w:ascii="Times New Roman" w:cs="Times New Roman" w:eastAsia="Times New Roman" w:hAnsi="Times New Roman"/>
          <w:b w:val="false"/>
          <w:bCs w:val="false"/>
          <w:color w:val="000000"/>
          <w:sz w:val="32"/>
          <w:szCs w:val="32"/>
          <w:rtl/>
        </w:rPr>
        <w:t xml:space="preserve">إن المرفق الزراعي بمحافظة الإسكندرية وإداراته الفنية والإنتاجية (كالشئون الزراعية، والتقاوي، والإرشاد الزراعي، وحماية الأراضي، والتعاون الزراعي) يقوم على تقديم خدمات حيوية ومباشرة لجمهور المزارعين والمواطنين؛ وتكرار تجزئة الإجازات لمدد متقاربة ومنحها للمرة التاسعة يحول دون استقرار الهيكل الوظيفي، ويعوق إمكانية سد العجز الوظيفي ببديل مستقر، مما ينعكس سلباً على كفاءة الأداء الخدمي والإنتاجي للمديرية.</w:t>
      </w:r>
    </w:p>
    <w:p>
      <w:pPr>
        <w:bidi/>
        <w:spacing w:after="60" w:before="120" w:line="360"/>
        <w:jc w:val="both"/>
      </w:pPr>
      <w:r>
        <w:rPr>
          <w:rFonts w:ascii="Times New Roman" w:cs="Times New Roman" w:eastAsia="Times New Roman" w:hAnsi="Times New Roman"/>
          <w:b/>
          <w:bCs/>
          <w:color w:val="000000"/>
          <w:sz w:val="32"/>
          <w:szCs w:val="32"/>
          <w:rtl/>
        </w:rPr>
        <w:t xml:space="preserve">ثانياً: حماية المال العام وضبط المسئولية التأمينية والرقابة المالية:</w:t>
      </w:r>
    </w:p>
    <w:p>
      <w:pPr>
        <w:bidi/>
        <w:spacing w:after="60" w:before="60" w:line="360"/>
        <w:jc w:val="both"/>
      </w:pPr>
      <w:r>
        <w:rPr>
          <w:rFonts w:ascii="Times New Roman" w:cs="Times New Roman" w:eastAsia="Times New Roman" w:hAnsi="Times New Roman"/>
          <w:b w:val="false"/>
          <w:bCs w:val="false"/>
          <w:color w:val="000000"/>
          <w:sz w:val="32"/>
          <w:szCs w:val="32"/>
          <w:rtl/>
        </w:rPr>
        <w:t xml:space="preserve">تنص المادة (53/3) من قانون الخدمة المدنية والمادة (72) من قانون الطفل صراحة على أن تتحمل جهة العمل باشتراكات التأمين الاجتماعي المستحقة عليها وعلى الموظفة؛ ومعنى ذلك أن الموازنة العامة لمديرية الزراعة تتحمل سداد هذه الاشتراكات شهرياً للتأمينات الاجتماعية طوال مدة الإجازة من موازنة الدولة والخزانة العامة للمحافظة.</w:t>
      </w:r>
    </w:p>
    <w:p>
      <w:pPr>
        <w:bidi/>
        <w:spacing w:after="60" w:before="60" w:line="360"/>
        <w:jc w:val="both"/>
      </w:pPr>
      <w:r>
        <w:rPr>
          <w:rFonts w:ascii="Times New Roman" w:cs="Times New Roman" w:eastAsia="Times New Roman" w:hAnsi="Times New Roman"/>
          <w:b w:val="false"/>
          <w:bCs w:val="false"/>
          <w:color w:val="000000"/>
          <w:sz w:val="32"/>
          <w:szCs w:val="32"/>
          <w:rtl/>
        </w:rPr>
        <w:t xml:space="preserve">ومن ثم فإن التوسع في منح الإجازة لما يجاوز الحد التشريعي الصريح (ثلاث مرات) يلقي بأعباء مالية جسيمة ومستمرة على موازنة الدولة دون سند تشريعي قاطع، ويضع القيادات الإدارية والمالية وآمري الصرف بالمديرية تحت طائلة فحص وملاحظات «الجهاز المركزي للمحاسبات» و«مفتشي وزارة المالية»، وتوجيه تهمة صرف المال العام بغير وجه حق والمطالبة بالاسترداد؛ الأمر الذي يجعل قرار معاليكم بالإرجاء درعاً قانونياً ومالياً واقياً للمديرية ولقياداتها من أي شبهة أو مساءلة رقابية.</w:t>
      </w:r>
    </w:p>
    <w:p>
      <w:pPr>
        <w:bidi/>
        <w:spacing w:after="60" w:before="120" w:line="360"/>
        <w:jc w:val="both"/>
      </w:pPr>
      <w:r>
        <w:rPr>
          <w:rFonts w:ascii="Times New Roman" w:cs="Times New Roman" w:eastAsia="Times New Roman" w:hAnsi="Times New Roman"/>
          <w:b/>
          <w:bCs/>
          <w:color w:val="000000"/>
          <w:sz w:val="32"/>
          <w:szCs w:val="32"/>
          <w:rtl/>
        </w:rPr>
        <w:t xml:space="preserve">ثالثاً: التدقيق في السن القانوني للطفل ومناط الرعاية واقعياً وقانونياً:</w:t>
      </w:r>
    </w:p>
    <w:p>
      <w:pPr>
        <w:bidi/>
        <w:spacing w:after="60" w:before="60" w:line="360"/>
        <w:jc w:val="both"/>
      </w:pPr>
      <w:r>
        <w:rPr>
          <w:rFonts w:ascii="Times New Roman" w:cs="Times New Roman" w:eastAsia="Times New Roman" w:hAnsi="Times New Roman"/>
          <w:b w:val="false"/>
          <w:bCs w:val="false"/>
          <w:color w:val="000000"/>
          <w:sz w:val="32"/>
          <w:szCs w:val="32"/>
          <w:rtl/>
        </w:rPr>
        <w:t xml:space="preserve">إن إجازة رعاية الطفل إنما شرعت لمناط واقعي محدد هو حاجة الطفل الفعلية إلى رعاية أمه في مرحلة طفولته الأولى؛ وبما أن الموظفة المذكورة قد حصلت سابقاً على عدد (8) إجازات متفرقة تخللتها فترات عودة للعمل امتدت عبر سنوات متتابعة؛ فإن الأمر يقتضي بالضرورة توجيه إدارة الموارد البشرية لتدقيق شهادة ميلاد الطفل ومطابقة سنه الفعلية، للتحقق مما إذا كان الطفل نفسه لا يزال في السن القانونية التي تجيز وتبرر منح الإجازة، إذ إن بلوغ الطفل السن القانونية يسقط مناط الإجازة برمتها موضوعياً وواقعياً وقانونياً.</w:t>
      </w:r>
    </w:p>
    <w:p>
      <w:pPr>
        <w:bidi/>
        <w:spacing w:after="60" w:before="120" w:line="360"/>
        <w:jc w:val="both"/>
      </w:pPr>
      <w:r>
        <w:rPr>
          <w:rFonts w:ascii="Times New Roman" w:cs="Times New Roman" w:eastAsia="Times New Roman" w:hAnsi="Times New Roman"/>
          <w:b/>
          <w:bCs/>
          <w:color w:val="000000"/>
          <w:sz w:val="32"/>
          <w:szCs w:val="32"/>
          <w:rtl/>
        </w:rPr>
        <w:t xml:space="preserve">رابعاً: الموازنة الدستورية بين الأمومة والواجب الوظيفي:</w:t>
      </w:r>
    </w:p>
    <w:p>
      <w:pPr>
        <w:bidi/>
        <w:spacing w:after="60" w:before="60" w:line="360"/>
        <w:jc w:val="both"/>
      </w:pPr>
      <w:r>
        <w:rPr>
          <w:rFonts w:ascii="Times New Roman" w:cs="Times New Roman" w:eastAsia="Times New Roman" w:hAnsi="Times New Roman"/>
          <w:b w:val="false"/>
          <w:bCs w:val="false"/>
          <w:color w:val="000000"/>
          <w:sz w:val="32"/>
          <w:szCs w:val="32"/>
          <w:rtl/>
        </w:rPr>
        <w:t xml:space="preserve">كفل الدستور المصري في المادة (10) رعاية الأسرة والأمومة والطفولة، كما كفل في مواده (14 و 27) كفاءة الوظيفة العامة وحماية الأموال العامة؛ والجمع بين هذه المبادئ الدستورية السامية يتحقق بالالتزام الدقيق بالحدود التي رسمها المشرع في قانون الطفل، والتي وازنت بحكمة بين تفرغ الأم لرعاية طفلها (ثلاث مرات) وبين التزامها بأداء واجبات وظيفتها العامة.</w:t>
      </w:r>
    </w:p>
    <w:p>
      <w:pPr>
        <w:bidi/>
        <w:spacing w:after="120" w:before="240"/>
        <w:jc w:val="right"/>
      </w:pPr>
      <w:r>
        <w:rPr>
          <w:rFonts w:ascii="Times New Roman" w:cs="Times New Roman" w:eastAsia="Times New Roman" w:hAnsi="Times New Roman"/>
          <w:b/>
          <w:bCs/>
          <w:color w:val="000000"/>
          <w:sz w:val="34"/>
          <w:szCs w:val="34"/>
          <w:rtl/>
        </w:rPr>
        <w:t xml:space="preserve">ثامناً / المبادئ القضائية المستقرة للمحكمة الإدارية العليا بمجلس الدولة الموقر</w:t>
      </w:r>
    </w:p>
    <w:p>
      <w:pPr>
        <w:bidi/>
        <w:spacing w:after="60" w:before="60" w:line="360"/>
        <w:jc w:val="both"/>
      </w:pPr>
      <w:r>
        <w:rPr>
          <w:rFonts w:ascii="Times New Roman" w:cs="Times New Roman" w:eastAsia="Times New Roman" w:hAnsi="Times New Roman"/>
          <w:b w:val="false"/>
          <w:bCs w:val="false"/>
          <w:color w:val="000000"/>
          <w:sz w:val="32"/>
          <w:szCs w:val="32"/>
          <w:rtl/>
        </w:rPr>
        <w:t xml:space="preserve">استقرت أحكام المحكمة الإدارية العليا على إرساء مبادئ واضحة تحكم منح الإجازات ورخص المشرع، وتدرج القواعد القانونية، وحظر الانحراف بالرخص الوظيفية؛ ونستأنس في هذا المقام ببعض تلك المبادئ الرفيعة:</w:t>
      </w:r>
    </w:p>
    <w:p>
      <w:pPr>
        <w:bidi/>
        <w:spacing w:after="60" w:before="60" w:line="360"/>
        <w:jc w:val="both"/>
      </w:pPr>
      <w:r>
        <w:rPr>
          <w:rFonts w:ascii="Times New Roman" w:cs="Times New Roman" w:eastAsia="Times New Roman" w:hAnsi="Times New Roman"/>
          <w:b w:val="false"/>
          <w:bCs w:val="false"/>
          <w:color w:val="000000"/>
          <w:sz w:val="32"/>
          <w:szCs w:val="32"/>
          <w:rtl/>
        </w:rPr>
        <w:t xml:space="preserve">1. قضاء المحكمة الإدارية العليا في الغاية من رخص المشرع وحظر الانحراف بها:</w:t>
      </w:r>
    </w:p>
    <w:p>
      <w:pPr>
        <w:bidi/>
        <w:spacing w:after="60" w:before="60" w:line="360"/>
        <w:jc w:val="both"/>
      </w:pPr>
      <w:r>
        <w:rPr>
          <w:rFonts w:ascii="Times New Roman" w:cs="Times New Roman" w:eastAsia="Times New Roman" w:hAnsi="Times New Roman"/>
          <w:b w:val="false"/>
          <w:bCs w:val="false"/>
          <w:color w:val="000000"/>
          <w:sz w:val="32"/>
          <w:szCs w:val="32"/>
          <w:rtl/>
        </w:rPr>
        <w:t xml:space="preserve">قضت المحكمة الإدارية العليا في حكمها الموقر (الطعن رقم 2389 لسنة 35 قضائية عليا - جلسة 14/12/1996):</w:t>
      </w:r>
    </w:p>
    <w:p>
      <w:pPr>
        <w:bidi/>
        <w:spacing w:after="60" w:before="60" w:line="360"/>
        <w:jc w:val="both"/>
      </w:pPr>
      <w:r>
        <w:rPr>
          <w:rFonts w:ascii="Times New Roman" w:cs="Times New Roman" w:eastAsia="Times New Roman" w:hAnsi="Times New Roman"/>
          <w:b w:val="false"/>
          <w:bCs w:val="false"/>
          <w:color w:val="000000"/>
          <w:sz w:val="32"/>
          <w:szCs w:val="32"/>
          <w:rtl/>
        </w:rPr>
        <w:t xml:space="preserve">«إن المشرع حين قرر للموظفة إجازة خاصة بدون أجر لرعاية طفلها، إنما استهدف تحقيق مصلحة اجتماعية وإنسانية مشروعة ومحددة وهي حماية الطفولة والأمومة، وهذه الرخصة منوطة بتحقيق علتها وغايتها وفي حدود الضوابط التي رسمها المشرع، ولا يسوغ للموظف أن يتخذ من الرخص المقررة قانوناً وسيلة للتفلت من أداء الواجب الوظيفي، أو التحايل على أحكام القانون على نحو يخل بمبدأ انتظام واطراد سير المرافق العامة، فحقوق الموظف تخضع دائماً للموازنة الدقيقة مع مقتضيات المصلحة العامة وانتظام دولاب العمل الإداري».</w:t>
      </w:r>
    </w:p>
    <w:p>
      <w:pPr>
        <w:bidi/>
        <w:spacing w:after="60" w:before="60" w:line="360"/>
        <w:jc w:val="both"/>
      </w:pPr>
      <w:r>
        <w:rPr>
          <w:rFonts w:ascii="Times New Roman" w:cs="Times New Roman" w:eastAsia="Times New Roman" w:hAnsi="Times New Roman"/>
          <w:b w:val="false"/>
          <w:bCs w:val="false"/>
          <w:color w:val="000000"/>
          <w:sz w:val="32"/>
          <w:szCs w:val="32"/>
          <w:rtl/>
        </w:rPr>
        <w:t xml:space="preserve">2. مبدأ حظر التعسف في استعمال الحقوق والرخص الإدارية:</w:t>
      </w:r>
    </w:p>
    <w:p>
      <w:pPr>
        <w:bidi/>
        <w:spacing w:after="60" w:before="60" w:line="360"/>
        <w:jc w:val="both"/>
      </w:pPr>
      <w:r>
        <w:rPr>
          <w:rFonts w:ascii="Times New Roman" w:cs="Times New Roman" w:eastAsia="Times New Roman" w:hAnsi="Times New Roman"/>
          <w:b w:val="false"/>
          <w:bCs w:val="false"/>
          <w:color w:val="000000"/>
          <w:sz w:val="32"/>
          <w:szCs w:val="32"/>
          <w:rtl/>
        </w:rPr>
        <w:t xml:space="preserve">تواتر قضاء المحكمة الإدارية العليا على أن ممارسة الرخص الوظيفية ليست حقاً مطلقاً ينفصل عن غايته، بل هو مقيد بحسن النية وبألا يترتب على استعماله شلل المرفق العام أو الإضرار بالصالح العام؛ وتجزئة الإجازات وتكرارها ثماني مرات والمطالبة بالمرة التاسعة يخرج بالرخصة عن الغاية الاجتماعية النبيلة التي قصدها المشرع.</w:t>
      </w:r>
    </w:p>
    <w:p>
      <w:pPr>
        <w:bidi/>
        <w:spacing w:after="60" w:before="60" w:line="360"/>
        <w:jc w:val="both"/>
      </w:pPr>
      <w:r>
        <w:rPr>
          <w:rFonts w:ascii="Times New Roman" w:cs="Times New Roman" w:eastAsia="Times New Roman" w:hAnsi="Times New Roman"/>
          <w:b w:val="false"/>
          <w:bCs w:val="false"/>
          <w:color w:val="000000"/>
          <w:sz w:val="32"/>
          <w:szCs w:val="32"/>
          <w:rtl/>
        </w:rPr>
        <w:t xml:space="preserve">3. قضاء المحكمة الإدارية العليا في سمو النصوص التشريعية والقانونية:</w:t>
      </w:r>
    </w:p>
    <w:p>
      <w:pPr>
        <w:bidi/>
        <w:spacing w:after="60" w:before="60" w:line="360"/>
        <w:jc w:val="both"/>
      </w:pPr>
      <w:r>
        <w:rPr>
          <w:rFonts w:ascii="Times New Roman" w:cs="Times New Roman" w:eastAsia="Times New Roman" w:hAnsi="Times New Roman"/>
          <w:b w:val="false"/>
          <w:bCs w:val="false"/>
          <w:color w:val="000000"/>
          <w:sz w:val="32"/>
          <w:szCs w:val="32"/>
          <w:rtl/>
        </w:rPr>
        <w:t xml:space="preserve">قضت المحكمة الإدارية العليا (الطعن رقم 1551 لسنة 36 قضائية عليا - جلسة 10/2/1991):</w:t>
      </w:r>
    </w:p>
    <w:p>
      <w:pPr>
        <w:bidi/>
        <w:spacing w:after="60" w:before="60" w:line="360"/>
        <w:jc w:val="both"/>
      </w:pPr>
      <w:r>
        <w:rPr>
          <w:rFonts w:ascii="Times New Roman" w:cs="Times New Roman" w:eastAsia="Times New Roman" w:hAnsi="Times New Roman"/>
          <w:b w:val="false"/>
          <w:bCs w:val="false"/>
          <w:color w:val="000000"/>
          <w:sz w:val="32"/>
          <w:szCs w:val="32"/>
          <w:rtl/>
        </w:rPr>
        <w:t xml:space="preserve">«إن الكتب الدورية والآراء الإفتائية الصادرة عن الجهات الإدارية تعد تعليمات لتفسير وتسيير العمل، ولا ترقى إلى مدارج القواعد القانونية والتشريعية الملزمة، فإذا ما تعارضت مع نص قانوني آمر أو قيد تشريعي فرضته نصوص القوانين الخاصة، تعين الرجوع إلى صحيح حكم القانون والالتزام بما أوجبه التشريع الصادر عن السلطة التشريعية».</w:t>
      </w:r>
    </w:p>
    <w:p>
      <w:pPr>
        <w:bidi/>
        <w:spacing w:after="120" w:before="240"/>
        <w:jc w:val="right"/>
      </w:pPr>
      <w:r>
        <w:rPr>
          <w:rFonts w:ascii="Times New Roman" w:cs="Times New Roman" w:eastAsia="Times New Roman" w:hAnsi="Times New Roman"/>
          <w:b/>
          <w:bCs/>
          <w:color w:val="000000"/>
          <w:sz w:val="34"/>
          <w:szCs w:val="34"/>
          <w:rtl/>
        </w:rPr>
        <w:t xml:space="preserve">تاسعاً / الخلاصة والنتيجة القانونية والتوصيات الإجرائية المعروضة للاعتماد</w:t>
      </w:r>
    </w:p>
    <w:p>
      <w:pPr>
        <w:bidi/>
        <w:spacing w:after="60" w:before="60" w:line="360"/>
        <w:jc w:val="both"/>
      </w:pPr>
      <w:r>
        <w:rPr>
          <w:rFonts w:ascii="Times New Roman" w:cs="Times New Roman" w:eastAsia="Times New Roman" w:hAnsi="Times New Roman"/>
          <w:b w:val="false"/>
          <w:bCs w:val="false"/>
          <w:color w:val="000000"/>
          <w:sz w:val="32"/>
          <w:szCs w:val="32"/>
          <w:rtl/>
        </w:rPr>
        <w:t xml:space="preserve">بناءً على ما تقدم من دراسة قانونية موضوعية متأنية، ومراجعة تشريعية دقيقة لنصوص قانون الخدمة المدنية رقم 81 لسنة 2016 ولائحته التنفيذية رقم 1216 لسنة 2017، وقانون الطفل رقم 12 لسنة 1996 وتعديلاته بالقانون 126 لسنة 2008، وقضاء المحكمة الإدارية العليا الموقرة؛ وفي ضوء ما انتهى إليه كتاب الزملاء بمديرية التنظيم والإدارة بالإسكندرية من التوجيه بموافاتهم برأي إدارة الفتوى والتشريع عند وروده؛ فإن الإدارة العامة للشئون القانونية بمديرية الزراعة بالإسكندرية تتشرف برفع التوصيات والمقترحات الآتية لمعاليكم للنظر والتفضل بالاعتماد:</w:t>
      </w:r>
    </w:p>
    <w:p>
      <w:pPr>
        <w:bidi/>
        <w:spacing w:after="60" w:before="60" w:line="360"/>
        <w:jc w:val="both"/>
      </w:pPr>
      <w:r>
        <w:rPr>
          <w:rFonts w:ascii="Times New Roman" w:cs="Times New Roman" w:eastAsia="Times New Roman" w:hAnsi="Times New Roman"/>
          <w:b w:val="false"/>
          <w:bCs w:val="false"/>
          <w:color w:val="000000"/>
          <w:sz w:val="32"/>
          <w:szCs w:val="32"/>
          <w:rtl/>
        </w:rPr>
        <w:t xml:space="preserve">1. الاستمرار في إرجاء البت في طلب السيدة / إلهام شهاب فرج بشأن منحها إجازة رعاية طفل للمرة التاسعة، لحين استطلاع واستصدار الرأي الإفتائي الحاسم والملزم من إدارة الفتوى والتشريع المختصة بمجلس الدولة الموقر، حمايةً للمشروعية الإدارية وصوناً لأموال الموازنة العامة من أي صرف تأميني غير مستقر، وتفادياً لملاحظات الجهاز المركزي للمحاسبات ووزارة المالية.</w:t>
      </w:r>
    </w:p>
    <w:p>
      <w:pPr>
        <w:bidi/>
        <w:spacing w:after="60" w:before="60" w:line="360"/>
        <w:jc w:val="both"/>
      </w:pPr>
      <w:r>
        <w:rPr>
          <w:rFonts w:ascii="Times New Roman" w:cs="Times New Roman" w:eastAsia="Times New Roman" w:hAnsi="Times New Roman"/>
          <w:b w:val="false"/>
          <w:bCs w:val="false"/>
          <w:color w:val="000000"/>
          <w:sz w:val="32"/>
          <w:szCs w:val="32"/>
          <w:rtl/>
        </w:rPr>
        <w:t xml:space="preserve">2. التفضل بالموافقة على مخاطبة السيد الأستاذ مدير مديرية التنظيم والإدارة بالإسكندرية بكل تقدير واحترام، بكتاب رسمي يشرح هذا المنظور التشريعي الموثق، ويحيطه علماً بالدراسة القانونية المستفيضة السابقة المودعة لديهم، ويؤكد على الاتفاق التام مع ما ورد بخاتمة كتابهم من انتظار فتوى مجلس الدولة الموقر لموافاة سيادتهم بها فور صدورها.</w:t>
      </w:r>
    </w:p>
    <w:p>
      <w:pPr>
        <w:bidi/>
        <w:spacing w:after="60" w:before="60" w:line="360"/>
        <w:jc w:val="both"/>
      </w:pPr>
      <w:r>
        <w:rPr>
          <w:rFonts w:ascii="Times New Roman" w:cs="Times New Roman" w:eastAsia="Times New Roman" w:hAnsi="Times New Roman"/>
          <w:b w:val="false"/>
          <w:bCs w:val="false"/>
          <w:color w:val="000000"/>
          <w:sz w:val="32"/>
          <w:szCs w:val="32"/>
          <w:rtl/>
        </w:rPr>
        <w:t xml:space="preserve">3. توجيه إدارة الموارد البشرية (شئون العاملين) بالمديرية إلى تدقيق ملفات إجازات رعاية الطفل، والتحقق المستمر من توافق فترات وعدد الإجازات الممنوحة مع الضوابط والقواعد التشريعية والتأمينية المنظمة، مع سرعة فحص ومطابقة شهادة ميلاد الطفل محل الطلب الحالي للتحقق من مدى استمرار توافر مناط الإجازة قانوناً وسناً.</w:t>
      </w:r>
    </w:p>
    <w:p>
      <w:pPr>
        <w:bidi/>
        <w:spacing w:after="200" w:before="240"/>
        <w:jc w:val="center"/>
      </w:pPr>
      <w:r>
        <w:rPr>
          <w:rFonts w:ascii="Times New Roman" w:cs="Times New Roman" w:eastAsia="Times New Roman" w:hAnsi="Times New Roman"/>
          <w:b/>
          <w:bCs/>
          <w:color w:val="000000"/>
          <w:sz w:val="32"/>
          <w:szCs w:val="32"/>
          <w:rtl/>
        </w:rPr>
        <w:t xml:space="preserve">
والأمر معروض على معاليكم للتفضل بالنظر والاعتماد،،،
</w:t>
      </w:r>
      <w:r>
        <w:rPr>
          <w:rFonts w:ascii="Times New Roman" w:cs="Times New Roman" w:eastAsia="Times New Roman" w:hAnsi="Times New Roman"/>
          <w:b/>
          <w:bCs/>
          <w:color w:val="000000"/>
          <w:sz w:val="34"/>
          <w:szCs w:val="34"/>
          <w:rtl/>
        </w:rPr>
        <w:t xml:space="preserve">مدير الإدارة القانونية
</w:t>
      </w:r>
      <w:r>
        <w:rPr>
          <w:rFonts w:ascii="Times New Roman" w:cs="Times New Roman" w:eastAsia="Times New Roman" w:hAnsi="Times New Roman"/>
          <w:b/>
          <w:bCs/>
          <w:color w:val="000000"/>
          <w:sz w:val="34"/>
          <w:szCs w:val="34"/>
          <w:rtl/>
        </w:rPr>
        <w:t xml:space="preserve">أ / أحمد منصور
</w:t>
      </w:r>
    </w:p>
    <w:sectPr>
      <w:pgSz w:w="11906" w:h="16838" w:orient="portrait"/>
      <w:pgMar w:top="1440" w:right="1440" w:bottom="1440" w:left="1440" w:header="708" w:footer="708" w:gutter="0"/>
      <w:pgBorders w:display="allPages" w:offsetFrom="page" w:zOrder="front"/>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2026-10-02T12:11:07.443Z</dcterms:created>
  <dcterms:modified xsi:type="dcterms:W3CDTF">2026-10-02T12:11:07.444Z</dcterms:modified>
</cp:coreProperties>
</file>

<file path=docProps/custom.xml><?xml version="1.0" encoding="utf-8"?>
<Properties xmlns="http://schemas.openxmlformats.org/officeDocument/2006/custom-properties" xmlns:vt="http://schemas.openxmlformats.org/officeDocument/2006/docPropsVTypes"/>
</file>