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rFonts w:ascii="Times New Roman" w:hAnsi="Times New Roman"/>
          <w:b/>
          <w:sz w:val="36"/>
          <w:rFonts w:ascii="Times New Roman" w:hAnsi="Times New Roman" w:cs="Times New Roman"/>
          <w:rtl/>
          <w:bCs/>
        </w:rPr>
        <w:t>م/ زيارة تفتيشية</w:t>
      </w:r>
    </w:p>
    <w:p>
      <w:pPr>
        <w:spacing w:line="360" w:lineRule="auto"/>
        <w:jc w:val="both"/>
        <w:bidi/>
      </w:pP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استناداً إلى الخطة السنوية لشعبة تفتيش المؤسسات الصحية الحكومية، أجرى فريق من قسم التفتيش زيارة تفتيشية الى (مستشفى الامام علي) بتاريخ (10/10/2026)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>وتم ملاحظة الاتي :</w:t>
      </w:r>
    </w:p>
    <w:p>
      <w:r>
        <w:t xml:space="preserve"> </w:t>
      </w:r>
    </w:p>
    <w:p>
      <w:r>
        <w:t xml:space="preserve"> </w:t>
      </w:r>
    </w:p>
    <w:p>
      <w:pPr>
        <w:jc w:val="both"/>
        <w:bidi/>
      </w:pPr>
      <w:r>
        <w:rPr>
          <w:rFonts w:ascii="Times New Roman" w:hAnsi="Times New Roman"/>
          <w:b/>
          <w:sz w:val="32"/>
          <w:rFonts w:ascii="Times New Roman" w:hAnsi="Times New Roman" w:cs="Times New Roman"/>
          <w:rtl/>
          <w:bCs/>
        </w:rPr>
        <w:t>المحور الإداري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السجلات: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منتبلمنيتبملنتيبملنت</w:t>
      </w:r>
    </w:p>
    <w:p>
      <w:pPr>
        <w:jc w:val="both"/>
        <w:bidi/>
      </w:pP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ةوزىبسةيىبوسةىيب</w:t>
      </w:r>
    </w:p>
    <w:p>
      <w:r>
        <w:t xml:space="preserve"> </w:t>
      </w:r>
    </w:p>
    <w:p>
      <w:r>
        <w:br w:type="page"/>
      </w:r>
    </w:p>
    <w:p>
      <w:pPr>
        <w:jc w:val="both"/>
        <w:bidi/>
      </w:pPr>
      <w:r>
        <w:rPr>
          <w:rFonts w:ascii="Times New Roman" w:hAnsi="Times New Roman"/>
          <w:b/>
          <w:sz w:val="32"/>
          <w:rFonts w:ascii="Times New Roman" w:hAnsi="Times New Roman" w:cs="Times New Roman"/>
          <w:rtl/>
          <w:bCs/>
        </w:rPr>
        <w:t>التوصيات:</w:t>
      </w:r>
    </w:p>
    <w:p>
      <w:pPr>
        <w:jc w:val="both"/>
        <w:bidi/>
      </w:pPr>
      <w:r>
        <w:rPr>
          <w:rFonts w:ascii="Times New Roman" w:hAnsi="Times New Roman"/>
          <w:b/>
          <w:sz w:val="28"/>
          <w:rFonts w:ascii="Times New Roman" w:hAnsi="Times New Roman" w:cs="Times New Roman"/>
          <w:rtl/>
          <w:bCs/>
        </w:rPr>
        <w:t>أ/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1.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أولى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2.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ثانية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3.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ثالثة</w:t>
      </w:r>
    </w:p>
    <w:p>
      <w:r>
        <w:t xml:space="preserve"> </w:t>
      </w:r>
    </w:p>
    <w:p>
      <w:pPr>
        <w:jc w:val="both"/>
        <w:bidi/>
      </w:pPr>
      <w:r>
        <w:rPr>
          <w:rFonts w:ascii="Times New Roman" w:hAnsi="Times New Roman"/>
          <w:b/>
          <w:sz w:val="28"/>
          <w:rFonts w:ascii="Times New Roman" w:hAnsi="Times New Roman" w:cs="Times New Roman"/>
          <w:rtl/>
          <w:bCs/>
        </w:rPr>
        <w:t>ب/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1.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رابعة</w:t>
      </w:r>
    </w:p>
    <w:p>
      <w:pPr>
        <w:jc w:val="both"/>
        <w:bidi/>
      </w:pPr>
      <w:r>
        <w:rPr>
          <w:rFonts w:ascii="Times New Roman" w:hAnsi="Times New Roman"/>
          <w:b/>
          <w:sz w:val="24"/>
          <w:rFonts w:ascii="Times New Roman" w:hAnsi="Times New Roman" w:cs="Times New Roman"/>
          <w:rtl/>
          <w:bCs/>
        </w:rPr>
        <w:t xml:space="preserve">2. </w:t>
      </w:r>
      <w:r>
        <w:rPr>
          <w:rFonts w:ascii="Times New Roman" w:hAnsi="Times New Roman"/>
          <w:b w:val="0"/>
          <w:sz w:val="24"/>
          <w:rFonts w:ascii="Times New Roman" w:hAnsi="Times New Roman" w:cs="Times New Roman"/>
          <w:rtl/>
        </w:rPr>
        <w:t>توصية خامسة</w:t>
      </w:r>
    </w:p>
    <w:p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