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1745" w14:textId="77777777" w:rsidR="00994C1D" w:rsidRDefault="00000000">
      <w:pPr>
        <w:spacing w:after="40"/>
      </w:pPr>
      <w:r>
        <w:rPr>
          <w:rFonts w:ascii="Calibri" w:hAnsi="Calibri"/>
          <w:b/>
          <w:color w:val="1A365D"/>
          <w:sz w:val="36"/>
        </w:rPr>
        <w:t>BLACK-SCHOLES-MERTON MODEL</w:t>
      </w:r>
    </w:p>
    <w:p w14:paraId="1D9C5596" w14:textId="77777777" w:rsidR="00994C1D" w:rsidRDefault="00000000">
      <w:pPr>
        <w:spacing w:after="320"/>
        <w:rPr>
          <w:rFonts w:ascii="Calibri Light" w:hAnsi="Calibri Light"/>
          <w:color w:val="3182CE"/>
        </w:rPr>
      </w:pPr>
      <w:r>
        <w:rPr>
          <w:rFonts w:ascii="Calibri Light" w:hAnsi="Calibri Light"/>
          <w:color w:val="3182CE"/>
        </w:rPr>
        <w:t>Theory, Mathematical Definitions, Real-Life Applications, and Analytical Formulas</w:t>
      </w:r>
    </w:p>
    <w:p w14:paraId="5296C114" w14:textId="1F8BCA3A" w:rsidR="002A1010" w:rsidRDefault="002A1010">
      <w:pPr>
        <w:spacing w:after="320"/>
      </w:pPr>
      <w:r w:rsidRPr="002A1010">
        <w:t xml:space="preserve">The </w:t>
      </w:r>
      <w:r w:rsidRPr="002A1010">
        <w:rPr>
          <w:b/>
          <w:bCs/>
        </w:rPr>
        <w:t>Black-Scholes-Merton (BSM)</w:t>
      </w:r>
      <w:r w:rsidRPr="002A1010">
        <w:t xml:space="preserve"> model is a mathematical framework used to price and evaluate financial derivative contracts, most notably European-style options. Developed by economists Fischer Black, Myron Scholes, and Robert Merton in 1973 (an achievement that won the Nobel Prize in Economics in 1997), the model revolutionized the financial industry by providing a rigorous, mathematical way to calculate the fair value of derivatives.</w:t>
      </w:r>
    </w:p>
    <w:p w14:paraId="118C12B8" w14:textId="77777777" w:rsidR="00994C1D" w:rsidRDefault="00000000">
      <w:pPr>
        <w:spacing w:before="240" w:after="120"/>
      </w:pPr>
      <w:r>
        <w:rPr>
          <w:rFonts w:ascii="Calibri" w:hAnsi="Calibri"/>
          <w:b/>
          <w:color w:val="1A365D"/>
          <w:sz w:val="24"/>
        </w:rPr>
        <w:t>1. MATHEMATICAL DEFINITIONS AND CONCEPTS</w:t>
      </w:r>
    </w:p>
    <w:p w14:paraId="45B6CB4D" w14:textId="77777777" w:rsidR="00994C1D" w:rsidRDefault="00000000">
      <w:pPr>
        <w:pStyle w:val="ListBullet"/>
        <w:spacing w:after="40"/>
      </w:pPr>
      <w:r>
        <w:rPr>
          <w:rFonts w:ascii="Calibri" w:hAnsi="Calibri"/>
          <w:b/>
          <w:color w:val="3182CE"/>
          <w:sz w:val="20"/>
        </w:rPr>
        <w:t>Underlying Asset Price (S):</w:t>
      </w:r>
      <w:r>
        <w:rPr>
          <w:rFonts w:ascii="Calibri" w:hAnsi="Calibri"/>
          <w:color w:val="2D3748"/>
          <w:sz w:val="20"/>
        </w:rPr>
        <w:t xml:space="preserve"> The current market price of the asset (stock, ETF, or commodity) on which the option contract is based.</w:t>
      </w:r>
    </w:p>
    <w:p w14:paraId="10A21421" w14:textId="77777777" w:rsidR="00994C1D" w:rsidRDefault="00000000">
      <w:pPr>
        <w:pStyle w:val="ListBullet"/>
        <w:spacing w:after="40"/>
      </w:pPr>
      <w:r>
        <w:rPr>
          <w:rFonts w:ascii="Calibri" w:hAnsi="Calibri"/>
          <w:b/>
          <w:color w:val="3182CE"/>
          <w:sz w:val="20"/>
        </w:rPr>
        <w:t>Strike Price (K):</w:t>
      </w:r>
      <w:r>
        <w:rPr>
          <w:rFonts w:ascii="Calibri" w:hAnsi="Calibri"/>
          <w:color w:val="2D3748"/>
          <w:sz w:val="20"/>
        </w:rPr>
        <w:t xml:space="preserve"> The predetermined price at which the holder of the option can buy (Call) or sell (Put) the underlying asset.</w:t>
      </w:r>
    </w:p>
    <w:p w14:paraId="34EAF095" w14:textId="77777777" w:rsidR="00994C1D" w:rsidRDefault="00000000">
      <w:pPr>
        <w:pStyle w:val="ListBullet"/>
        <w:spacing w:after="40"/>
      </w:pPr>
      <w:r>
        <w:rPr>
          <w:rFonts w:ascii="Calibri" w:hAnsi="Calibri"/>
          <w:b/>
          <w:color w:val="3182CE"/>
          <w:sz w:val="20"/>
        </w:rPr>
        <w:t>Time to Maturity (T):</w:t>
      </w:r>
      <w:r>
        <w:rPr>
          <w:rFonts w:ascii="Calibri" w:hAnsi="Calibri"/>
          <w:color w:val="2D3748"/>
          <w:sz w:val="20"/>
        </w:rPr>
        <w:t xml:space="preserve"> The length of time until the option expires, measured in years.</w:t>
      </w:r>
    </w:p>
    <w:p w14:paraId="341C5F9E" w14:textId="77777777" w:rsidR="00994C1D" w:rsidRDefault="00000000">
      <w:pPr>
        <w:pStyle w:val="ListBullet"/>
        <w:spacing w:after="40"/>
      </w:pPr>
      <w:r>
        <w:rPr>
          <w:rFonts w:ascii="Calibri" w:hAnsi="Calibri"/>
          <w:b/>
          <w:color w:val="3182CE"/>
          <w:sz w:val="20"/>
        </w:rPr>
        <w:t>Risk-Free Interest Rate (r):</w:t>
      </w:r>
      <w:r>
        <w:rPr>
          <w:rFonts w:ascii="Calibri" w:hAnsi="Calibri"/>
          <w:color w:val="2D3748"/>
          <w:sz w:val="20"/>
        </w:rPr>
        <w:t xml:space="preserve"> The theoretical rate of return of an investment with zero risk (such as a U.S. Treasury bond).</w:t>
      </w:r>
    </w:p>
    <w:p w14:paraId="3F8D01EC" w14:textId="77777777" w:rsidR="00994C1D" w:rsidRDefault="00000000">
      <w:pPr>
        <w:pStyle w:val="ListBullet"/>
        <w:spacing w:after="40"/>
      </w:pPr>
      <w:r>
        <w:rPr>
          <w:rFonts w:ascii="Calibri" w:hAnsi="Calibri"/>
          <w:b/>
          <w:color w:val="3182CE"/>
          <w:sz w:val="20"/>
        </w:rPr>
        <w:t>Volatility (σ):</w:t>
      </w:r>
      <w:r>
        <w:rPr>
          <w:rFonts w:ascii="Calibri" w:hAnsi="Calibri"/>
          <w:color w:val="2D3748"/>
          <w:sz w:val="20"/>
        </w:rPr>
        <w:t xml:space="preserve"> A statistical measure of the dispersion of returns for a given security. Higher volatility means the price fluctuates more, increasing the value of the option.</w:t>
      </w:r>
    </w:p>
    <w:p w14:paraId="1F8F8631" w14:textId="77777777" w:rsidR="00994C1D" w:rsidRDefault="00000000">
      <w:pPr>
        <w:spacing w:before="320" w:after="120"/>
      </w:pPr>
      <w:r>
        <w:rPr>
          <w:rFonts w:ascii="Calibri" w:hAnsi="Calibri"/>
          <w:b/>
          <w:color w:val="1A365D"/>
          <w:sz w:val="24"/>
        </w:rPr>
        <w:t>2. MATHEMATICAL FORMULATION</w:t>
      </w:r>
    </w:p>
    <w:tbl>
      <w:tblPr>
        <w:tblW w:w="0" w:type="auto"/>
        <w:jc w:val="center"/>
        <w:tblLook w:val="04A0" w:firstRow="1" w:lastRow="0" w:firstColumn="1" w:lastColumn="0" w:noHBand="0" w:noVBand="1"/>
      </w:tblPr>
      <w:tblGrid>
        <w:gridCol w:w="3600"/>
        <w:gridCol w:w="5760"/>
      </w:tblGrid>
      <w:tr w:rsidR="00994C1D" w14:paraId="7FFAD389" w14:textId="77777777">
        <w:trPr>
          <w:jc w:val="center"/>
        </w:trPr>
        <w:tc>
          <w:tcPr>
            <w:tcW w:w="3600" w:type="dxa"/>
            <w:shd w:val="clear" w:color="auto" w:fill="EBF8FF"/>
            <w:tcMar>
              <w:top w:w="100" w:type="dxa"/>
              <w:left w:w="120" w:type="dxa"/>
              <w:bottom w:w="100" w:type="dxa"/>
              <w:right w:w="120" w:type="dxa"/>
            </w:tcMar>
          </w:tcPr>
          <w:p w14:paraId="601BB5E7" w14:textId="77777777" w:rsidR="00994C1D" w:rsidRDefault="00000000">
            <w:pPr>
              <w:spacing w:after="0"/>
            </w:pPr>
            <w:r>
              <w:rPr>
                <w:rFonts w:ascii="Calibri" w:hAnsi="Calibri"/>
                <w:b/>
                <w:color w:val="1A365D"/>
                <w:sz w:val="19"/>
              </w:rPr>
              <w:t>Formula Name</w:t>
            </w:r>
          </w:p>
        </w:tc>
        <w:tc>
          <w:tcPr>
            <w:tcW w:w="5760" w:type="dxa"/>
            <w:shd w:val="clear" w:color="auto" w:fill="EBF8FF"/>
            <w:tcMar>
              <w:top w:w="100" w:type="dxa"/>
              <w:left w:w="120" w:type="dxa"/>
              <w:bottom w:w="100" w:type="dxa"/>
              <w:right w:w="120" w:type="dxa"/>
            </w:tcMar>
          </w:tcPr>
          <w:p w14:paraId="221E5049" w14:textId="77777777" w:rsidR="00994C1D" w:rsidRDefault="00000000">
            <w:pPr>
              <w:spacing w:after="0"/>
            </w:pPr>
            <w:r>
              <w:rPr>
                <w:rFonts w:ascii="Calibri" w:hAnsi="Calibri"/>
                <w:b/>
                <w:color w:val="1A365D"/>
                <w:sz w:val="19"/>
              </w:rPr>
              <w:t>Mathematical Expression</w:t>
            </w:r>
          </w:p>
        </w:tc>
      </w:tr>
      <w:tr w:rsidR="00994C1D" w14:paraId="6E61BCD0" w14:textId="77777777">
        <w:trPr>
          <w:jc w:val="center"/>
        </w:trPr>
        <w:tc>
          <w:tcPr>
            <w:tcW w:w="3600" w:type="dxa"/>
            <w:shd w:val="clear" w:color="auto" w:fill="F7FAFC"/>
            <w:tcMar>
              <w:top w:w="100" w:type="dxa"/>
              <w:left w:w="120" w:type="dxa"/>
              <w:bottom w:w="100" w:type="dxa"/>
              <w:right w:w="120" w:type="dxa"/>
            </w:tcMar>
          </w:tcPr>
          <w:p w14:paraId="549238DD" w14:textId="77777777" w:rsidR="00994C1D" w:rsidRDefault="00000000">
            <w:pPr>
              <w:spacing w:after="0"/>
            </w:pPr>
            <w:r>
              <w:rPr>
                <w:rFonts w:ascii="Calibri" w:hAnsi="Calibri"/>
                <w:color w:val="2D3748"/>
                <w:sz w:val="19"/>
              </w:rPr>
              <w:t>Black-Scholes-Merton PDE</w:t>
            </w:r>
          </w:p>
        </w:tc>
        <w:tc>
          <w:tcPr>
            <w:tcW w:w="5760" w:type="dxa"/>
            <w:shd w:val="clear" w:color="auto" w:fill="F7FAFC"/>
            <w:tcMar>
              <w:top w:w="100" w:type="dxa"/>
              <w:left w:w="120" w:type="dxa"/>
              <w:bottom w:w="100" w:type="dxa"/>
              <w:right w:w="120" w:type="dxa"/>
            </w:tcMar>
          </w:tcPr>
          <w:p w14:paraId="089C4723" w14:textId="77777777" w:rsidR="00994C1D" w:rsidRDefault="00000000">
            <w:pPr>
              <w:spacing w:after="0"/>
            </w:pPr>
            <w:r>
              <w:rPr>
                <w:rFonts w:ascii="Calibri" w:hAnsi="Calibri"/>
                <w:color w:val="2D3748"/>
                <w:sz w:val="19"/>
              </w:rPr>
              <w:t>∂V/∂t + 0.5σ²S² (∂²V/∂S²) + rS (∂V/∂S) - rV = 0</w:t>
            </w:r>
          </w:p>
        </w:tc>
      </w:tr>
      <w:tr w:rsidR="00994C1D" w14:paraId="04CC846B" w14:textId="77777777">
        <w:trPr>
          <w:jc w:val="center"/>
        </w:trPr>
        <w:tc>
          <w:tcPr>
            <w:tcW w:w="3600" w:type="dxa"/>
            <w:tcMar>
              <w:top w:w="100" w:type="dxa"/>
              <w:left w:w="120" w:type="dxa"/>
              <w:bottom w:w="100" w:type="dxa"/>
              <w:right w:w="120" w:type="dxa"/>
            </w:tcMar>
          </w:tcPr>
          <w:p w14:paraId="3695731F" w14:textId="77777777" w:rsidR="00994C1D" w:rsidRDefault="00000000">
            <w:pPr>
              <w:spacing w:after="0"/>
            </w:pPr>
            <w:r>
              <w:rPr>
                <w:rFonts w:ascii="Calibri" w:hAnsi="Calibri"/>
                <w:color w:val="2D3748"/>
                <w:sz w:val="19"/>
              </w:rPr>
              <w:t>European Call Option Price</w:t>
            </w:r>
          </w:p>
        </w:tc>
        <w:tc>
          <w:tcPr>
            <w:tcW w:w="5760" w:type="dxa"/>
            <w:tcMar>
              <w:top w:w="100" w:type="dxa"/>
              <w:left w:w="120" w:type="dxa"/>
              <w:bottom w:w="100" w:type="dxa"/>
              <w:right w:w="120" w:type="dxa"/>
            </w:tcMar>
          </w:tcPr>
          <w:p w14:paraId="1E6E33F8" w14:textId="77777777" w:rsidR="00994C1D" w:rsidRDefault="00000000">
            <w:pPr>
              <w:spacing w:after="0"/>
            </w:pPr>
            <w:r>
              <w:rPr>
                <w:rFonts w:ascii="Calibri" w:hAnsi="Calibri"/>
                <w:color w:val="2D3748"/>
                <w:sz w:val="19"/>
              </w:rPr>
              <w:t>C(S,K,T) = S × Φ(d₁) - K × e^(-rT) × Φ(d₂)</w:t>
            </w:r>
          </w:p>
        </w:tc>
      </w:tr>
    </w:tbl>
    <w:p w14:paraId="3500AFC0" w14:textId="77777777" w:rsidR="00994C1D" w:rsidRDefault="00000000">
      <w:pPr>
        <w:spacing w:before="160" w:after="120"/>
      </w:pPr>
      <w:r>
        <w:rPr>
          <w:rFonts w:ascii="Calibri" w:hAnsi="Calibri"/>
          <w:i/>
          <w:color w:val="3182CE"/>
          <w:sz w:val="20"/>
        </w:rPr>
        <w:t>The parameters d1 and d2 are defined as follows:</w:t>
      </w:r>
    </w:p>
    <w:tbl>
      <w:tblPr>
        <w:tblW w:w="0" w:type="auto"/>
        <w:jc w:val="center"/>
        <w:tblLook w:val="04A0" w:firstRow="1" w:lastRow="0" w:firstColumn="1" w:lastColumn="0" w:noHBand="0" w:noVBand="1"/>
      </w:tblPr>
      <w:tblGrid>
        <w:gridCol w:w="2880"/>
        <w:gridCol w:w="6480"/>
      </w:tblGrid>
      <w:tr w:rsidR="00994C1D" w14:paraId="53EEB3CA" w14:textId="77777777">
        <w:trPr>
          <w:jc w:val="center"/>
        </w:trPr>
        <w:tc>
          <w:tcPr>
            <w:tcW w:w="2880" w:type="dxa"/>
            <w:tcMar>
              <w:top w:w="80" w:type="dxa"/>
              <w:left w:w="100" w:type="dxa"/>
              <w:bottom w:w="80" w:type="dxa"/>
              <w:right w:w="100" w:type="dxa"/>
            </w:tcMar>
          </w:tcPr>
          <w:p w14:paraId="76631909" w14:textId="77777777" w:rsidR="00994C1D" w:rsidRDefault="00000000">
            <w:r>
              <w:rPr>
                <w:rFonts w:ascii="Calibri" w:hAnsi="Calibri"/>
                <w:b/>
                <w:color w:val="1A365D"/>
                <w:sz w:val="19"/>
              </w:rPr>
              <w:t>d1 Parameter</w:t>
            </w:r>
          </w:p>
        </w:tc>
        <w:tc>
          <w:tcPr>
            <w:tcW w:w="6480" w:type="dxa"/>
            <w:tcMar>
              <w:top w:w="80" w:type="dxa"/>
              <w:left w:w="100" w:type="dxa"/>
              <w:bottom w:w="80" w:type="dxa"/>
              <w:right w:w="100" w:type="dxa"/>
            </w:tcMar>
          </w:tcPr>
          <w:p w14:paraId="52C468A0" w14:textId="77777777" w:rsidR="00994C1D" w:rsidRDefault="00000000">
            <w:r>
              <w:rPr>
                <w:rFonts w:ascii="Calibri" w:hAnsi="Calibri"/>
                <w:color w:val="2D3748"/>
                <w:sz w:val="19"/>
              </w:rPr>
              <w:t>d1 = [ ln(S/K) + (r + σ²/2)T ] / [ σ × √T ]</w:t>
            </w:r>
          </w:p>
        </w:tc>
      </w:tr>
      <w:tr w:rsidR="00994C1D" w14:paraId="1D0FDFE8" w14:textId="77777777">
        <w:trPr>
          <w:jc w:val="center"/>
        </w:trPr>
        <w:tc>
          <w:tcPr>
            <w:tcW w:w="2880" w:type="dxa"/>
            <w:shd w:val="clear" w:color="auto" w:fill="F7FAFC"/>
            <w:tcMar>
              <w:top w:w="80" w:type="dxa"/>
              <w:left w:w="100" w:type="dxa"/>
              <w:bottom w:w="80" w:type="dxa"/>
              <w:right w:w="100" w:type="dxa"/>
            </w:tcMar>
          </w:tcPr>
          <w:p w14:paraId="07743B48" w14:textId="77777777" w:rsidR="00994C1D" w:rsidRDefault="00000000">
            <w:r>
              <w:rPr>
                <w:rFonts w:ascii="Calibri" w:hAnsi="Calibri"/>
                <w:b/>
                <w:color w:val="1A365D"/>
                <w:sz w:val="19"/>
              </w:rPr>
              <w:t>d2 Parameter</w:t>
            </w:r>
          </w:p>
        </w:tc>
        <w:tc>
          <w:tcPr>
            <w:tcW w:w="6480" w:type="dxa"/>
            <w:shd w:val="clear" w:color="auto" w:fill="F7FAFC"/>
            <w:tcMar>
              <w:top w:w="80" w:type="dxa"/>
              <w:left w:w="100" w:type="dxa"/>
              <w:bottom w:w="80" w:type="dxa"/>
              <w:right w:w="100" w:type="dxa"/>
            </w:tcMar>
          </w:tcPr>
          <w:p w14:paraId="1112E60B" w14:textId="77777777" w:rsidR="00994C1D" w:rsidRDefault="00000000">
            <w:r>
              <w:rPr>
                <w:rFonts w:ascii="Calibri" w:hAnsi="Calibri"/>
                <w:color w:val="2D3748"/>
                <w:sz w:val="19"/>
              </w:rPr>
              <w:t>d2 = d1 - σ × √T</w:t>
            </w:r>
          </w:p>
        </w:tc>
      </w:tr>
    </w:tbl>
    <w:p w14:paraId="050D8BB2" w14:textId="77777777" w:rsidR="00994C1D" w:rsidRDefault="00000000">
      <w:pPr>
        <w:spacing w:before="320" w:after="120"/>
      </w:pPr>
      <w:r>
        <w:rPr>
          <w:rFonts w:ascii="Calibri" w:hAnsi="Calibri"/>
          <w:b/>
          <w:color w:val="1A365D"/>
          <w:sz w:val="24"/>
        </w:rPr>
        <w:t>3. THE GREEKS: ANALYTICAL SENSITIVITIES</w:t>
      </w:r>
    </w:p>
    <w:tbl>
      <w:tblPr>
        <w:tblW w:w="0" w:type="auto"/>
        <w:jc w:val="center"/>
        <w:tblLook w:val="04A0" w:firstRow="1" w:lastRow="0" w:firstColumn="1" w:lastColumn="0" w:noHBand="0" w:noVBand="1"/>
      </w:tblPr>
      <w:tblGrid>
        <w:gridCol w:w="2160"/>
        <w:gridCol w:w="4032"/>
        <w:gridCol w:w="3168"/>
      </w:tblGrid>
      <w:tr w:rsidR="00994C1D" w14:paraId="6FFA966B" w14:textId="77777777">
        <w:trPr>
          <w:jc w:val="center"/>
        </w:trPr>
        <w:tc>
          <w:tcPr>
            <w:tcW w:w="2160" w:type="dxa"/>
            <w:shd w:val="clear" w:color="auto" w:fill="EBF8FF"/>
            <w:tcMar>
              <w:top w:w="100" w:type="dxa"/>
              <w:left w:w="120" w:type="dxa"/>
              <w:bottom w:w="100" w:type="dxa"/>
              <w:right w:w="120" w:type="dxa"/>
            </w:tcMar>
          </w:tcPr>
          <w:p w14:paraId="73B4D8EB" w14:textId="77777777" w:rsidR="00994C1D" w:rsidRDefault="00000000">
            <w:pPr>
              <w:spacing w:after="0"/>
            </w:pPr>
            <w:r>
              <w:rPr>
                <w:rFonts w:ascii="Calibri" w:hAnsi="Calibri"/>
                <w:b/>
                <w:color w:val="1A365D"/>
                <w:sz w:val="19"/>
              </w:rPr>
              <w:t>Greek Metric</w:t>
            </w:r>
          </w:p>
        </w:tc>
        <w:tc>
          <w:tcPr>
            <w:tcW w:w="4032" w:type="dxa"/>
            <w:shd w:val="clear" w:color="auto" w:fill="EBF8FF"/>
            <w:tcMar>
              <w:top w:w="100" w:type="dxa"/>
              <w:left w:w="120" w:type="dxa"/>
              <w:bottom w:w="100" w:type="dxa"/>
              <w:right w:w="120" w:type="dxa"/>
            </w:tcMar>
          </w:tcPr>
          <w:p w14:paraId="7BF2A47B" w14:textId="77777777" w:rsidR="00994C1D" w:rsidRDefault="00000000">
            <w:pPr>
              <w:spacing w:after="0"/>
            </w:pPr>
            <w:r>
              <w:rPr>
                <w:rFonts w:ascii="Calibri" w:hAnsi="Calibri"/>
                <w:b/>
                <w:color w:val="1A365D"/>
                <w:sz w:val="19"/>
              </w:rPr>
              <w:t>Mathematical Expression</w:t>
            </w:r>
          </w:p>
        </w:tc>
        <w:tc>
          <w:tcPr>
            <w:tcW w:w="3168" w:type="dxa"/>
            <w:shd w:val="clear" w:color="auto" w:fill="EBF8FF"/>
            <w:tcMar>
              <w:top w:w="100" w:type="dxa"/>
              <w:left w:w="120" w:type="dxa"/>
              <w:bottom w:w="100" w:type="dxa"/>
              <w:right w:w="120" w:type="dxa"/>
            </w:tcMar>
          </w:tcPr>
          <w:p w14:paraId="269CFF4B" w14:textId="77777777" w:rsidR="00994C1D" w:rsidRDefault="00000000">
            <w:pPr>
              <w:spacing w:after="0"/>
            </w:pPr>
            <w:r>
              <w:rPr>
                <w:rFonts w:ascii="Calibri" w:hAnsi="Calibri"/>
                <w:b/>
                <w:color w:val="1A365D"/>
                <w:sz w:val="19"/>
              </w:rPr>
              <w:t>Description</w:t>
            </w:r>
          </w:p>
        </w:tc>
      </w:tr>
      <w:tr w:rsidR="00994C1D" w14:paraId="542454AB" w14:textId="77777777">
        <w:trPr>
          <w:jc w:val="center"/>
        </w:trPr>
        <w:tc>
          <w:tcPr>
            <w:tcW w:w="2160" w:type="dxa"/>
            <w:shd w:val="clear" w:color="auto" w:fill="F7FAFC"/>
            <w:tcMar>
              <w:top w:w="100" w:type="dxa"/>
              <w:left w:w="120" w:type="dxa"/>
              <w:bottom w:w="100" w:type="dxa"/>
              <w:right w:w="120" w:type="dxa"/>
            </w:tcMar>
          </w:tcPr>
          <w:p w14:paraId="7B696D38" w14:textId="77777777" w:rsidR="00994C1D" w:rsidRDefault="00000000">
            <w:pPr>
              <w:spacing w:after="0"/>
            </w:pPr>
            <w:r>
              <w:rPr>
                <w:rFonts w:ascii="Calibri" w:hAnsi="Calibri"/>
                <w:color w:val="2D3748"/>
                <w:sz w:val="19"/>
              </w:rPr>
              <w:t>Delta (Δ - Call)</w:t>
            </w:r>
          </w:p>
        </w:tc>
        <w:tc>
          <w:tcPr>
            <w:tcW w:w="4032" w:type="dxa"/>
            <w:shd w:val="clear" w:color="auto" w:fill="F7FAFC"/>
            <w:tcMar>
              <w:top w:w="100" w:type="dxa"/>
              <w:left w:w="120" w:type="dxa"/>
              <w:bottom w:w="100" w:type="dxa"/>
              <w:right w:w="120" w:type="dxa"/>
            </w:tcMar>
          </w:tcPr>
          <w:p w14:paraId="16900258" w14:textId="77777777" w:rsidR="00994C1D" w:rsidRDefault="00000000">
            <w:pPr>
              <w:spacing w:after="0"/>
            </w:pPr>
            <w:r>
              <w:rPr>
                <w:rFonts w:ascii="Calibri" w:hAnsi="Calibri"/>
                <w:color w:val="2D3748"/>
                <w:sz w:val="19"/>
              </w:rPr>
              <w:t>Φ(d₁)</w:t>
            </w:r>
          </w:p>
        </w:tc>
        <w:tc>
          <w:tcPr>
            <w:tcW w:w="3168" w:type="dxa"/>
            <w:shd w:val="clear" w:color="auto" w:fill="F7FAFC"/>
            <w:tcMar>
              <w:top w:w="100" w:type="dxa"/>
              <w:left w:w="120" w:type="dxa"/>
              <w:bottom w:w="100" w:type="dxa"/>
              <w:right w:w="120" w:type="dxa"/>
            </w:tcMar>
          </w:tcPr>
          <w:p w14:paraId="2DB6AD55" w14:textId="77777777" w:rsidR="00994C1D" w:rsidRDefault="00000000">
            <w:pPr>
              <w:spacing w:after="0"/>
            </w:pPr>
            <w:r>
              <w:rPr>
                <w:rFonts w:ascii="Calibri" w:hAnsi="Calibri"/>
                <w:color w:val="2D3748"/>
                <w:sz w:val="19"/>
              </w:rPr>
              <w:t>The hedge ratio; rate of change of price w.r.t underlying price.</w:t>
            </w:r>
          </w:p>
        </w:tc>
      </w:tr>
      <w:tr w:rsidR="00994C1D" w14:paraId="3536D7B6" w14:textId="77777777">
        <w:trPr>
          <w:jc w:val="center"/>
        </w:trPr>
        <w:tc>
          <w:tcPr>
            <w:tcW w:w="2160" w:type="dxa"/>
            <w:tcMar>
              <w:top w:w="100" w:type="dxa"/>
              <w:left w:w="120" w:type="dxa"/>
              <w:bottom w:w="100" w:type="dxa"/>
              <w:right w:w="120" w:type="dxa"/>
            </w:tcMar>
          </w:tcPr>
          <w:p w14:paraId="10D10635" w14:textId="77777777" w:rsidR="00994C1D" w:rsidRDefault="00000000">
            <w:pPr>
              <w:spacing w:after="0"/>
            </w:pPr>
            <w:r>
              <w:rPr>
                <w:rFonts w:ascii="Calibri" w:hAnsi="Calibri"/>
                <w:color w:val="2D3748"/>
                <w:sz w:val="19"/>
              </w:rPr>
              <w:t>Gamma (Γ)</w:t>
            </w:r>
          </w:p>
        </w:tc>
        <w:tc>
          <w:tcPr>
            <w:tcW w:w="4032" w:type="dxa"/>
            <w:tcMar>
              <w:top w:w="100" w:type="dxa"/>
              <w:left w:w="120" w:type="dxa"/>
              <w:bottom w:w="100" w:type="dxa"/>
              <w:right w:w="120" w:type="dxa"/>
            </w:tcMar>
          </w:tcPr>
          <w:p w14:paraId="3DE7C9D0" w14:textId="77777777" w:rsidR="00994C1D" w:rsidRDefault="00000000">
            <w:pPr>
              <w:spacing w:after="0"/>
            </w:pPr>
            <w:r>
              <w:rPr>
                <w:rFonts w:ascii="Calibri" w:hAnsi="Calibri"/>
                <w:color w:val="2D3748"/>
                <w:sz w:val="19"/>
              </w:rPr>
              <w:t>Φ'(d₁) / (S × σ × √T)</w:t>
            </w:r>
          </w:p>
        </w:tc>
        <w:tc>
          <w:tcPr>
            <w:tcW w:w="3168" w:type="dxa"/>
            <w:tcMar>
              <w:top w:w="100" w:type="dxa"/>
              <w:left w:w="120" w:type="dxa"/>
              <w:bottom w:w="100" w:type="dxa"/>
              <w:right w:w="120" w:type="dxa"/>
            </w:tcMar>
          </w:tcPr>
          <w:p w14:paraId="00361100" w14:textId="77777777" w:rsidR="00994C1D" w:rsidRDefault="00000000">
            <w:pPr>
              <w:spacing w:after="0"/>
            </w:pPr>
            <w:r>
              <w:rPr>
                <w:rFonts w:ascii="Calibri" w:hAnsi="Calibri"/>
                <w:color w:val="2D3748"/>
                <w:sz w:val="19"/>
              </w:rPr>
              <w:t>Measures second-order sensitivity of the value function.</w:t>
            </w:r>
          </w:p>
        </w:tc>
      </w:tr>
      <w:tr w:rsidR="00994C1D" w14:paraId="0FFFA523" w14:textId="77777777">
        <w:trPr>
          <w:jc w:val="center"/>
        </w:trPr>
        <w:tc>
          <w:tcPr>
            <w:tcW w:w="2160" w:type="dxa"/>
            <w:shd w:val="clear" w:color="auto" w:fill="F7FAFC"/>
            <w:tcMar>
              <w:top w:w="100" w:type="dxa"/>
              <w:left w:w="120" w:type="dxa"/>
              <w:bottom w:w="100" w:type="dxa"/>
              <w:right w:w="120" w:type="dxa"/>
            </w:tcMar>
          </w:tcPr>
          <w:p w14:paraId="13FE2921" w14:textId="77777777" w:rsidR="00994C1D" w:rsidRDefault="00000000">
            <w:pPr>
              <w:spacing w:after="0"/>
            </w:pPr>
            <w:r>
              <w:rPr>
                <w:rFonts w:ascii="Calibri" w:hAnsi="Calibri"/>
                <w:color w:val="2D3748"/>
                <w:sz w:val="19"/>
              </w:rPr>
              <w:lastRenderedPageBreak/>
              <w:t>Vega (v)</w:t>
            </w:r>
          </w:p>
        </w:tc>
        <w:tc>
          <w:tcPr>
            <w:tcW w:w="4032" w:type="dxa"/>
            <w:shd w:val="clear" w:color="auto" w:fill="F7FAFC"/>
            <w:tcMar>
              <w:top w:w="100" w:type="dxa"/>
              <w:left w:w="120" w:type="dxa"/>
              <w:bottom w:w="100" w:type="dxa"/>
              <w:right w:w="120" w:type="dxa"/>
            </w:tcMar>
          </w:tcPr>
          <w:p w14:paraId="187C87D8" w14:textId="77777777" w:rsidR="00994C1D" w:rsidRDefault="00000000">
            <w:pPr>
              <w:spacing w:after="0"/>
            </w:pPr>
            <w:r>
              <w:rPr>
                <w:rFonts w:ascii="Calibri" w:hAnsi="Calibri"/>
                <w:color w:val="2D3748"/>
                <w:sz w:val="19"/>
              </w:rPr>
              <w:t>S × √T × Φ'(d₁)</w:t>
            </w:r>
          </w:p>
        </w:tc>
        <w:tc>
          <w:tcPr>
            <w:tcW w:w="3168" w:type="dxa"/>
            <w:shd w:val="clear" w:color="auto" w:fill="F7FAFC"/>
            <w:tcMar>
              <w:top w:w="100" w:type="dxa"/>
              <w:left w:w="120" w:type="dxa"/>
              <w:bottom w:w="100" w:type="dxa"/>
              <w:right w:w="120" w:type="dxa"/>
            </w:tcMar>
          </w:tcPr>
          <w:p w14:paraId="7C742D6D" w14:textId="77777777" w:rsidR="00994C1D" w:rsidRDefault="00000000">
            <w:pPr>
              <w:spacing w:after="0"/>
            </w:pPr>
            <w:r>
              <w:rPr>
                <w:rFonts w:ascii="Calibri" w:hAnsi="Calibri"/>
                <w:color w:val="2D3748"/>
                <w:sz w:val="19"/>
              </w:rPr>
              <w:t>Measures sensitivity to volatility changes.</w:t>
            </w:r>
          </w:p>
        </w:tc>
      </w:tr>
    </w:tbl>
    <w:p w14:paraId="5D6EF0FA" w14:textId="77777777" w:rsidR="00994C1D" w:rsidRDefault="00000000">
      <w:pPr>
        <w:spacing w:before="320" w:after="120"/>
      </w:pPr>
      <w:r>
        <w:rPr>
          <w:rFonts w:ascii="Calibri" w:hAnsi="Calibri"/>
          <w:b/>
          <w:color w:val="1A365D"/>
          <w:sz w:val="24"/>
        </w:rPr>
        <w:t>4. REAL-LIFE APPLICATIONS</w:t>
      </w:r>
    </w:p>
    <w:p w14:paraId="041F88AE" w14:textId="77777777" w:rsidR="00994C1D" w:rsidRDefault="00000000">
      <w:pPr>
        <w:spacing w:after="120"/>
      </w:pPr>
      <w:r>
        <w:rPr>
          <w:rFonts w:ascii="Calibri" w:hAnsi="Calibri"/>
          <w:color w:val="2D3748"/>
          <w:sz w:val="20"/>
        </w:rPr>
        <w:t>The Black-Scholes-Merton model is widely used by market makers, investment banks, and risk managers to price and hedge financial derivatives. Key application domains include:</w:t>
      </w:r>
    </w:p>
    <w:p w14:paraId="48CB373A" w14:textId="77777777" w:rsidR="00994C1D" w:rsidRDefault="00000000">
      <w:pPr>
        <w:pStyle w:val="ListBullet"/>
        <w:spacing w:after="40"/>
      </w:pPr>
      <w:r>
        <w:rPr>
          <w:rFonts w:ascii="Calibri" w:hAnsi="Calibri"/>
          <w:b/>
          <w:color w:val="3182CE"/>
          <w:sz w:val="19"/>
        </w:rPr>
        <w:t xml:space="preserve">Pricing Exchange-Traded Options: </w:t>
      </w:r>
      <w:r>
        <w:rPr>
          <w:rFonts w:ascii="Calibri" w:hAnsi="Calibri"/>
          <w:color w:val="2D3748"/>
          <w:sz w:val="19"/>
        </w:rPr>
        <w:t>Used by traders on exchanges to determine fair pricing.</w:t>
      </w:r>
    </w:p>
    <w:p w14:paraId="371298DE" w14:textId="77777777" w:rsidR="00994C1D" w:rsidRDefault="00000000">
      <w:pPr>
        <w:pStyle w:val="ListBullet"/>
        <w:spacing w:after="40"/>
      </w:pPr>
      <w:r>
        <w:rPr>
          <w:rFonts w:ascii="Calibri" w:hAnsi="Calibri"/>
          <w:b/>
          <w:color w:val="3182CE"/>
          <w:sz w:val="19"/>
        </w:rPr>
        <w:t xml:space="preserve">Risk Management and Hedging: </w:t>
      </w:r>
      <w:r>
        <w:rPr>
          <w:rFonts w:ascii="Calibri" w:hAnsi="Calibri"/>
          <w:color w:val="2D3748"/>
          <w:sz w:val="19"/>
        </w:rPr>
        <w:t>Quantifying hedge parameters to create dynamic hedging baskets.</w:t>
      </w:r>
    </w:p>
    <w:p w14:paraId="5F7F4C98" w14:textId="77777777" w:rsidR="00994C1D" w:rsidRDefault="00000000">
      <w:pPr>
        <w:pStyle w:val="ListBullet"/>
        <w:spacing w:after="40"/>
      </w:pPr>
      <w:r>
        <w:rPr>
          <w:rFonts w:ascii="Calibri" w:hAnsi="Calibri"/>
          <w:b/>
          <w:color w:val="3182CE"/>
          <w:sz w:val="19"/>
        </w:rPr>
        <w:t xml:space="preserve">Corporate Warrants: </w:t>
      </w:r>
      <w:r>
        <w:rPr>
          <w:rFonts w:ascii="Calibri" w:hAnsi="Calibri"/>
          <w:color w:val="2D3748"/>
          <w:sz w:val="19"/>
        </w:rPr>
        <w:t>Valuing executive stock options and company warrants.</w:t>
      </w:r>
    </w:p>
    <w:p w14:paraId="31AA5C27" w14:textId="77777777" w:rsidR="00994C1D" w:rsidRDefault="00000000">
      <w:pPr>
        <w:pStyle w:val="ListBullet"/>
        <w:spacing w:after="40"/>
      </w:pPr>
      <w:r>
        <w:rPr>
          <w:rFonts w:ascii="Calibri" w:hAnsi="Calibri"/>
          <w:b/>
          <w:color w:val="3182CE"/>
          <w:sz w:val="19"/>
        </w:rPr>
        <w:t xml:space="preserve">Real Options Analysis: </w:t>
      </w:r>
      <w:r>
        <w:rPr>
          <w:rFonts w:ascii="Calibri" w:hAnsi="Calibri"/>
          <w:color w:val="2D3748"/>
          <w:sz w:val="19"/>
        </w:rPr>
        <w:t>Evaluating capital budgeting decisions such as investments in new infrastructure.</w:t>
      </w:r>
    </w:p>
    <w:sectPr w:rsidR="00994C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133822">
    <w:abstractNumId w:val="8"/>
  </w:num>
  <w:num w:numId="2" w16cid:durableId="615017603">
    <w:abstractNumId w:val="6"/>
  </w:num>
  <w:num w:numId="3" w16cid:durableId="914515049">
    <w:abstractNumId w:val="5"/>
  </w:num>
  <w:num w:numId="4" w16cid:durableId="936212795">
    <w:abstractNumId w:val="4"/>
  </w:num>
  <w:num w:numId="5" w16cid:durableId="1065756351">
    <w:abstractNumId w:val="7"/>
  </w:num>
  <w:num w:numId="6" w16cid:durableId="339047763">
    <w:abstractNumId w:val="3"/>
  </w:num>
  <w:num w:numId="7" w16cid:durableId="1649093253">
    <w:abstractNumId w:val="2"/>
  </w:num>
  <w:num w:numId="8" w16cid:durableId="1288657442">
    <w:abstractNumId w:val="1"/>
  </w:num>
  <w:num w:numId="9" w16cid:durableId="139967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010"/>
    <w:rsid w:val="00326F90"/>
    <w:rsid w:val="00994C1D"/>
    <w:rsid w:val="00A019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E5313"/>
  <w14:defaultImageDpi w14:val="300"/>
  <w15:docId w15:val="{7D8455EB-E8CB-4799-8D66-5CBC79E2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Baahmed</cp:lastModifiedBy>
  <cp:revision>2</cp:revision>
  <dcterms:created xsi:type="dcterms:W3CDTF">2013-12-23T23:15:00Z</dcterms:created>
  <dcterms:modified xsi:type="dcterms:W3CDTF">2026-05-03T11:06:00Z</dcterms:modified>
  <cp:category/>
</cp:coreProperties>
</file>