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r>
        <w:rPr>
          <w:b/>
          <w:color w:val="FF0000"/>
          <w:sz w:val="24"/>
        </w:rPr>
        <w:t>Evaluation Only. Created with Aspose.Words. Copyright 2003-2023 Aspose Pty Ltd.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strike w:val="0"/>
          <w:u w:val="none"/>
        </w:rPr>
        <w:drawing>
          <wp:anchor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48562" cy="5834062"/>
            <wp:wrapNone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8562" cy="58340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</w:pP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</w:pP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480" w:lineRule="atLeast"/>
        <w:ind w:left="0" w:right="0"/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47"/>
          <w:szCs w:val="68"/>
        </w:rPr>
      </w:pPr>
      <w:r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68"/>
          <w:szCs w:val="68"/>
        </w:rPr>
        <w:t xml:space="preserve"> </w:t>
      </w:r>
    </w:p>
    <w:p>
      <w:pPr>
        <w:pStyle w:val="t"/>
        <w:shd w:val="clear" w:color="auto" w:fill="FFFFFF"/>
        <w:spacing w:line="480" w:lineRule="atLeast"/>
        <w:ind w:left="0" w:right="0"/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47"/>
          <w:szCs w:val="68"/>
        </w:rPr>
      </w:pPr>
      <w:r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68"/>
          <w:szCs w:val="68"/>
        </w:rPr>
        <w:t xml:space="preserve"> </w:t>
      </w:r>
    </w:p>
    <w:p>
      <w:pPr>
        <w:pStyle w:val="t"/>
        <w:shd w:val="clear" w:color="auto" w:fill="FFFFFF"/>
        <w:spacing w:line="480" w:lineRule="atLeast"/>
        <w:ind w:left="0" w:right="0"/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47"/>
          <w:szCs w:val="68"/>
        </w:rPr>
      </w:pPr>
      <w:r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68"/>
          <w:szCs w:val="68"/>
        </w:rPr>
        <w:t xml:space="preserve"> </w:t>
      </w:r>
    </w:p>
    <w:p>
      <w:pPr>
        <w:pStyle w:val="t"/>
        <w:shd w:val="clear" w:color="auto" w:fill="FFFFFF"/>
        <w:spacing w:line="480" w:lineRule="atLeast"/>
        <w:ind w:left="0" w:right="0"/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47"/>
          <w:szCs w:val="68"/>
        </w:rPr>
      </w:pPr>
      <w:r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68"/>
          <w:szCs w:val="68"/>
        </w:rPr>
        <w:t xml:space="preserve"> </w:t>
      </w:r>
    </w:p>
    <w:p>
      <w:pPr>
        <w:pStyle w:val="t"/>
        <w:shd w:val="clear" w:color="auto" w:fill="FFFFFF"/>
        <w:spacing w:line="480" w:lineRule="atLeast"/>
        <w:ind w:left="0" w:right="0"/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47"/>
          <w:szCs w:val="68"/>
        </w:rPr>
      </w:pPr>
      <w:r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68"/>
          <w:szCs w:val="68"/>
        </w:rPr>
        <w:t xml:space="preserve"> </w:t>
      </w:r>
    </w:p>
    <w:p>
      <w:pPr>
        <w:pStyle w:val="t"/>
        <w:shd w:val="clear" w:color="auto" w:fill="FFFFFF"/>
        <w:spacing w:line="480" w:lineRule="atLeast"/>
        <w:ind w:left="0" w:right="0"/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47"/>
          <w:szCs w:val="68"/>
        </w:rPr>
      </w:pPr>
      <w:r>
        <w:rPr>
          <w:rFonts w:ascii="ff2" w:eastAsia="ff2" w:hAnsi="ff2" w:cs="ff2"/>
          <w:b w:val="0"/>
          <w:bCs w:val="0"/>
          <w:i w:val="0"/>
          <w:iCs w:val="0"/>
          <w:color w:val="000000"/>
          <w:spacing w:val="0"/>
          <w:sz w:val="68"/>
          <w:szCs w:val="68"/>
        </w:rPr>
        <w:t xml:space="preserve"> </w:t>
      </w:r>
    </w:p>
    <w:p>
      <w:pPr>
        <w:pStyle w:val="t"/>
        <w:shd w:val="clear" w:color="auto" w:fill="FFFFFF"/>
        <w:spacing w:line="480" w:lineRule="atLeast"/>
        <w:ind w:left="0" w:right="0"/>
        <w:rPr>
          <w:rFonts w:ascii="ff2" w:eastAsia="ff2" w:hAnsi="ff2" w:cs="ff2"/>
          <w:b w:val="0"/>
          <w:bCs w:val="0"/>
          <w:i w:val="0"/>
          <w:iCs w:val="0"/>
          <w:color w:val="4C4C4C"/>
          <w:spacing w:val="0"/>
          <w:sz w:val="47"/>
          <w:szCs w:val="68"/>
        </w:rPr>
      </w:pPr>
      <w:r>
        <w:rPr>
          <w:rFonts w:ascii="ff2" w:eastAsia="ff2" w:hAnsi="ff2" w:cs="ff2"/>
          <w:b w:val="0"/>
          <w:bCs w:val="0"/>
          <w:i w:val="0"/>
          <w:iCs w:val="0"/>
          <w:color w:val="4C4C4C"/>
          <w:spacing w:val="0"/>
          <w:sz w:val="68"/>
          <w:szCs w:val="68"/>
        </w:rPr>
        <w:t xml:space="preserve"> </w:t>
      </w:r>
    </w:p>
    <w:p>
      <w:pPr>
        <w:pStyle w:val="t"/>
        <w:shd w:val="clear" w:color="auto" w:fill="FFFFFF"/>
        <w:spacing w:line="480" w:lineRule="atLeast"/>
        <w:ind w:left="0" w:right="0"/>
        <w:rPr>
          <w:rFonts w:ascii="ff2" w:eastAsia="ff2" w:hAnsi="ff2" w:cs="ff2"/>
          <w:b w:val="0"/>
          <w:bCs w:val="0"/>
          <w:i w:val="0"/>
          <w:iCs w:val="0"/>
          <w:color w:val="4C4C4C"/>
          <w:spacing w:val="0"/>
          <w:sz w:val="47"/>
          <w:szCs w:val="68"/>
        </w:rPr>
      </w:pPr>
      <w:r>
        <w:rPr>
          <w:rFonts w:ascii="ff2" w:eastAsia="ff2" w:hAnsi="ff2" w:cs="ff2"/>
          <w:b w:val="0"/>
          <w:bCs w:val="0"/>
          <w:i w:val="0"/>
          <w:iCs w:val="0"/>
          <w:color w:val="4C4C4C"/>
          <w:spacing w:val="0"/>
          <w:sz w:val="68"/>
          <w:szCs w:val="68"/>
        </w:rPr>
        <w:t xml:space="preserve"> </w:t>
      </w:r>
    </w:p>
    <w:p>
      <w:pPr>
        <w:pStyle w:val="t"/>
        <w:shd w:val="clear" w:color="auto" w:fill="FFFFFF"/>
        <w:spacing w:line="480" w:lineRule="atLeast"/>
        <w:ind w:left="0" w:right="0"/>
        <w:rPr>
          <w:rFonts w:ascii="ff2" w:eastAsia="ff2" w:hAnsi="ff2" w:cs="ff2"/>
          <w:b w:val="0"/>
          <w:bCs w:val="0"/>
          <w:i w:val="0"/>
          <w:iCs w:val="0"/>
          <w:color w:val="4C4C4C"/>
          <w:spacing w:val="0"/>
          <w:sz w:val="47"/>
          <w:szCs w:val="68"/>
        </w:rPr>
      </w:pPr>
      <w:r>
        <w:rPr>
          <w:rFonts w:ascii="ff2" w:eastAsia="ff2" w:hAnsi="ff2" w:cs="ff2"/>
          <w:b w:val="0"/>
          <w:bCs w:val="0"/>
          <w:i w:val="0"/>
          <w:iCs w:val="0"/>
          <w:color w:val="4C4C4C"/>
          <w:spacing w:val="0"/>
          <w:sz w:val="68"/>
          <w:szCs w:val="68"/>
        </w:rPr>
        <w:t xml:space="preserve"> </w:t>
      </w:r>
    </w:p>
    <w:p>
      <w:pPr>
        <w:pStyle w:val="t"/>
        <w:shd w:val="clear" w:color="auto" w:fill="FFFFFF"/>
        <w:spacing w:line="2210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177"/>
          <w:szCs w:val="203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203"/>
          <w:szCs w:val="203"/>
        </w:rPr>
        <w:t xml:space="preserve"> </w:t>
      </w:r>
    </w:p>
    <w:p>
      <w:pPr>
        <w:pStyle w:val="t"/>
        <w:shd w:val="clear" w:color="auto" w:fill="FFFFFF"/>
        <w:spacing w:line="2210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177"/>
          <w:szCs w:val="203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203"/>
          <w:szCs w:val="203"/>
        </w:rPr>
        <w:t xml:space="preserve"> </w:t>
      </w:r>
    </w:p>
    <w:p>
      <w:pPr>
        <w:pStyle w:val="t"/>
        <w:shd w:val="clear" w:color="auto" w:fill="FFFFFF"/>
        <w:spacing w:line="2210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203"/>
          <w:szCs w:val="203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203"/>
          <w:szCs w:val="203"/>
        </w:rPr>
        <w:t>Ijara Company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203"/>
          <w:szCs w:val="203"/>
        </w:rPr>
        <w:t xml:space="preserve"> </w:t>
      </w:r>
    </w:p>
    <w:p>
      <w:pPr>
        <w:pStyle w:val="t"/>
        <w:shd w:val="clear" w:color="auto" w:fill="FFFFFF"/>
        <w:spacing w:line="2210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203"/>
          <w:szCs w:val="203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203"/>
          <w:szCs w:val="203"/>
        </w:rPr>
        <w:t xml:space="preserve"> Kyrg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203"/>
          <w:szCs w:val="203"/>
        </w:rPr>
        <w:t xml:space="preserve">yzstan </w:t>
      </w:r>
    </w:p>
    <w:p>
      <w:pPr>
        <w:pStyle w:val="t"/>
        <w:shd w:val="clear" w:color="auto" w:fill="FFFFFF"/>
        <w:spacing w:line="1351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108"/>
          <w:szCs w:val="124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124"/>
          <w:szCs w:val="124"/>
        </w:rPr>
        <w:t xml:space="preserve"> </w:t>
      </w:r>
    </w:p>
    <w:p>
      <w:pPr>
        <w:pStyle w:val="t"/>
        <w:shd w:val="clear" w:color="auto" w:fill="FFFFFF"/>
        <w:spacing w:line="123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113"/>
          <w:szCs w:val="113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113"/>
          <w:szCs w:val="113"/>
        </w:rPr>
        <w:t>SHARI'A AUDI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113"/>
          <w:szCs w:val="113"/>
        </w:rPr>
        <w:t xml:space="preserve">T REPORT 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56"/>
          <w:szCs w:val="56"/>
        </w:rPr>
        <w:t>1st January 2022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56"/>
          <w:szCs w:val="56"/>
        </w:rPr>
        <w:t xml:space="preserve"> – 31st Decembe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56"/>
          <w:szCs w:val="56"/>
        </w:rPr>
        <w:t>r 2022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79"/>
          <w:szCs w:val="79"/>
        </w:rPr>
        <w:t xml:space="preserve"> </w:t>
      </w:r>
    </w:p>
    <w:p>
      <w:pPr>
        <w:pStyle w:val="t"/>
        <w:shd w:val="clear" w:color="auto" w:fill="FFFFFF"/>
        <w:spacing w:line="36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30"/>
          <w:szCs w:val="34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34"/>
          <w:szCs w:val="34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74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74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C00000"/>
          <w:spacing w:val="0"/>
          <w:position w:val="-32"/>
          <w:sz w:val="34"/>
          <w:szCs w:val="34"/>
        </w:rPr>
        <w:t xml:space="preserve">SHARIA ADVISOR LICENSED BY </w:t>
      </w:r>
    </w:p>
    <w:p>
      <w:pPr>
        <w:pStyle w:val="t"/>
        <w:shd w:val="clear" w:color="auto" w:fill="FFFFFF"/>
        <w:spacing w:after="195" w:line="36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C00000"/>
          <w:spacing w:val="0"/>
          <w:sz w:val="34"/>
          <w:szCs w:val="34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C00000"/>
          <w:spacing w:val="0"/>
          <w:sz w:val="34"/>
          <w:szCs w:val="34"/>
        </w:rPr>
        <w:t xml:space="preserve">THE CENTRAL BANK OF BAHRAIN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strike w:val="0"/>
          <w:u w:val="none"/>
        </w:rPr>
        <w:drawing>
          <wp:anchor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48562" cy="5834062"/>
            <wp:wrapNone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8562" cy="58340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1601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147"/>
          <w:szCs w:val="147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147"/>
          <w:szCs w:val="147"/>
        </w:rPr>
        <w:t xml:space="preserve">Table of Contents </w:t>
      </w:r>
    </w:p>
    <w:p>
      <w:pPr>
        <w:pStyle w:val="t"/>
        <w:shd w:val="clear" w:color="auto" w:fill="FFFFFF"/>
        <w:spacing w:line="599" w:lineRule="atLeast"/>
        <w:ind w:left="0" w:right="0"/>
        <w:rPr>
          <w:rFonts w:ascii="ff3" w:eastAsia="ff3" w:hAnsi="ff3" w:cs="ff3"/>
          <w:b w:val="0"/>
          <w:bCs w:val="0"/>
          <w:i w:val="0"/>
          <w:iCs w:val="0"/>
          <w:color w:val="000000"/>
          <w:spacing w:val="0"/>
          <w:sz w:val="48"/>
          <w:szCs w:val="56"/>
        </w:rPr>
      </w:pPr>
      <w:r>
        <w:rPr>
          <w:rFonts w:ascii="ff3" w:eastAsia="ff3" w:hAnsi="ff3" w:cs="ff3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PART 1: PREFA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3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1.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453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INTRODUCTION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3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2.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453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STANDARDS AND GUI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DELINES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3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3.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453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RESPONSIBILITY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4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4.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453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PROCEDURES PERFORMED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5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5.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453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SCOPE OF WORK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6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6.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453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SAMPLING ME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THODOLOGY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6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7.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453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OBJECTIVES AND NO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TES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7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8.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453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RATINGS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8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9.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453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CONFIDEN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TIALITY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8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PART 2: OBSERVATI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ONS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9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FINANCE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DEPARTMENT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9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OPERATIONS DEPARTM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ENT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10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COMPLIANC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E DEPARTMENT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13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HUMAN RESOUR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CES DEPARTMEN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14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APPENDIX I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15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after="195" w:line="61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PP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ND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X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56"/>
          <w:szCs w:val="56"/>
        </w:rPr>
        <w:t>16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strike w:val="0"/>
          <w:u w:val="none"/>
        </w:rPr>
        <w:drawing>
          <wp:anchor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48562" cy="5834062"/>
            <wp:wrapNone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8562" cy="58340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49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45"/>
          <w:szCs w:val="45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45"/>
          <w:szCs w:val="45"/>
        </w:rPr>
        <w:t xml:space="preserve">| 3 |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5"/>
          <w:szCs w:val="45"/>
        </w:rPr>
        <w:t xml:space="preserve">  Shariyah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Rev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iew Bureau | Inte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rnal Audit Report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4" w:eastAsia="ff4" w:hAnsi="ff4" w:cs="ff4"/>
          <w:b w:val="0"/>
          <w:bCs w:val="0"/>
          <w:i w:val="0"/>
          <w:iCs w:val="0"/>
          <w:color w:val="A42138"/>
          <w:spacing w:val="0"/>
          <w:sz w:val="45"/>
          <w:szCs w:val="45"/>
        </w:rPr>
        <w:t>|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45"/>
          <w:szCs w:val="45"/>
        </w:rPr>
        <w:t xml:space="preserve"> Ijara 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45"/>
          <w:szCs w:val="45"/>
        </w:rPr>
        <w:t xml:space="preserve">ompany Kyrgyzstan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45"/>
          <w:szCs w:val="45"/>
        </w:rPr>
        <w:t>(ICK)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ICK-1203-06-01-03-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23</w:t>
      </w:r>
    </w:p>
    <w:p>
      <w:pPr>
        <w:pStyle w:val="t"/>
        <w:shd w:val="clear" w:color="auto" w:fill="FFFFFF"/>
        <w:spacing w:line="49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1601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>P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>ar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 xml:space="preserve">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>1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>: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>Pr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>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>f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>ac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147"/>
          <w:szCs w:val="147"/>
        </w:rPr>
        <w:t xml:space="preserve">e </w:t>
      </w:r>
    </w:p>
    <w:p>
      <w:pPr>
        <w:pStyle w:val="t"/>
        <w:shd w:val="clear" w:color="auto" w:fill="FFFFFF"/>
        <w:spacing w:line="86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1.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In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od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u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ct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n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This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report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has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be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en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prepared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after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conductin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Shari'a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Audit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("Audit") for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Ijara Company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Kyrgyzstan (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"Compan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y"),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covering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the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period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from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January 1,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2022,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to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Dece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mber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31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2022.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In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accordance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with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agreed-upon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cope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of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work,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our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responsi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bility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Shari'a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Auditors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for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Company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i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ncludes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carrying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out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A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udit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the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products,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pertinent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a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tivities,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systemat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ic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controls,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and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operation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s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in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place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Ijara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Company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Kyrgyzstan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based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Sh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ari'a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dir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ectiv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s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guidelines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issued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by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Compa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ny’s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Shari'a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Supervisory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Committee ("SSB").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86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2.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ta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nd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ds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an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Gu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de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l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ne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s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The audit was conducted in light of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the Shari'a guid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elines issued by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the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SS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B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while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taking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nto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consideration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the S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hari'a stan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ards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issued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by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Acc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ounting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Auditing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Organ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ization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for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Islamic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Financial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Institutions ("AA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IFI"). In t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he case where t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h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e SSB d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cision oppose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s </w:t>
      </w:r>
    </w:p>
    <w:p>
      <w:pPr>
        <w:pStyle w:val="t"/>
        <w:shd w:val="clear" w:color="auto" w:fill="FFFFFF"/>
        <w:spacing w:after="195"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the AAOIFI, the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SSB opinion will preva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62"/>
          <w:szCs w:val="62"/>
        </w:rPr>
        <w:t xml:space="preserve">l. </w:t>
      </w:r>
    </w:p>
    <w:p>
      <w:pPr>
        <w:pStyle w:val="t"/>
        <w:shd w:val="clear" w:color="auto" w:fill="FFFFFF"/>
        <w:spacing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strike w:val="0"/>
          <w:u w:val="none"/>
        </w:rPr>
        <w:drawing>
          <wp:anchor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48562" cy="5834062"/>
            <wp:wrapNone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8562" cy="58340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49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45"/>
          <w:szCs w:val="45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45"/>
          <w:szCs w:val="45"/>
        </w:rPr>
        <w:t xml:space="preserve">| 4 |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5"/>
          <w:szCs w:val="45"/>
        </w:rPr>
        <w:t xml:space="preserve">  Shariyah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Rev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iew Bureau | Internal Audit Report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4" w:eastAsia="ff4" w:hAnsi="ff4" w:cs="ff4"/>
          <w:b w:val="0"/>
          <w:bCs w:val="0"/>
          <w:i w:val="0"/>
          <w:iCs w:val="0"/>
          <w:color w:val="A42138"/>
          <w:spacing w:val="0"/>
          <w:sz w:val="45"/>
          <w:szCs w:val="45"/>
        </w:rPr>
        <w:t>|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45"/>
          <w:szCs w:val="45"/>
        </w:rPr>
        <w:t xml:space="preserve"> Ijara Company Kyrgyzstan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45"/>
          <w:szCs w:val="45"/>
        </w:rPr>
        <w:t>(ICK)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ICK-1203-06-01-03-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23</w:t>
      </w:r>
    </w:p>
    <w:p>
      <w:pPr>
        <w:pStyle w:val="t"/>
        <w:shd w:val="clear" w:color="auto" w:fill="FFFFFF"/>
        <w:spacing w:line="49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86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3.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91122A"/>
          <w:spacing w:val="162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po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n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si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b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li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y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Management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of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Company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respon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sible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ensuring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that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financial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arrangements,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contracts,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transactions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having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Shari'a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implications, entered into with its</w:t>
      </w:r>
      <w:r>
        <w:rPr>
          <w:rStyle w:val="tspan"/>
          <w:rFonts w:ascii="ff3" w:eastAsia="ff3" w:hAnsi="ff3" w:cs="ff3"/>
          <w:b w:val="0"/>
          <w:bCs w:val="0"/>
          <w:i w:val="0"/>
          <w:iCs w:val="0"/>
          <w:color w:val="595959"/>
          <w:spacing w:val="6"/>
          <w:sz w:val="56"/>
          <w:szCs w:val="56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customer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other financ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ial 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nst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itutions, and stakeholders and related policies, procedure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, and systems are,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in substance and their leg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al form, in compliance with the requirements</w:t>
      </w:r>
      <w:r>
        <w:rPr>
          <w:rStyle w:val="tspan"/>
          <w:rFonts w:ascii="ff3" w:eastAsia="ff3" w:hAnsi="ff3" w:cs="ff3"/>
          <w:b w:val="0"/>
          <w:bCs w:val="0"/>
          <w:i w:val="0"/>
          <w:iCs w:val="0"/>
          <w:color w:val="595959"/>
          <w:spacing w:val="0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of Shari'a rules and principles laid down b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y the SSB. The management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of the Company is als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 responsible for: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797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A42138"/>
          <w:spacing w:val="5"/>
          <w:sz w:val="73"/>
          <w:szCs w:val="73"/>
        </w:rPr>
        <w:t>&gt;</w:t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A42138"/>
          <w:spacing w:val="0"/>
          <w:sz w:val="73"/>
          <w:szCs w:val="73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Design,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implementat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ion,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maintenance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of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appro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iate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internal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Shari'a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control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procedures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with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respect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to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such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compliance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maintenance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of relevant produ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ct documents approv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ed by the SSB, internal con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trol manuals, and Isl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amic accoun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ting records;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73"/>
          <w:szCs w:val="73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A42138"/>
          <w:spacing w:val="1"/>
          <w:sz w:val="62"/>
          <w:szCs w:val="62"/>
        </w:rPr>
        <w:t>&gt;</w:t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A42138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Preven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tion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detection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of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fraud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brea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hes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Shari’a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Compliance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identifying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ensuring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hat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Company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ompli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with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SSB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requirements, laws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,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and regulat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ions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applicab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le to its activities;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A42138"/>
          <w:spacing w:val="1"/>
          <w:sz w:val="62"/>
          <w:szCs w:val="62"/>
        </w:rPr>
        <w:t>&gt;</w:t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A42138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rranging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training 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nd/o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ori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entation programs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on 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slamic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banking 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finance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staff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and 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ppropriat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training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pro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grams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senior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executives to i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mprove their under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tanding and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g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eneral ac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umen in Islamic fina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nce;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A42138"/>
          <w:spacing w:val="1"/>
          <w:sz w:val="62"/>
          <w:szCs w:val="62"/>
        </w:rPr>
        <w:t>&gt;</w:t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A42138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rranging pr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grams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on 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egular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basis for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rienting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ensitizing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key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ex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ecutives ab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out 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bus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iness ut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ility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importance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of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en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abling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Shari’a 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ompliance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environ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ment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key 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istingui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shing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features of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Islamic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finance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products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vis-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à -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vis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conventional banking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products;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56"/>
          <w:szCs w:val="56"/>
        </w:rPr>
        <w:t>&gt;</w:t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A42138"/>
          <w:spacing w:val="46"/>
          <w:sz w:val="56"/>
          <w:szCs w:val="56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Providin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g u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 with access to all 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nformation of which you are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aware that is relevant to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Company’s compliance with 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Shari’a rules and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principles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such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records,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source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documen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tion,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other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matters,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additional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information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that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we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m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request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purpose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of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the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after="195"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engagement;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and unrestricted a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cess to persons w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ithin The Comp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ny from whom w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 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etermin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 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 necessa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ry to obtain evidence.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before="195"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before="195"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before="195"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before="195"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before="195"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before="195"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before="195"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strike w:val="0"/>
          <w:u w:val="none"/>
        </w:rPr>
        <w:drawing>
          <wp:anchor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48562" cy="5834062"/>
            <wp:wrapNone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8562" cy="58340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49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45"/>
          <w:szCs w:val="45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45"/>
          <w:szCs w:val="45"/>
        </w:rPr>
        <w:t xml:space="preserve">| 5 |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5"/>
          <w:szCs w:val="45"/>
        </w:rPr>
        <w:t xml:space="preserve">  Shariyah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Rev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iew Bureau | Internal Audit Report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4" w:eastAsia="ff4" w:hAnsi="ff4" w:cs="ff4"/>
          <w:b w:val="0"/>
          <w:bCs w:val="0"/>
          <w:i w:val="0"/>
          <w:iCs w:val="0"/>
          <w:color w:val="A42138"/>
          <w:spacing w:val="0"/>
          <w:sz w:val="45"/>
          <w:szCs w:val="45"/>
        </w:rPr>
        <w:t>|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45"/>
          <w:szCs w:val="45"/>
        </w:rPr>
        <w:t xml:space="preserve"> Ijara Company Kyrgyzstan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45"/>
          <w:szCs w:val="45"/>
        </w:rPr>
        <w:t>(ICK)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ICK-1203-06-01-03-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23</w:t>
      </w:r>
    </w:p>
    <w:p>
      <w:pPr>
        <w:pStyle w:val="t"/>
        <w:shd w:val="clear" w:color="auto" w:fill="FFFFFF"/>
        <w:spacing w:line="49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86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4.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91122A"/>
          <w:spacing w:val="162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P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oc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ur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P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er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f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or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me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The procedures select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ed by us for the Shari'a Audit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nd the factual finding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resulting therefr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m with respect to eac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h of the aspects covered i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this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report w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ere depende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d on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our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ju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dgment,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based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risk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assessments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of the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products and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services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w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ith the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Shari'a stan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ards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g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uidelin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es,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audit planning s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ampl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ing a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nd 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ocumentation. In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making those Shari'a risk a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ssessments, we c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onsidered and tested t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intern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l Shari'a contro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l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on a sample of transactions relevant to The Compa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ny’s compliance with the laid down SSB rules and principle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and designed procedure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that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are appropriate in the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ircumstance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, but not for the p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urpose of expressing an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opi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nion on the effe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ctiveness of The Company's int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nal control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on Shari'a rules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principles. 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Because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of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inherent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limitations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control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environment,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misstatement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due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to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error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fraud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may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occur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nd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not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detected.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Our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engagement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nnot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ensure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that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errors,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f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raud,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other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il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l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egal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cts,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pr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sent,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wil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l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de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tected;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case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w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here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we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etect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fraud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red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flags,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we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will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escalate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the iss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ue 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the 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udit committee.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Our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procedures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have not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been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planned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conducted in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ntemplat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of 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eliance by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third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rty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with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respect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to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specific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tran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saction.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herefore,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items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of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possible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interest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to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third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rty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have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not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been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specifically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addressed,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matters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may exist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that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would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be ass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essed diffe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rently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by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ird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party. Accord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ingly, our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rep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ort should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not b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e p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rovided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to a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third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party without our prio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r written consent. Suc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h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consen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 will be granted on the basi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 that such reports are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 prepared for th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 use or benefit of </w:t>
      </w:r>
    </w:p>
    <w:p>
      <w:pPr>
        <w:pStyle w:val="t"/>
        <w:shd w:val="clear" w:color="auto" w:fill="FFFFFF"/>
        <w:spacing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anyone other than The Comp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any.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before="195" w:after="195"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strike w:val="0"/>
          <w:u w:val="none"/>
        </w:rPr>
        <w:drawing>
          <wp:anchor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48562" cy="5834062"/>
            <wp:wrapNone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8562" cy="58340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49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45"/>
          <w:szCs w:val="45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45"/>
          <w:szCs w:val="45"/>
        </w:rPr>
        <w:t xml:space="preserve">| 6 |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5"/>
          <w:szCs w:val="45"/>
        </w:rPr>
        <w:t xml:space="preserve">  Shariyah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Rev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iew Bureau | Internal Audit Report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4" w:eastAsia="ff4" w:hAnsi="ff4" w:cs="ff4"/>
          <w:b w:val="0"/>
          <w:bCs w:val="0"/>
          <w:i w:val="0"/>
          <w:iCs w:val="0"/>
          <w:color w:val="A42138"/>
          <w:spacing w:val="0"/>
          <w:sz w:val="45"/>
          <w:szCs w:val="45"/>
        </w:rPr>
        <w:t>|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45"/>
          <w:szCs w:val="45"/>
        </w:rPr>
        <w:t xml:space="preserve"> Ijara Company Kyrgyzstan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A42138"/>
          <w:spacing w:val="0"/>
          <w:sz w:val="45"/>
          <w:szCs w:val="45"/>
        </w:rPr>
        <w:t>(ICK)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ICK-1203-06-01-03-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>23</w:t>
      </w:r>
    </w:p>
    <w:p>
      <w:pPr>
        <w:pStyle w:val="t"/>
        <w:shd w:val="clear" w:color="auto" w:fill="FFFFFF"/>
        <w:spacing w:line="49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C5E5F"/>
          <w:spacing w:val="0"/>
          <w:sz w:val="45"/>
          <w:szCs w:val="45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613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49"/>
          <w:szCs w:val="56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000000"/>
          <w:spacing w:val="0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86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5.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91122A"/>
          <w:spacing w:val="162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pe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of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Wo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k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The Aud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it included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reviewing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the op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erations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activities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of the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Company,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addition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to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examining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products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related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transact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ions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to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ensure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that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they 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conducted 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 accordance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with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guidelines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and pe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rtinent controls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approved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SSB.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Exhibit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1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shows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products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included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Audit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process and sampling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c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overa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ge.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863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6.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5" w:eastAsia="ff5" w:hAnsi="ff5" w:cs="ff5"/>
          <w:b w:val="0"/>
          <w:bCs w:val="0"/>
          <w:i w:val="0"/>
          <w:iCs w:val="0"/>
          <w:color w:val="91122A"/>
          <w:spacing w:val="162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S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a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mp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l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ng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Me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t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h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od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o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log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>y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ab/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91122A"/>
          <w:spacing w:val="0"/>
          <w:sz w:val="79"/>
          <w:szCs w:val="79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Our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sampling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methodology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based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the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likelihood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Shari’a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risk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involved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particu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lar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product; where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likelihood and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Shari’a r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isk are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high, </w:t>
      </w:r>
    </w:p>
    <w:p>
      <w:pPr>
        <w:pStyle w:val="t"/>
        <w:shd w:val="clear" w:color="auto" w:fill="FFFFFF"/>
        <w:spacing w:line="679" w:lineRule="atLeast"/>
        <w:ind w:left="0" w:right="0"/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the sampling will be i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ncreased accord</w:t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>i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ab/>
      </w:r>
      <w:r>
        <w:rPr>
          <w:rFonts w:ascii="ff1" w:eastAsia="ff1" w:hAnsi="ff1" w:cs="ff1"/>
          <w:b w:val="0"/>
          <w:bCs w:val="0"/>
          <w:i w:val="0"/>
          <w:iCs w:val="0"/>
          <w:color w:val="595959"/>
          <w:spacing w:val="0"/>
          <w:sz w:val="62"/>
          <w:szCs w:val="62"/>
        </w:rPr>
        <w:t xml:space="preserve">ngly. 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will be 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>Exhibit 1: Products and S</w:t>
      </w: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>amples</w:t>
      </w:r>
    </w:p>
    <w:p>
      <w:pPr>
        <w:pStyle w:val="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>Department</w:t>
      </w:r>
    </w:p>
    <w:p>
      <w:pPr>
        <w:pStyle w:val="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Product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Year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>population</w:t>
      </w:r>
    </w:p>
    <w:p>
      <w:pPr>
        <w:pStyle w:val="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>sample</w:t>
      </w:r>
    </w:p>
    <w:p>
      <w:pPr>
        <w:pStyle w:val="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>Percentage</w:t>
      </w:r>
    </w:p>
    <w:p>
      <w:pPr>
        <w:pStyle w:val="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54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Operations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position w:val="32"/>
          <w:sz w:val="48"/>
          <w:szCs w:val="48"/>
        </w:rPr>
        <w:t xml:space="preserve">Ijarah muntahia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000000"/>
          <w:spacing w:val="0"/>
          <w:position w:val="32"/>
          <w:sz w:val="56"/>
          <w:szCs w:val="56"/>
        </w:rPr>
        <w:t xml:space="preserve">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Bittamleek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position w:val="32"/>
          <w:sz w:val="48"/>
          <w:szCs w:val="48"/>
        </w:rPr>
        <w:t xml:space="preserve">2022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position w:val="32"/>
          <w:sz w:val="48"/>
          <w:szCs w:val="48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position w:val="32"/>
          <w:sz w:val="48"/>
          <w:szCs w:val="48"/>
        </w:rPr>
        <w:t xml:space="preserve">19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position w:val="32"/>
          <w:sz w:val="48"/>
          <w:szCs w:val="48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position w:val="32"/>
          <w:sz w:val="48"/>
          <w:szCs w:val="48"/>
        </w:rPr>
        <w:t xml:space="preserve">19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position w:val="32"/>
          <w:sz w:val="48"/>
          <w:szCs w:val="48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position w:val="32"/>
          <w:sz w:val="48"/>
          <w:szCs w:val="48"/>
        </w:rPr>
        <w:t xml:space="preserve">100% </w:t>
      </w:r>
    </w:p>
    <w:p>
      <w:pPr>
        <w:pStyle w:val="t"/>
        <w:shd w:val="clear" w:color="auto" w:fill="FFFFFF"/>
        <w:spacing w:line="679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Population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Likelihood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>Shari’a Risk</w:t>
      </w: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>Samples Percent</w:t>
      </w:r>
      <w:r>
        <w:rPr>
          <w:rFonts w:ascii="ff1" w:eastAsia="ff1" w:hAnsi="ff1" w:cs="ff1"/>
          <w:b w:val="0"/>
          <w:bCs w:val="0"/>
          <w:i w:val="0"/>
          <w:iCs w:val="0"/>
          <w:color w:val="FFFFFF"/>
          <w:spacing w:val="0"/>
          <w:sz w:val="62"/>
          <w:szCs w:val="62"/>
        </w:rPr>
        <w:t xml:space="preserve">age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1 to 100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High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High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100%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High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Medium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75%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Medium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High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50%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Medium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Medium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25%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Low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Low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10%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2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101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to 300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High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High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50%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High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Medium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50%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Medium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High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25%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Medium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Medium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20% </w:t>
      </w:r>
    </w:p>
    <w:p>
      <w:pPr>
        <w:pStyle w:val="t"/>
        <w:shd w:val="clear" w:color="auto" w:fill="FFFFFF"/>
        <w:spacing w:line="524" w:lineRule="atLeast"/>
        <w:ind w:left="0" w:right="0"/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</w:pP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Low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Low </w:t>
      </w:r>
      <w:r>
        <w:rPr>
          <w:rStyle w:val="tspan"/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 </w:t>
      </w:r>
      <w:r>
        <w:rPr>
          <w:rFonts w:ascii="ff1" w:eastAsia="ff1" w:hAnsi="ff1" w:cs="ff1"/>
          <w:b w:val="0"/>
          <w:bCs w:val="0"/>
          <w:i w:val="0"/>
          <w:iCs w:val="0"/>
          <w:color w:val="4C4C4C"/>
          <w:spacing w:val="0"/>
          <w:sz w:val="48"/>
          <w:szCs w:val="48"/>
        </w:rPr>
        <w:t xml:space="preserve">10% 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>
      <w:headerReference w:type="default" r:id="rId9"/>
      <w:footerReference w:type="default" r:id="rId10"/>
      <w:pgMar w:header="720" w:footer="72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033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33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bCs/>
      <w:i w:val="0"/>
      <w:color w:val="2F5496" w:themeShade="BF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bCs/>
      <w:i w:val="0"/>
      <w:color w:val="2F5496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bCs/>
      <w:i w:val="0"/>
      <w:color w:val="1F3763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 w:after="0"/>
      <w:outlineLvl w:val="3"/>
    </w:pPr>
    <w:rPr>
      <w:rFonts w:ascii="Times New Roman" w:eastAsia="Times New Roman" w:hAnsi="Times New Roman" w:cs="Times New Roman"/>
      <w:b/>
      <w:bCs/>
      <w:i w:val="0"/>
      <w:iCs/>
      <w:color w:val="2F5496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 w:after="0"/>
      <w:outlineLvl w:val="4"/>
    </w:pPr>
    <w:rPr>
      <w:rFonts w:ascii="Times New Roman" w:eastAsia="Times New Roman" w:hAnsi="Times New Roman" w:cs="Times New Roman"/>
      <w:b/>
      <w:bCs/>
      <w:i w:val="0"/>
      <w:color w:val="2F5496" w:themeShade="BF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 w:after="0"/>
      <w:outlineLvl w:val="5"/>
    </w:pPr>
    <w:rPr>
      <w:rFonts w:ascii="Times New Roman" w:eastAsia="Times New Roman" w:hAnsi="Times New Roman" w:cs="Times New Roman"/>
      <w:b/>
      <w:bCs/>
      <w:i w:val="0"/>
      <w:color w:val="1F3763" w:themeShade="7F"/>
      <w:sz w:val="16"/>
      <w:szCs w:val="16"/>
    </w:rPr>
  </w:style>
  <w:style w:type="character" w:default="1" w:styleId="DefaultParagraphFont">
    <w:name w:val="Default Paragraph Font"/>
    <w:semiHidden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 w:themeShade="7F"/>
    </w:rPr>
  </w:style>
  <w:style w:type="paragraph" w:customStyle="1" w:styleId="sidebar">
    <w:name w:val="sidebar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2F3236"/>
    </w:pPr>
    <w:rPr>
      <w:shd w:val="clear" w:color="auto" w:fill="2F3236"/>
    </w:rPr>
  </w:style>
  <w:style w:type="paragraph" w:customStyle="1" w:styleId="outline">
    <w:name w:val="outline"/>
    <w:basedOn w:val="Normal"/>
    <w:rPr>
      <w:rFonts w:ascii="Georgia" w:eastAsia="Georgia" w:hAnsi="Georgia" w:cs="Georgia"/>
      <w:sz w:val="20"/>
      <w:szCs w:val="20"/>
    </w:rPr>
  </w:style>
  <w:style w:type="paragraph" w:customStyle="1" w:styleId="page-container">
    <w:name w:val="page-container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9E9E9E"/>
    </w:pPr>
    <w:rPr>
      <w:bdr w:val="none" w:sz="0" w:space="0" w:color="auto"/>
      <w:shd w:val="clear" w:color="auto" w:fill="9E9E9E"/>
    </w:rPr>
  </w:style>
  <w:style w:type="paragraph" w:customStyle="1" w:styleId="pf">
    <w:name w:val="pf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FFFFFF"/>
    </w:pPr>
    <w:rPr>
      <w:bdr w:val="none" w:sz="0" w:space="0" w:color="auto"/>
      <w:shd w:val="clear" w:color="auto" w:fill="FFFFFF"/>
    </w:rPr>
  </w:style>
  <w:style w:type="paragraph" w:customStyle="1" w:styleId="pc">
    <w:name w:val="pc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bdr w:val="none" w:sz="0" w:space="0" w:color="auto"/>
    </w:rPr>
  </w:style>
  <w:style w:type="paragraph" w:customStyle="1" w:styleId="t">
    <w:name w:val="t"/>
    <w:basedOn w:val="Normal"/>
    <w:rPr>
      <w:sz w:val="2"/>
      <w:szCs w:val="2"/>
    </w:rPr>
  </w:style>
  <w:style w:type="character" w:customStyle="1" w:styleId="tCharacter">
    <w:name w:val="t Character"/>
    <w:basedOn w:val="DefaultParagraphFont"/>
    <w:rPr>
      <w:sz w:val="2"/>
      <w:szCs w:val="2"/>
    </w:rPr>
  </w:style>
  <w:style w:type="character" w:customStyle="1" w:styleId="tspan">
    <w:name w:val="t_span"/>
    <w:basedOn w:val="DefaultParagraphFont"/>
  </w:style>
  <w:style w:type="paragraph" w:customStyle="1" w:styleId="pi">
    <w:name w:val="pi"/>
    <w:basedOn w:val="Normal"/>
    <w:rPr>
      <w:vanish/>
    </w:rPr>
  </w:style>
  <w:style w:type="paragraph" w:customStyle="1" w:styleId="c">
    <w:name w:val="c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bdr w:val="none" w:sz="0" w:space="0" w:color="auto"/>
    </w:rPr>
  </w:style>
  <w:style w:type="paragraph" w:customStyle="1" w:styleId="loading-indicator">
    <w:name w:val="loading-indicator"/>
    <w:basedOn w:val="Normal"/>
    <w:rPr>
      <w:vanish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1.xml" /><Relationship Id="rId11" Type="http://schemas.openxmlformats.org/officeDocument/2006/relationships/theme" Target="theme/theme1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header" Target="header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