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Bdr>
          <w:bottom w:val="single" w:sz="14" w:space="4" w:color="1B365D"/>
        </w:pBdr>
        <w:spacing w:before="280" w:after="120"/>
        <w:jc w:val="center"/>
        <w:rPr/>
      </w:pPr>
      <w:r>
        <w:rPr>
          <w:b/>
          <w:color w:val="1B365D"/>
          <w:sz w:val="44"/>
        </w:rPr>
        <w:t>Weekly Research Progress Report: Bimanual DOM Pipeline</w:t>
      </w:r>
    </w:p>
    <w:p>
      <w:pPr>
        <w:pStyle w:val="Normal"/>
        <w:rPr/>
      </w:pPr>
      <w:r>
        <w:rPr>
          <w:b/>
        </w:rPr>
        <w:t>Project:</w:t>
      </w:r>
      <w:r>
        <w:rPr/>
        <w:t xml:space="preserve"> Autonomous Bimanual Soft-Body Slicing (DOM — Dual Robot Arms)</w:t>
      </w:r>
    </w:p>
    <w:p>
      <w:pPr>
        <w:pStyle w:val="Normal"/>
        <w:rPr/>
      </w:pPr>
      <w:r>
        <w:rPr>
          <w:b/>
        </w:rPr>
        <w:t>Authors:</w:t>
      </w:r>
      <w:r>
        <w:rPr/>
        <w:t xml:space="preserve"> Ahmed &amp; Shahd</w:t>
      </w:r>
    </w:p>
    <w:p>
      <w:pPr>
        <w:pStyle w:val="Normal"/>
        <w:rPr/>
      </w:pPr>
      <w:r>
        <w:rPr>
          <w:b/>
        </w:rPr>
        <w:t>Affiliation:</w:t>
      </w:r>
      <w:r>
        <w:rPr/>
        <w:t xml:space="preserve"> DEX-ROB Lab, School of Electrical &amp; Automation Engineering, Tianjin University</w:t>
      </w:r>
    </w:p>
    <w:p>
      <w:pPr>
        <w:pStyle w:val="Normal"/>
        <w:rPr/>
      </w:pPr>
      <w:r>
        <w:rPr>
          <w:b/>
        </w:rPr>
        <w:t>Advisor:</w:t>
      </w:r>
      <w:r>
        <w:rPr/>
        <w:t xml:space="preserve"> Prof. Shan An (</w:t>
      </w:r>
      <w:r>
        <w:rPr/>
        <w:t>安山</w:t>
      </w:r>
      <w:r>
        <w:rPr/>
        <w:t>)</w:t>
      </w:r>
    </w:p>
    <w:p>
      <w:pPr>
        <w:pStyle w:val="Normal"/>
        <w:rPr/>
      </w:pPr>
      <w:r>
        <w:rPr>
          <w:b/>
        </w:rPr>
        <w:t>Date:</w:t>
      </w:r>
      <w:r>
        <w:rPr/>
        <w:t xml:space="preserve"> September 20, 2026</w:t>
      </w:r>
    </w:p>
    <w:p>
      <w:pPr>
        <w:pStyle w:val="Normal"/>
        <w:pBdr>
          <w:bottom w:val="single" w:sz="6" w:space="1" w:color="CBD5E1"/>
        </w:pBdr>
        <w:spacing w:before="80" w:after="8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b/>
          <w:color w:val="1B365D"/>
          <w:sz w:val="27"/>
        </w:rPr>
        <w:t>1. Executive Summary</w:t>
      </w:r>
    </w:p>
    <w:p>
      <w:pPr>
        <w:pStyle w:val="Normal"/>
        <w:rPr/>
      </w:pPr>
      <w:r>
        <w:rPr/>
        <w:t xml:space="preserve">This week, we focused on establishing the complete software-to-hardware architecture for our autonomous bimanual deformable object manipulation (DOM) project, verifying baseline simulation in </w:t>
      </w:r>
      <w:r>
        <w:rPr>
          <w:b/>
        </w:rPr>
        <w:t>NVIDIA Isaac Sim</w:t>
      </w:r>
      <w:r>
        <w:rPr/>
        <w:t xml:space="preserve"> and </w:t>
      </w:r>
      <w:r>
        <w:rPr>
          <w:b/>
        </w:rPr>
        <w:t>Isaac Lab</w:t>
      </w:r>
      <w:r>
        <w:rPr/>
        <w:t>, and benchmarking hardware performance under deformable physics loads.</w:t>
      </w:r>
    </w:p>
    <w:p>
      <w:pPr>
        <w:pStyle w:val="Normal"/>
        <w:rPr/>
      </w:pPr>
      <w:r>
        <w:rPr/>
        <w:t>We completed the system pipeline design spanning 3D volumetric meshing, PhysX FEM deformable physics, dual-arm kinematic coordination via MoveIt 2, and policy learning via Soft Actor-Critic (SAC). We also conducted a comparative evaluation between Isaac Lab and MuJoCo, validating Isaac Lab as our primary engine for GPU-accelerated RL.</w:t>
      </w:r>
    </w:p>
    <w:p>
      <w:pPr>
        <w:pStyle w:val="Normal"/>
        <w:pBdr>
          <w:bottom w:val="single" w:sz="6" w:space="1" w:color="CBD5E1"/>
        </w:pBdr>
        <w:spacing w:before="80" w:after="8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b/>
          <w:color w:val="1B365D"/>
          <w:sz w:val="27"/>
        </w:rPr>
        <w:t>2. Bimanual DOM System Architecture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34417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40" w:after="200"/>
        <w:jc w:val="center"/>
        <w:rPr/>
      </w:pPr>
      <w:r>
        <w:rPr>
          <w:b/>
          <w:color w:val="1B365D"/>
          <w:sz w:val="19"/>
        </w:rPr>
        <w:t>Figure 1:</w:t>
      </w:r>
      <w:r>
        <w:rPr>
          <w:i/>
          <w:color w:val="475569"/>
          <w:sz w:val="19"/>
        </w:rPr>
        <w:t xml:space="preserve"> End-to-End System Pipeline Architecture — Bridging Volumetric Meshing, PhysX FEM Simulation, MoveIt 2 Kinematics, Isaac Lab Parallel RL, and Closed-Loop Deployment.</w:t>
      </w:r>
    </w:p>
    <w:p>
      <w:pPr>
        <w:pStyle w:val="Normal"/>
        <w:rPr/>
      </w:pPr>
      <w:r>
        <w:rPr/>
        <w:t>To coordinate the stabilizing manipulator and the cutting end-effector while accounting for soft-body yielding and tearing, we designed an end-to-end 5-stage architecture:</w:t>
      </w:r>
    </w:p>
    <w:p>
      <w:pPr>
        <w:pStyle w:val="Normal"/>
        <w:keepNext w:val="true"/>
        <w:spacing w:before="200" w:after="60"/>
        <w:rPr/>
      </w:pPr>
      <w:r>
        <w:rPr>
          <w:b/>
          <w:color w:val="334155"/>
          <w:sz w:val="23"/>
        </w:rPr>
        <w:t>Core Software Stack</w:t>
      </w:r>
    </w:p>
    <w:tbl>
      <w:tblPr>
        <w:tblW w:w="9648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2412"/>
        <w:gridCol w:w="2412"/>
        <w:gridCol w:w="2412"/>
        <w:gridCol w:w="2411"/>
      </w:tblGrid>
      <w:tr>
        <w:trPr/>
        <w:tc>
          <w:tcPr>
            <w:tcW w:w="2412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Component Layer</w:t>
            </w:r>
          </w:p>
        </w:tc>
        <w:tc>
          <w:tcPr>
            <w:tcW w:w="2412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w="2412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Framework / Toolchain</w:t>
            </w:r>
          </w:p>
        </w:tc>
        <w:tc>
          <w:tcPr>
            <w:tcW w:w="2411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Implementation Role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Volumetric Meshing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Solid TetMesh generation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rFonts w:ascii="Consolas" w:hAnsi="Consolas"/>
                <w:color w:val="0F766E"/>
                <w:sz w:val="19"/>
              </w:rPr>
              <w:t>gmsh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0F766E"/>
                <w:sz w:val="19"/>
              </w:rPr>
              <w:t>TetWild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Converts hollow surface models into solid tetrahedral meshes.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Physics Simulation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Tearing &amp; deformation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rFonts w:ascii="Consolas" w:hAnsi="Consolas"/>
                <w:color w:val="0F766E"/>
                <w:sz w:val="19"/>
              </w:rPr>
              <w:t>Isaac Sim</w:t>
            </w:r>
            <w:r>
              <w:rPr>
                <w:sz w:val="19"/>
              </w:rPr>
              <w:t xml:space="preserve"> &amp; </w:t>
            </w:r>
            <w:r>
              <w:rPr>
                <w:rFonts w:ascii="Consolas" w:hAnsi="Consolas"/>
                <w:color w:val="0F766E"/>
                <w:sz w:val="19"/>
              </w:rPr>
              <w:t>PhysX FEM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Simulates nonlinear soft-body elasticity and tearing via Newton/VBD solvers.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Macro Planning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Dual-arm gross motion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rFonts w:ascii="Consolas" w:hAnsi="Consolas"/>
                <w:color w:val="0F766E"/>
                <w:sz w:val="19"/>
              </w:rPr>
              <w:t>ROS 2 (Jazzy)</w:t>
            </w:r>
            <w:r>
              <w:rPr>
                <w:sz w:val="19"/>
              </w:rPr>
              <w:t xml:space="preserve"> &amp; </w:t>
            </w:r>
            <w:r>
              <w:rPr>
                <w:rFonts w:ascii="Consolas" w:hAnsi="Consolas"/>
                <w:color w:val="0F766E"/>
                <w:sz w:val="19"/>
              </w:rPr>
              <w:t>MoveIt 2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Generates deterministic, collision-free pre-contact trajectories.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AI / DRL Policy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Parallel simulation training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rFonts w:ascii="Consolas" w:hAnsi="Consolas"/>
                <w:color w:val="0F766E"/>
                <w:sz w:val="19"/>
              </w:rPr>
              <w:t>Isaac Lab</w:t>
            </w:r>
            <w:r>
              <w:rPr>
                <w:sz w:val="19"/>
              </w:rPr>
              <w:t xml:space="preserve"> &amp; </w:t>
            </w:r>
            <w:r>
              <w:rPr>
                <w:rFonts w:ascii="Consolas" w:hAnsi="Consolas"/>
                <w:color w:val="0F766E"/>
                <w:sz w:val="19"/>
              </w:rPr>
              <w:t>PyTorch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Runs parallel GPU environments to train compliant manipulation policies.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RL Algorithm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Micro-force adjustments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rFonts w:ascii="Consolas" w:hAnsi="Consolas"/>
                <w:color w:val="0F766E"/>
                <w:sz w:val="19"/>
              </w:rPr>
              <w:t>Soft Actor-Critic (SAC)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Optimizes continuous joint adjustments for stable, non-crushing slicing.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Sensory Feedback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Visuo-tactile state feed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rFonts w:ascii="Consolas" w:hAnsi="Consolas"/>
                <w:color w:val="0F766E"/>
                <w:sz w:val="19"/>
              </w:rPr>
              <w:t>OmniGraph</w:t>
            </w:r>
            <w:r>
              <w:rPr>
                <w:sz w:val="19"/>
              </w:rPr>
              <w:t xml:space="preserve"> (Omniverse)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Extracts real-time normal/shear contact forces and camera streams.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6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Hardware Bridge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6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Real-time command dispatch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6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rFonts w:ascii="Consolas" w:hAnsi="Consolas"/>
                <w:color w:val="0F766E"/>
                <w:sz w:val="19"/>
              </w:rPr>
              <w:t>isaac_ros_bridge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0F766E"/>
                <w:sz w:val="19"/>
              </w:rPr>
              <w:t>ros2_control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6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Transmits joint target commands from policy to the physical robot.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b/>
          <w:color w:val="334155"/>
          <w:sz w:val="23"/>
        </w:rPr>
        <w:t>Simulator Platform Evaluation: Isaac Lab vs. MuJoCo</w:t>
      </w:r>
    </w:p>
    <w:p>
      <w:pPr>
        <w:pStyle w:val="Normal"/>
        <w:rPr/>
      </w:pPr>
      <w:r>
        <w:rPr/>
        <w:t xml:space="preserve">To ground our simulation choice in our project requirements, we evaluated </w:t>
      </w:r>
      <w:r>
        <w:rPr>
          <w:b/>
        </w:rPr>
        <w:t>Isaac Lab (Unified GPU)</w:t>
      </w:r>
      <w:r>
        <w:rPr/>
        <w:t xml:space="preserve"> against </w:t>
      </w:r>
      <w:r>
        <w:rPr>
          <w:b/>
        </w:rPr>
        <w:t>MuJoCo / MuJoCo + Isaac Sim (Hybrid)</w:t>
      </w:r>
      <w:r>
        <w:rPr/>
        <w:t xml:space="preserve"> across our two research phases:</w:t>
      </w:r>
    </w:p>
    <w:tbl>
      <w:tblPr>
        <w:tblW w:w="9648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2412"/>
        <w:gridCol w:w="2412"/>
        <w:gridCol w:w="2412"/>
        <w:gridCol w:w="2411"/>
      </w:tblGrid>
      <w:tr>
        <w:trPr/>
        <w:tc>
          <w:tcPr>
            <w:tcW w:w="2412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w="2412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 xml:space="preserve">🟩 </w:t>
            </w:r>
            <w:r>
              <w:rPr>
                <w:b/>
                <w:color w:val="FFFFFF"/>
                <w:sz w:val="19"/>
              </w:rPr>
              <w:t>Isaac Lab (Selected for Phase 1 RL)</w:t>
            </w:r>
          </w:p>
        </w:tc>
        <w:tc>
          <w:tcPr>
            <w:tcW w:w="2412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 xml:space="preserve">🔵 </w:t>
            </w:r>
            <w:r>
              <w:rPr>
                <w:b/>
                <w:color w:val="FFFFFF"/>
                <w:sz w:val="19"/>
              </w:rPr>
              <w:t>MuJoCo / MuJoCo + Isaac Sim (Hybrid)</w:t>
            </w:r>
          </w:p>
        </w:tc>
        <w:tc>
          <w:tcPr>
            <w:tcW w:w="2411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Project Rationale &amp; Context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Architecture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Unified single-process GPU pipeline (PhysX 5/FEM + PyTorch tensors).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Dual-process hybrid (MuJoCo CPU physics synced to Isaac Sim GPU render).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Isaac Lab eliminates CPU-GPU PCIe transfers and IPC bottlenecks during policy rollouts.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RL Training Throughput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Very High</w:t>
            </w:r>
            <w:r>
              <w:rPr>
                <w:sz w:val="19"/>
              </w:rPr>
              <w:t xml:space="preserve"> (1,000–4,096 parallel GPU envs; 10×–100× faster rollouts).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Moderate to Low</w:t>
            </w:r>
            <w:r>
              <w:rPr>
                <w:sz w:val="19"/>
              </w:rPr>
              <w:t xml:space="preserve"> (CPU thread bound; IPC synchronization overhead).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Critical for sample-intensive continuous SAC training on dual arms.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Deformable &amp; Tearing Physics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Native PhysX FEM</w:t>
            </w:r>
            <w:r>
              <w:rPr>
                <w:sz w:val="19"/>
              </w:rPr>
              <w:t xml:space="preserve"> (TetMesh tetrahedralization &amp; mesh cutting).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Approximate / Rigid-body</w:t>
            </w:r>
            <w:r>
              <w:rPr>
                <w:sz w:val="19"/>
              </w:rPr>
              <w:t xml:space="preserve"> (no native volumetric FEM tearing).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Essential for modeling knife penetration and soft tissue yielding.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Contact Dynamics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Penalty-based contact approximation (PhysX 5).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Gold Standard</w:t>
            </w:r>
            <w:r>
              <w:rPr>
                <w:sz w:val="19"/>
              </w:rPr>
              <w:t xml:space="preserve"> (analytical complementarity contact solver).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MuJoCo offers higher fidelity for rigid contacts, but lacks FEM tearing.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IL &amp; VLA Compatibility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Growing (OmniHLS, GROOT, Isaac Lab Mimic).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Dominant Standard</w:t>
            </w:r>
            <w:r>
              <w:rPr>
                <w:sz w:val="19"/>
              </w:rPr>
              <w:t xml:space="preserve"> (native ALOHA, ACT, Diffusion Policy ecosystem).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MuJoCo remains our reference platform for future Phase 2 imitation learning.</w:t>
            </w:r>
          </w:p>
        </w:tc>
      </w:tr>
      <w:tr>
        <w:trPr/>
        <w:tc>
          <w:tcPr>
            <w:tcW w:w="2412" w:type="dxa"/>
            <w:tcBorders>
              <w:top w:val="single" w:sz="4" w:space="0" w:color="CBD5E1"/>
              <w:bottom w:val="single" w:sz="6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Sim-to-Real Transfer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6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Built-in GPU domain randomization (friction, mass, visual).</w:t>
            </w:r>
          </w:p>
        </w:tc>
        <w:tc>
          <w:tcPr>
            <w:tcW w:w="2412" w:type="dxa"/>
            <w:tcBorders>
              <w:top w:val="single" w:sz="4" w:space="0" w:color="CBD5E1"/>
              <w:bottom w:val="single" w:sz="6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Requires manual randomization bridges across both engines.</w:t>
            </w:r>
          </w:p>
        </w:tc>
        <w:tc>
          <w:tcPr>
            <w:tcW w:w="2411" w:type="dxa"/>
            <w:tcBorders>
              <w:top w:val="single" w:sz="4" w:space="0" w:color="CBD5E1"/>
              <w:bottom w:val="single" w:sz="6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Streamlines direct zero-copy policy deployment to physical arms.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>
          <w:b/>
        </w:rPr>
        <w:t>Strategic Verdict for Our Research: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>
          <w:b/>
        </w:rPr>
        <w:t>(Current — Autonomous Compliant Slicing via DRL):</w:t>
      </w:r>
      <w:r>
        <w:rPr/>
        <w:t xml:space="preserve"> </w:t>
      </w:r>
      <w:r>
        <w:rPr>
          <w:b/>
        </w:rPr>
        <w:t>Isaac Lab</w:t>
      </w:r>
      <w:r>
        <w:rPr/>
        <w:t xml:space="preserve"> is selected as the primary platform. End-to-end GPU vectorization is mandatory for sample-efficient SAC convergence, and PhysX FEM natively supports volumetric soft-body tearing under knife contact.</w:t>
      </w:r>
    </w:p>
    <w:p>
      <w:pPr>
        <w:pStyle w:val="Normal"/>
        <w:pBdr>
          <w:bottom w:val="single" w:sz="6" w:space="1" w:color="CBD5E1"/>
        </w:pBdr>
        <w:spacing w:before="80" w:after="8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b/>
          <w:color w:val="1B365D"/>
          <w:sz w:val="27"/>
        </w:rPr>
        <w:t>3. Progress Completed This Week</w:t>
      </w:r>
    </w:p>
    <w:p>
      <w:pPr>
        <w:pStyle w:val="Normal"/>
        <w:spacing w:before="0" w:after="50"/>
        <w:ind w:left="360"/>
        <w:rPr/>
      </w:pPr>
      <w:r>
        <w:rPr>
          <w:b/>
          <w:color w:val="1B365D"/>
        </w:rPr>
        <w:t xml:space="preserve">1. </w:t>
      </w:r>
      <w:r>
        <w:rPr>
          <w:b/>
        </w:rPr>
        <w:t>Pipeline Architecture &amp; Toolchain Design: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>Finalized the software-to-hardware system architecture connecting 3D volumetric meshing, GPU-accelerated simulation, deterministic planning, and reinforcement learning.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 xml:space="preserve">Selected and integrated the core toolchain: </w:t>
      </w:r>
      <w:r>
        <w:rPr>
          <w:rFonts w:ascii="Consolas" w:hAnsi="Consolas"/>
          <w:color w:val="0F766E"/>
          <w:sz w:val="19"/>
        </w:rPr>
        <w:t>gmsh</w:t>
      </w:r>
      <w:r>
        <w:rPr/>
        <w:t>/</w:t>
      </w:r>
      <w:r>
        <w:rPr>
          <w:rFonts w:ascii="Consolas" w:hAnsi="Consolas"/>
          <w:color w:val="0F766E"/>
          <w:sz w:val="19"/>
        </w:rPr>
        <w:t>TetWild</w:t>
      </w:r>
      <w:r>
        <w:rPr/>
        <w:t xml:space="preserve"> for tetrahedralization, Isaac Sim (PhysX FEM) for soft-body simulation, and ROS 2 Jazzy for robot middleware.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>Completed a comparative architectural evaluation between Isaac Lab and MuJoCo, establishing Isaac Lab as the primary Phase 1 RL engine.</w:t>
      </w:r>
    </w:p>
    <w:p>
      <w:pPr>
        <w:pStyle w:val="ListBullet"/>
        <w:numPr>
          <w:ilvl w:val="0"/>
          <w:numId w:val="0"/>
        </w:numPr>
        <w:spacing w:before="0" w:after="50"/>
        <w:ind w:hanging="0" w:left="360"/>
        <w:contextualSpacing/>
        <w:rPr/>
      </w:pPr>
      <w:r>
        <w:rPr>
          <w:b/>
          <w:color w:val="1B365D"/>
        </w:rPr>
        <w:t xml:space="preserve">2. </w:t>
      </w:r>
      <w:r>
        <w:rPr>
          <w:b/>
        </w:rPr>
        <w:t>Asset Pipeline &amp; Deformable Tearing Workflow: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>Established the workflow for importing solid volumetric meshes (TetMesh) into Isaac Sim using native Deformable Body schemas.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>Configured PhysX FEM tearing mechanics (Newton and Vertex Block Descent solvers) to simulate realistic knife penetration and topological separation without numerical instability.</w:t>
      </w:r>
    </w:p>
    <w:p>
      <w:pPr>
        <w:pStyle w:val="Normal"/>
        <w:spacing w:before="0" w:after="50"/>
        <w:ind w:left="360"/>
        <w:rPr/>
      </w:pPr>
      <w:r>
        <w:rPr>
          <w:b/>
          <w:color w:val="1B365D"/>
        </w:rPr>
        <w:t xml:space="preserve">3. </w:t>
      </w:r>
      <w:r>
        <w:rPr>
          <w:b/>
        </w:rPr>
        <w:t>Hierarchical Control Strategy: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>Structured the control pipeline into two coordinated stages: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>
          <w:b/>
        </w:rPr>
        <w:t>Macro Kinematics (MoveIt 2):</w:t>
      </w:r>
      <w:r>
        <w:rPr/>
        <w:t xml:space="preserve"> Handles collision-free, synchronized pre-contact positioning to bring both arms to within 5–10 mm of the target object.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>
          <w:b/>
        </w:rPr>
        <w:t>Micro Dynamic Manipulation (Isaac Lab SAC):</w:t>
      </w:r>
      <w:r>
        <w:rPr/>
        <w:t xml:space="preserve"> Takes over authority upon contact to dynamically regulate knife pressure, slicing velocity, and stabilizing grip forces to prevent slipping or crushing.</w:t>
      </w:r>
    </w:p>
    <w:p>
      <w:pPr>
        <w:pStyle w:val="Normal"/>
        <w:spacing w:before="0" w:after="50"/>
        <w:ind w:left="360"/>
        <w:rPr/>
      </w:pPr>
      <w:r>
        <w:rPr>
          <w:b/>
          <w:color w:val="1B365D"/>
        </w:rPr>
        <w:t xml:space="preserve">4. </w:t>
      </w:r>
      <w:r>
        <w:rPr>
          <w:b/>
        </w:rPr>
        <w:t>Visuo-Tactile Sensing &amp; Bridge Verification: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>Designed synthetic sensor extraction via OmniGraph to publish contact normal forces, shear vectors, and RGB-D camera feeds.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 xml:space="preserve">Configured </w:t>
      </w:r>
      <w:r>
        <w:rPr>
          <w:rFonts w:ascii="Consolas" w:hAnsi="Consolas"/>
          <w:color w:val="0F766E"/>
          <w:sz w:val="19"/>
        </w:rPr>
        <w:t>isaac_ros_bridge</w:t>
      </w:r>
      <w:r>
        <w:rPr/>
        <w:t xml:space="preserve"> for zero-copy command dispatch to low-level </w:t>
      </w:r>
      <w:r>
        <w:rPr>
          <w:rFonts w:ascii="Consolas" w:hAnsi="Consolas"/>
          <w:color w:val="0F766E"/>
          <w:sz w:val="19"/>
        </w:rPr>
        <w:t>ros2_control</w:t>
      </w:r>
      <w:r>
        <w:rPr/>
        <w:t xml:space="preserve"> joint controllers.</w:t>
      </w:r>
    </w:p>
    <w:p>
      <w:pPr>
        <w:pStyle w:val="Normal"/>
        <w:spacing w:before="0" w:after="50"/>
        <w:ind w:left="360"/>
        <w:rPr/>
      </w:pPr>
      <w:r>
        <w:rPr>
          <w:b/>
          <w:color w:val="1B365D"/>
        </w:rPr>
        <w:t xml:space="preserve">5. </w:t>
      </w:r>
      <w:r>
        <w:rPr>
          <w:b/>
        </w:rPr>
        <w:t>Local Software Environment Deployment: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>Verified Isaac Sim, Isaac Lab, PyTorch, and ROS 2 Jazzy on our development workstation with full GPU acceleration.</w:t>
      </w:r>
    </w:p>
    <w:p>
      <w:pPr>
        <w:pStyle w:val="Normal"/>
        <w:pBdr>
          <w:bottom w:val="single" w:sz="6" w:space="1" w:color="CBD5E1"/>
        </w:pBdr>
        <w:spacing w:before="80" w:after="8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b/>
          <w:color w:val="1B365D"/>
          <w:sz w:val="27"/>
        </w:rPr>
        <w:t>4. Hardware Benchmarking &amp; RAM Upgrade Request</w:t>
      </w:r>
    </w:p>
    <w:p>
      <w:pPr>
        <w:pStyle w:val="Normal"/>
        <w:rPr/>
      </w:pPr>
      <w:r>
        <w:rPr/>
        <w:t>During initial benchmarking with deformable body physics and parallel environments, we identified a critical memory bottleneck:</w:t>
      </w:r>
    </w:p>
    <w:p>
      <w:pPr>
        <w:pStyle w:val="Normal"/>
        <w:keepNext w:val="true"/>
        <w:spacing w:before="200" w:after="60"/>
        <w:rPr/>
      </w:pPr>
      <w:r>
        <w:rPr>
          <w:b/>
          <w:color w:val="334155"/>
          <w:sz w:val="23"/>
        </w:rPr>
        <w:t>Current Workstation Specifications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>
          <w:b/>
        </w:rPr>
        <w:t>CPU:</w:t>
      </w:r>
      <w:r>
        <w:rPr/>
        <w:t xml:space="preserve"> Intel Core i7-14650HX (16 Cores / 24 Threads)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>
          <w:b/>
        </w:rPr>
        <w:t>GPU:</w:t>
      </w:r>
      <w:r>
        <w:rPr/>
        <w:t xml:space="preserve"> NVIDIA GeForce RTX 5060 Laptop GPU (8 GB VRAM)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>
          <w:b/>
        </w:rPr>
        <w:t>RAM:</w:t>
      </w:r>
      <w:r>
        <w:rPr/>
        <w:t xml:space="preserve"> </w:t>
      </w:r>
      <w:r>
        <w:rPr>
          <w:b/>
        </w:rPr>
        <w:t>16.0 GB DDR5</w:t>
      </w:r>
    </w:p>
    <w:p>
      <w:pPr>
        <w:pStyle w:val="Normal"/>
        <w:keepNext w:val="true"/>
        <w:spacing w:before="200" w:after="60"/>
        <w:rPr/>
      </w:pPr>
      <w:r>
        <w:rPr>
          <w:b/>
          <w:color w:val="334155"/>
          <w:sz w:val="23"/>
        </w:rPr>
        <w:t>Operational Bottleneck &amp; Saturation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 xml:space="preserve">When running Isaac Sim along with PyTorch, deformable FEM buffers, and system background processes, </w:t>
      </w:r>
      <w:r>
        <w:rPr>
          <w:b/>
        </w:rPr>
        <w:t>system RAM immediately reaches 95%–98% saturation (~15.2 GB / 15.6 GB)</w:t>
      </w:r>
      <w:r>
        <w:rPr/>
        <w:t>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>
          <w:b/>
        </w:rPr>
        <w:t>Consequence:</w:t>
      </w:r>
      <w:r>
        <w:rPr/>
        <w:t xml:space="preserve"> The operating system engages aggressive disk swapping (SSD paging), causing extreme simulation frame drops and triggering Linux kernel Out-Of-Memory (</w:t>
      </w:r>
      <w:r>
        <w:rPr>
          <w:rFonts w:ascii="Consolas" w:hAnsi="Consolas"/>
          <w:color w:val="0F766E"/>
          <w:sz w:val="19"/>
        </w:rPr>
        <w:t>oom-killer</w:t>
      </w:r>
      <w:r>
        <w:rPr/>
        <w:t>) crashes. This currently restricts parallel simulation to single-digit environments.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 xml:space="preserve">While the CPU and 8 GB VRAM GPU perform well, the </w:t>
      </w:r>
      <w:r>
        <w:rPr>
          <w:b/>
        </w:rPr>
        <w:t>16 GB system RAM is the main limiting constraint</w:t>
      </w:r>
      <w:r>
        <w:rPr/>
        <w:t>.</w:t>
      </w:r>
    </w:p>
    <w:p>
      <w:pPr>
        <w:pStyle w:val="ListBullet"/>
        <w:numPr>
          <w:ilvl w:val="0"/>
          <w:numId w:val="0"/>
        </w:numPr>
        <w:spacing w:before="0" w:after="50"/>
        <w:ind w:hanging="0" w:left="360"/>
        <w:contextualSpacing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b/>
          <w:color w:val="334155"/>
          <w:sz w:val="23"/>
        </w:rPr>
        <w:t>Memory Tier Comparison</w:t>
      </w:r>
    </w:p>
    <w:tbl>
      <w:tblPr>
        <w:tblW w:w="9650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1930"/>
        <w:gridCol w:w="1930"/>
        <w:gridCol w:w="1930"/>
        <w:gridCol w:w="1930"/>
        <w:gridCol w:w="1930"/>
      </w:tblGrid>
      <w:tr>
        <w:trPr/>
        <w:tc>
          <w:tcPr>
            <w:tcW w:w="1930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Memory Tier</w:t>
            </w:r>
          </w:p>
        </w:tc>
        <w:tc>
          <w:tcPr>
            <w:tcW w:w="1930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System Allocation</w:t>
            </w:r>
          </w:p>
        </w:tc>
        <w:tc>
          <w:tcPr>
            <w:tcW w:w="1930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Saturation Level</w:t>
            </w:r>
          </w:p>
        </w:tc>
        <w:tc>
          <w:tcPr>
            <w:tcW w:w="1930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Expected Concurrency</w:t>
            </w:r>
          </w:p>
        </w:tc>
        <w:tc>
          <w:tcPr>
            <w:tcW w:w="1930" w:type="dxa"/>
            <w:tcBorders>
              <w:top w:val="single" w:sz="6" w:space="0" w:color="CBD5E1"/>
              <w:bottom w:val="single" w:sz="4" w:space="0" w:color="CBD5E1"/>
            </w:tcBorders>
            <w:shd w:fill="1B365D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color w:val="FFFFFF"/>
                <w:sz w:val="19"/>
              </w:rPr>
              <w:t>Operational Stability</w:t>
            </w:r>
          </w:p>
        </w:tc>
      </w:tr>
      <w:tr>
        <w:trPr/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16 GB (Current)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~15.2 GB / 15.6 GB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98% (Critical)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&lt; 16 Envs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Severe swap thrashing, kernel OOM crashes</w:t>
            </w:r>
          </w:p>
        </w:tc>
      </w:tr>
      <w:tr>
        <w:trPr/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32 GB (Proposed)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~15.5 GB / 31.2 GB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48% (Stable)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256 – 512 Envs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Zero paging, unblocked vectorized policy training</w:t>
            </w:r>
          </w:p>
        </w:tc>
      </w:tr>
      <w:tr>
        <w:trPr/>
        <w:tc>
          <w:tcPr>
            <w:tcW w:w="1930" w:type="dxa"/>
            <w:tcBorders>
              <w:top w:val="single" w:sz="4" w:space="0" w:color="CBD5E1"/>
              <w:bottom w:val="single" w:sz="6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64 GB (Ideal)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6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~16.0 GB / 62.5 GB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6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b/>
                <w:sz w:val="19"/>
              </w:rPr>
              <w:t>25% (Optimal)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6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1024+ Envs</w:t>
            </w:r>
          </w:p>
        </w:tc>
        <w:tc>
          <w:tcPr>
            <w:tcW w:w="1930" w:type="dxa"/>
            <w:tcBorders>
              <w:top w:val="single" w:sz="4" w:space="0" w:color="CBD5E1"/>
              <w:bottom w:val="single" w:sz="6" w:space="0" w:color="CBD5E1"/>
            </w:tcBorders>
            <w:shd w:fill="F8FAFC"/>
          </w:tcPr>
          <w:p>
            <w:pPr>
              <w:pStyle w:val="Normal"/>
              <w:spacing w:before="50" w:after="50"/>
              <w:rPr/>
            </w:pPr>
            <w:r>
              <w:rPr>
                <w:sz w:val="19"/>
              </w:rPr>
              <w:t>Full GPU batch capacity, future-proof for VLA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rPr>
          <w:color w:val="C9211E"/>
        </w:rPr>
      </w:pPr>
      <w:r>
        <w:rPr>
          <w:b/>
          <w:color w:val="C9211E"/>
          <w:sz w:val="23"/>
        </w:rPr>
        <w:t>Upgrade Request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 xml:space="preserve">We request an upgrade of the workstation memory to </w:t>
      </w:r>
      <w:r>
        <w:rPr>
          <w:b/>
        </w:rPr>
        <w:t>32 GB DDR5</w:t>
      </w:r>
      <w:r>
        <w:rPr/>
        <w:t xml:space="preserve"> (minimum requirement) or </w:t>
      </w:r>
      <w:r>
        <w:rPr>
          <w:b/>
        </w:rPr>
        <w:t>64 GB DDR5</w:t>
      </w:r>
      <w:r>
        <w:rPr/>
        <w:t xml:space="preserve"> (recommended).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/>
      </w:pPr>
      <w:r>
        <w:rPr/>
        <w:t>This will completely eliminate disk swapping and allow us to scale parallel simulation environments for reliable policy convergence.</w:t>
      </w:r>
    </w:p>
    <w:p>
      <w:pPr>
        <w:pStyle w:val="Normal"/>
        <w:pBdr>
          <w:bottom w:val="single" w:sz="6" w:space="1" w:color="CBD5E1"/>
        </w:pBdr>
        <w:spacing w:before="80" w:after="8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296" w:right="1296" w:gutter="0" w:header="720" w:top="1296" w:footer="720" w:bottom="129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94A3B8"/>
        <w:sz w:val="17"/>
      </w:rPr>
      <w:t>Confidential — Internal Academic &amp; Engineering Milestone Report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94A3B8"/>
        <w:sz w:val="17"/>
      </w:rPr>
      <w:t>Confidential — Internal Academic &amp; Engineering Milestone Report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94A3B8"/>
        <w:sz w:val="17"/>
      </w:rPr>
      <w:t>Tianjin University DEX-ROB Lab | Autonomous Bimanual DOM Robot Pipeline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94A3B8"/>
        <w:sz w:val="17"/>
      </w:rPr>
      <w:t>Tianjin University DEX-ROB Lab | Autonomous Bimanual DOM Robot Pipeline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00"/>
      <w:jc w:val="left"/>
    </w:pPr>
    <w:rPr>
      <w:rFonts w:ascii="Calibri" w:hAnsi="Calibri" w:eastAsia="ＭＳ 明朝" w:cs=""/>
      <w:color w:val="1E293B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6</Pages>
  <Words>1102</Words>
  <Characters>6873</Characters>
  <CharactersWithSpaces>7822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2026-09-20T16:53:18Z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