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drawing>
          <wp:inline xmlns:a="http://schemas.openxmlformats.org/drawingml/2006/main" xmlns:pic="http://schemas.openxmlformats.org/drawingml/2006/picture">
            <wp:extent cx="3886200" cy="321863"/>
            <wp:docPr id="1" name="Picture 1"/>
            <wp:cNvGraphicFramePr>
              <a:graphicFrameLocks noChangeAspect="1"/>
            </wp:cNvGraphicFramePr>
            <a:graphic>
              <a:graphicData uri="http://schemas.openxmlformats.org/drawingml/2006/picture">
                <pic:pic>
                  <pic:nvPicPr>
                    <pic:cNvPr id="0" name="utm_fee_header.png"/>
                    <pic:cNvPicPr/>
                  </pic:nvPicPr>
                  <pic:blipFill>
                    <a:blip r:embed="rId9"/>
                    <a:stretch>
                      <a:fillRect/>
                    </a:stretch>
                  </pic:blipFill>
                  <pic:spPr>
                    <a:xfrm>
                      <a:off x="0" y="0"/>
                      <a:ext cx="3886200" cy="321863"/>
                    </a:xfrm>
                    <a:prstGeom prst="rect"/>
                  </pic:spPr>
                </pic:pic>
              </a:graphicData>
            </a:graphic>
          </wp:inline>
        </w:drawing>
      </w:r>
    </w:p>
    <w:p>
      <w:pPr>
        <w:spacing w:before="20" w:after="40"/>
        <w:jc w:val="center"/>
      </w:pPr>
      <w:r>
        <w:rPr>
          <w:rFonts w:ascii="Arial" w:hAnsi="Arial"/>
          <w:b w:val="0"/>
          <w:i w:val="0"/>
          <w:color w:val="000000"/>
          <w:sz w:val="24"/>
        </w:rPr>
        <w:t>VECAD ELITE INTERNSHIP 2025</w:t>
      </w:r>
    </w:p>
    <w:p>
      <w:pPr>
        <w:spacing w:after="260"/>
        <w:jc w:val="center"/>
      </w:pPr>
      <w:r>
        <w:rPr>
          <w:rFonts w:ascii="Arial" w:hAnsi="Arial"/>
          <w:b w:val="0"/>
          <w:i w:val="0"/>
          <w:color w:val="000000"/>
          <w:sz w:val="24"/>
        </w:rPr>
        <w:t>WEEK 3</w:t>
      </w:r>
    </w:p>
    <w:tbl>
      <w:tblPr>
        <w:tblW w:type="auto" w:w="0"/>
        <w:jc w:val="left"/>
        <w:tblLayout w:type="fixed"/>
        <w:tblLook w:firstColumn="1" w:firstRow="1" w:lastColumn="0" w:lastRow="0" w:noHBand="0" w:noVBand="1" w:val="04A0"/>
      </w:tblPr>
      <w:tblGrid>
        <w:gridCol w:w="2232"/>
        <w:gridCol w:w="7128"/>
      </w:tblGrid>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NAME</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Ahmed Mohamed Abdalla Ahmed</w:t>
            </w:r>
          </w:p>
        </w:tc>
      </w:tr>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MATRIC</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A24KE0429</w:t>
            </w:r>
          </w:p>
        </w:tc>
      </w:tr>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SUPERVISOR</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Dr Mohd Anuar Md Ali</w:t>
            </w:r>
          </w:p>
        </w:tc>
      </w:tr>
    </w:tbl>
    <w:p>
      <w:pPr>
        <w:spacing w:after="0"/>
      </w:pPr>
    </w:p>
    <w:p>
      <w:pPr>
        <w:keepNext/>
        <w:spacing w:before="80" w:after="240"/>
      </w:pPr>
      <w:r>
        <w:rPr>
          <w:rFonts w:ascii="Arial" w:hAnsi="Arial"/>
          <w:b/>
          <w:i w:val="0"/>
          <w:color w:val="000000"/>
          <w:sz w:val="23"/>
        </w:rPr>
        <w:t>Objectives:</w:t>
      </w:r>
    </w:p>
    <w:p>
      <w:pPr>
        <w:widowControl/>
        <w:spacing w:after="160" w:line="250" w:lineRule="auto"/>
        <w:ind w:firstLine="403"/>
        <w:jc w:val="both"/>
      </w:pPr>
      <w:r>
        <w:rPr>
          <w:rFonts w:ascii="Arial" w:hAnsi="Arial"/>
          <w:b w:val="0"/>
          <w:i w:val="0"/>
          <w:color w:val="000000"/>
          <w:sz w:val="20"/>
        </w:rPr>
        <w:t>The main objective for the third internship week was to transform the labelled sensor recordings into a small, testable AI occupancy classifier. This involved reviewing the collected CSV sessions, removing unsuitable transition data, creating meaningful input features from the PIR signals, and training a model that could distinguish EMPTY, LOW, and HIGH occupancy. The objective was not only to obtain a high accuracy value on a computer, but to build a model compact enough to be converted and executed on the STM32 microcontroller.</w:t>
      </w:r>
    </w:p>
    <w:p>
      <w:pPr>
        <w:widowControl/>
        <w:spacing w:after="160" w:line="250" w:lineRule="auto"/>
        <w:ind w:firstLine="403"/>
        <w:jc w:val="both"/>
      </w:pPr>
      <w:r>
        <w:rPr>
          <w:rFonts w:ascii="Arial" w:hAnsi="Arial"/>
          <w:b w:val="0"/>
          <w:i w:val="0"/>
          <w:color w:val="000000"/>
          <w:sz w:val="20"/>
        </w:rPr>
        <w:t>A second objective was to understand and apply the complete TensorFlow and STM32Cube.AI deployment workflow. I aimed to document why the data needed normalisation, why sensor readings were grouped into time windows, how the neural-network layers produced three class probabilities, and how the trained model could be converted to an INT8 TensorFlow Lite file. This was essential for explaining the project in the presentation and for ensuring that the computer-side model and the embedded implementation used the same feature calculation and scaling.</w:t>
      </w:r>
    </w:p>
    <w:p>
      <w:pPr>
        <w:widowControl/>
        <w:spacing w:after="160" w:line="250" w:lineRule="auto"/>
        <w:ind w:firstLine="403"/>
        <w:jc w:val="both"/>
      </w:pPr>
      <w:r>
        <w:rPr>
          <w:rFonts w:ascii="Arial" w:hAnsi="Arial"/>
          <w:b w:val="0"/>
          <w:i w:val="0"/>
          <w:color w:val="000000"/>
          <w:sz w:val="20"/>
        </w:rPr>
        <w:t>The final objective was to improve the prototype from a classifier demonstration into an energy-aware monitoring system. I planned to integrate the AI output with the OLED, LEDs, and buzzer and to use environmental readings for rule-based energy-saving warnings. At the same time, I reviewed the real limitation of the VL53L0X sensor in the cardboard prototype and documented why it should not be treated as a primary occupancy feature in the final model without further hardware improvement.</w:t>
      </w:r>
    </w:p>
    <w:p>
      <w:pPr>
        <w:spacing w:before="80" w:after="0"/>
      </w:pPr>
    </w:p>
    <w:tbl>
      <w:tblPr>
        <w:tblW w:type="auto" w:w="0"/>
        <w:jc w:val="center"/>
        <w:tblLayout w:type="fixed"/>
        <w:tblLook w:firstColumn="1" w:firstRow="1" w:lastColumn="0" w:lastRow="0" w:noHBand="0" w:noVBand="1" w:val="04A0"/>
      </w:tblPr>
      <w:tblGrid>
        <w:gridCol w:w="4680"/>
        <w:gridCol w:w="4680"/>
      </w:tblGrid>
      <w:tr>
        <w:tc>
          <w:tcPr>
            <w:tcW w:type="dxa" w:w="4997"/>
            <w:vAlign w:val="top"/>
            <w:tcMar>
              <w:top w:w="115" w:type="dxa"/>
              <w:start w:w="120" w:type="dxa"/>
              <w:bottom w:w="110" w:type="dxa"/>
              <w:end w:w="120" w:type="dxa"/>
            </w:tcMar>
            <w:tcBorders>
              <w:top w:val="single" w:sz="9" w:color="000000"/>
              <w:bottom w:val="single" w:sz="9" w:color="000000"/>
              <w:left w:val="single" w:sz="9" w:color="000000"/>
              <w:right w:val="single" w:sz="9" w:color="000000"/>
            </w:tcBorders>
          </w:tcPr>
          <w:p>
            <w:pPr>
              <w:spacing w:after="400"/>
            </w:pPr>
            <w:r>
              <w:rPr>
                <w:rFonts w:ascii="Arial" w:hAnsi="Arial"/>
                <w:b/>
                <w:i w:val="0"/>
                <w:color w:val="000000"/>
                <w:sz w:val="19"/>
              </w:rPr>
              <w:t xml:space="preserve">Student's Name/Signature: </w:t>
            </w:r>
            <w:r>
              <w:rPr>
                <w:rFonts w:ascii="Arial" w:hAnsi="Arial"/>
                <w:b w:val="0"/>
                <w:i w:val="0"/>
                <w:color w:val="000000"/>
                <w:sz w:val="19"/>
              </w:rPr>
              <w:t>____________________________</w:t>
            </w:r>
          </w:p>
          <w:p>
            <w:pPr>
              <w:spacing w:after="0"/>
            </w:pPr>
            <w:r>
              <w:rPr>
                <w:rFonts w:ascii="Arial" w:hAnsi="Arial"/>
                <w:b/>
                <w:i w:val="0"/>
                <w:color w:val="000000"/>
                <w:sz w:val="19"/>
              </w:rPr>
              <w:t xml:space="preserve">Date: </w:t>
            </w:r>
            <w:r>
              <w:rPr>
                <w:rFonts w:ascii="Arial" w:hAnsi="Arial"/>
                <w:b w:val="0"/>
                <w:i w:val="0"/>
                <w:color w:val="000000"/>
                <w:sz w:val="19"/>
              </w:rPr>
              <w:t>__________________</w:t>
            </w:r>
          </w:p>
        </w:tc>
        <w:tc>
          <w:tcPr>
            <w:tcW w:type="dxa" w:w="4997"/>
            <w:vAlign w:val="top"/>
            <w:tcMar>
              <w:top w:w="115" w:type="dxa"/>
              <w:start w:w="120" w:type="dxa"/>
              <w:bottom w:w="110" w:type="dxa"/>
              <w:end w:w="120" w:type="dxa"/>
            </w:tcMar>
            <w:tcBorders>
              <w:top w:val="single" w:sz="9" w:color="000000"/>
              <w:bottom w:val="single" w:sz="9" w:color="000000"/>
              <w:left w:val="single" w:sz="9" w:color="000000"/>
              <w:right w:val="single" w:sz="9" w:color="000000"/>
            </w:tcBorders>
          </w:tcPr>
          <w:p>
            <w:pPr>
              <w:spacing w:after="400"/>
            </w:pPr>
            <w:r>
              <w:rPr>
                <w:rFonts w:ascii="Arial" w:hAnsi="Arial"/>
                <w:b/>
                <w:i w:val="0"/>
                <w:color w:val="000000"/>
                <w:sz w:val="19"/>
              </w:rPr>
              <w:t xml:space="preserve">Supervisor's Name/Signature: </w:t>
            </w:r>
            <w:r>
              <w:rPr>
                <w:rFonts w:ascii="Arial" w:hAnsi="Arial"/>
                <w:b w:val="0"/>
                <w:i w:val="0"/>
                <w:color w:val="000000"/>
                <w:sz w:val="19"/>
              </w:rPr>
              <w:t>________________________</w:t>
            </w:r>
          </w:p>
          <w:p>
            <w:pPr>
              <w:spacing w:after="0"/>
            </w:pPr>
            <w:r>
              <w:rPr>
                <w:rFonts w:ascii="Arial" w:hAnsi="Arial"/>
                <w:b/>
                <w:i w:val="0"/>
                <w:color w:val="000000"/>
                <w:sz w:val="19"/>
              </w:rPr>
              <w:t xml:space="preserve">Date: </w:t>
            </w:r>
            <w:r>
              <w:rPr>
                <w:rFonts w:ascii="Arial" w:hAnsi="Arial"/>
                <w:b w:val="0"/>
                <w:i w:val="0"/>
                <w:color w:val="000000"/>
                <w:sz w:val="19"/>
              </w:rPr>
              <w:t>__________________</w:t>
            </w:r>
          </w:p>
        </w:tc>
      </w:tr>
    </w:tbl>
    <w:p>
      <w:r>
        <w:br w:type="page"/>
      </w:r>
    </w:p>
    <w:p>
      <w:pPr>
        <w:spacing w:after="20"/>
        <w:jc w:val="center"/>
      </w:pPr>
      <w:r>
        <w:drawing>
          <wp:inline xmlns:a="http://schemas.openxmlformats.org/drawingml/2006/main" xmlns:pic="http://schemas.openxmlformats.org/drawingml/2006/picture">
            <wp:extent cx="3886200" cy="321863"/>
            <wp:docPr id="2" name="Picture 2"/>
            <wp:cNvGraphicFramePr>
              <a:graphicFrameLocks noChangeAspect="1"/>
            </wp:cNvGraphicFramePr>
            <a:graphic>
              <a:graphicData uri="http://schemas.openxmlformats.org/drawingml/2006/picture">
                <pic:pic>
                  <pic:nvPicPr>
                    <pic:cNvPr id="0" name="utm_fee_header.png"/>
                    <pic:cNvPicPr/>
                  </pic:nvPicPr>
                  <pic:blipFill>
                    <a:blip r:embed="rId9"/>
                    <a:stretch>
                      <a:fillRect/>
                    </a:stretch>
                  </pic:blipFill>
                  <pic:spPr>
                    <a:xfrm>
                      <a:off x="0" y="0"/>
                      <a:ext cx="3886200" cy="321863"/>
                    </a:xfrm>
                    <a:prstGeom prst="rect"/>
                  </pic:spPr>
                </pic:pic>
              </a:graphicData>
            </a:graphic>
          </wp:inline>
        </w:drawing>
      </w:r>
    </w:p>
    <w:p>
      <w:pPr>
        <w:spacing w:before="20" w:after="40"/>
        <w:jc w:val="center"/>
      </w:pPr>
      <w:r>
        <w:rPr>
          <w:rFonts w:ascii="Arial" w:hAnsi="Arial"/>
          <w:b w:val="0"/>
          <w:i w:val="0"/>
          <w:color w:val="000000"/>
          <w:sz w:val="24"/>
        </w:rPr>
        <w:t>VECAD ELITE INTERNSHIP 2025</w:t>
      </w:r>
    </w:p>
    <w:p>
      <w:pPr>
        <w:spacing w:after="260"/>
        <w:jc w:val="center"/>
      </w:pPr>
      <w:r>
        <w:rPr>
          <w:rFonts w:ascii="Arial" w:hAnsi="Arial"/>
          <w:b w:val="0"/>
          <w:i w:val="0"/>
          <w:color w:val="000000"/>
          <w:sz w:val="24"/>
        </w:rPr>
        <w:t>WEEK 3</w:t>
      </w:r>
    </w:p>
    <w:tbl>
      <w:tblPr>
        <w:tblW w:type="auto" w:w="0"/>
        <w:jc w:val="left"/>
        <w:tblLayout w:type="fixed"/>
        <w:tblLook w:firstColumn="1" w:firstRow="1" w:lastColumn="0" w:lastRow="0" w:noHBand="0" w:noVBand="1" w:val="04A0"/>
      </w:tblPr>
      <w:tblGrid>
        <w:gridCol w:w="2232"/>
        <w:gridCol w:w="7128"/>
      </w:tblGrid>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NAME</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Ahmed Mohamed Abdalla Ahmed</w:t>
            </w:r>
          </w:p>
        </w:tc>
      </w:tr>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MATRIC</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A24KE0429</w:t>
            </w:r>
          </w:p>
        </w:tc>
      </w:tr>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SUPERVISOR</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Dr Mohd Anuar Md Ali</w:t>
            </w:r>
          </w:p>
        </w:tc>
      </w:tr>
    </w:tbl>
    <w:p>
      <w:pPr>
        <w:spacing w:after="0"/>
      </w:pPr>
    </w:p>
    <w:p>
      <w:pPr>
        <w:keepNext/>
        <w:spacing w:before="80" w:after="240"/>
      </w:pPr>
      <w:r>
        <w:rPr>
          <w:rFonts w:ascii="Arial" w:hAnsi="Arial"/>
          <w:b/>
          <w:i w:val="0"/>
          <w:color w:val="000000"/>
          <w:sz w:val="23"/>
        </w:rPr>
        <w:t>Summary of weekly activities:</w:t>
      </w:r>
    </w:p>
    <w:p>
      <w:pPr>
        <w:widowControl/>
        <w:spacing w:after="160" w:line="250" w:lineRule="auto"/>
        <w:ind w:firstLine="403"/>
        <w:jc w:val="both"/>
      </w:pPr>
      <w:r>
        <w:rPr>
          <w:rFonts w:ascii="Arial" w:hAnsi="Arial"/>
          <w:b w:val="0"/>
          <w:i w:val="0"/>
          <w:color w:val="000000"/>
          <w:sz w:val="20"/>
        </w:rPr>
        <w:t>The week began with a review of the completed prototype and the practical sensing limitations found during data collection. The VL53L0X sensor can provide a useful distance reading for an object located directly in front of it, but its field of view is narrow and its reliable working distance in the assembled prototype was about 80 cm. A person standing outside the direct line of sight, or remaining still at a greater distance, was therefore not detected consistently. Following the supervisor discussion, I kept the sensor as a monitored part of the system but did not make it a core input to the trained occupancy classifier. This was an engineering decision based on the observed evidence rather than a decision to force an unreliable feature into the AI model.</w:t>
      </w:r>
    </w:p>
    <w:p>
      <w:pPr>
        <w:widowControl/>
        <w:spacing w:after="160" w:line="250" w:lineRule="auto"/>
        <w:ind w:firstLine="403"/>
        <w:jc w:val="both"/>
      </w:pPr>
      <w:r>
        <w:rPr>
          <w:rFonts w:ascii="Arial" w:hAnsi="Arial"/>
          <w:b w:val="0"/>
          <w:i w:val="0"/>
          <w:color w:val="000000"/>
          <w:sz w:val="20"/>
        </w:rPr>
        <w:t>I consolidated the labelled CSV recordings collected from EMPTY, LOW, and HIGH occupancy sessions. Before training, I reviewed the data so that moments when the operator approached the device to press the start or stop button would not be treated as ordinary room behaviour. The early and final transition rows of each session were removed where necessary, and invalid or incomplete rows were excluded. This cleaning step was important because an AI model learns from whatever examples it is given. If these transitions remained labelled as EMPTY, for example, the model could learn misleading patterns that would reduce its reliability during real operation.</w:t>
      </w:r>
    </w:p>
    <w:p>
      <w:pPr>
        <w:widowControl/>
        <w:spacing w:after="160" w:line="250" w:lineRule="auto"/>
        <w:ind w:firstLine="403"/>
        <w:jc w:val="both"/>
      </w:pPr>
      <w:r>
        <w:rPr>
          <w:rFonts w:ascii="Arial" w:hAnsi="Arial"/>
          <w:b w:val="0"/>
          <w:i w:val="0"/>
          <w:color w:val="000000"/>
          <w:sz w:val="20"/>
        </w:rPr>
        <w:t>The cleaned measurements were converted into overlapping time windows. Each window contained 30 PIR samples, representing approximately 30 seconds of recent activity, and a new inference window was produced every five samples, or approximately every five seconds. From the two PIR sequences, I calculated six summary features that describe motion activity within the window. The features gave the model information about the amount and distribution of detected movement rather than asking it to interpret a single instantaneous PIR value. This approach is better suited to PIR sensing because occupancy is a pattern over time, while an individual PIR reading is only a momentary motion event.</w:t>
      </w:r>
    </w:p>
    <w:p>
      <w:pPr>
        <w:widowControl/>
        <w:spacing w:after="160" w:line="250" w:lineRule="auto"/>
        <w:ind w:firstLine="403"/>
        <w:jc w:val="both"/>
      </w:pPr>
      <w:r>
        <w:rPr>
          <w:rFonts w:ascii="Arial" w:hAnsi="Arial"/>
          <w:b w:val="0"/>
          <w:i w:val="0"/>
          <w:color w:val="000000"/>
          <w:sz w:val="20"/>
        </w:rPr>
        <w:t>I normalised the features using the same limits derived from the training data. Normalisation placed features with different original scales into a comparable range before the neural network processed them. Without this step, a feature with a naturally larger numerical range could dominate the training process even if it was not more meaningful. The same normalisation values were later placed in the STM32 preprocessing code so that live features on the board were transformed in exactly the same way as the features used during TensorFlow training. This matching of the training and embedded preprocessing stages is essential for a valid deployment.</w:t>
      </w:r>
    </w:p>
    <w:p>
      <w:pPr>
        <w:spacing w:before="80" w:after="0"/>
      </w:pPr>
    </w:p>
    <w:tbl>
      <w:tblPr>
        <w:tblW w:type="auto" w:w="0"/>
        <w:jc w:val="center"/>
        <w:tblLayout w:type="fixed"/>
        <w:tblLook w:firstColumn="1" w:firstRow="1" w:lastColumn="0" w:lastRow="0" w:noHBand="0" w:noVBand="1" w:val="04A0"/>
      </w:tblPr>
      <w:tblGrid>
        <w:gridCol w:w="4680"/>
        <w:gridCol w:w="4680"/>
      </w:tblGrid>
      <w:tr>
        <w:tc>
          <w:tcPr>
            <w:tcW w:type="dxa" w:w="4997"/>
            <w:vAlign w:val="top"/>
            <w:tcMar>
              <w:top w:w="115" w:type="dxa"/>
              <w:start w:w="120" w:type="dxa"/>
              <w:bottom w:w="110" w:type="dxa"/>
              <w:end w:w="120" w:type="dxa"/>
            </w:tcMar>
            <w:tcBorders>
              <w:top w:val="single" w:sz="9" w:color="000000"/>
              <w:bottom w:val="single" w:sz="9" w:color="000000"/>
              <w:left w:val="single" w:sz="9" w:color="000000"/>
              <w:right w:val="single" w:sz="9" w:color="000000"/>
            </w:tcBorders>
          </w:tcPr>
          <w:p>
            <w:pPr>
              <w:spacing w:after="400"/>
            </w:pPr>
            <w:r>
              <w:rPr>
                <w:rFonts w:ascii="Arial" w:hAnsi="Arial"/>
                <w:b/>
                <w:i w:val="0"/>
                <w:color w:val="000000"/>
                <w:sz w:val="19"/>
              </w:rPr>
              <w:t xml:space="preserve">Student's Name/Signature: </w:t>
            </w:r>
            <w:r>
              <w:rPr>
                <w:rFonts w:ascii="Arial" w:hAnsi="Arial"/>
                <w:b w:val="0"/>
                <w:i w:val="0"/>
                <w:color w:val="000000"/>
                <w:sz w:val="19"/>
              </w:rPr>
              <w:t>____________________________</w:t>
            </w:r>
          </w:p>
          <w:p>
            <w:pPr>
              <w:spacing w:after="0"/>
            </w:pPr>
            <w:r>
              <w:rPr>
                <w:rFonts w:ascii="Arial" w:hAnsi="Arial"/>
                <w:b/>
                <w:i w:val="0"/>
                <w:color w:val="000000"/>
                <w:sz w:val="19"/>
              </w:rPr>
              <w:t xml:space="preserve">Date: </w:t>
            </w:r>
            <w:r>
              <w:rPr>
                <w:rFonts w:ascii="Arial" w:hAnsi="Arial"/>
                <w:b w:val="0"/>
                <w:i w:val="0"/>
                <w:color w:val="000000"/>
                <w:sz w:val="19"/>
              </w:rPr>
              <w:t>__________________</w:t>
            </w:r>
          </w:p>
        </w:tc>
        <w:tc>
          <w:tcPr>
            <w:tcW w:type="dxa" w:w="4997"/>
            <w:vAlign w:val="top"/>
            <w:tcMar>
              <w:top w:w="115" w:type="dxa"/>
              <w:start w:w="120" w:type="dxa"/>
              <w:bottom w:w="110" w:type="dxa"/>
              <w:end w:w="120" w:type="dxa"/>
            </w:tcMar>
            <w:tcBorders>
              <w:top w:val="single" w:sz="9" w:color="000000"/>
              <w:bottom w:val="single" w:sz="9" w:color="000000"/>
              <w:left w:val="single" w:sz="9" w:color="000000"/>
              <w:right w:val="single" w:sz="9" w:color="000000"/>
            </w:tcBorders>
          </w:tcPr>
          <w:p>
            <w:pPr>
              <w:spacing w:after="400"/>
            </w:pPr>
            <w:r>
              <w:rPr>
                <w:rFonts w:ascii="Arial" w:hAnsi="Arial"/>
                <w:b/>
                <w:i w:val="0"/>
                <w:color w:val="000000"/>
                <w:sz w:val="19"/>
              </w:rPr>
              <w:t xml:space="preserve">Supervisor's Name/Signature: </w:t>
            </w:r>
            <w:r>
              <w:rPr>
                <w:rFonts w:ascii="Arial" w:hAnsi="Arial"/>
                <w:b w:val="0"/>
                <w:i w:val="0"/>
                <w:color w:val="000000"/>
                <w:sz w:val="19"/>
              </w:rPr>
              <w:t>________________________</w:t>
            </w:r>
          </w:p>
          <w:p>
            <w:pPr>
              <w:spacing w:after="0"/>
            </w:pPr>
            <w:r>
              <w:rPr>
                <w:rFonts w:ascii="Arial" w:hAnsi="Arial"/>
                <w:b/>
                <w:i w:val="0"/>
                <w:color w:val="000000"/>
                <w:sz w:val="19"/>
              </w:rPr>
              <w:t xml:space="preserve">Date: </w:t>
            </w:r>
            <w:r>
              <w:rPr>
                <w:rFonts w:ascii="Arial" w:hAnsi="Arial"/>
                <w:b w:val="0"/>
                <w:i w:val="0"/>
                <w:color w:val="000000"/>
                <w:sz w:val="19"/>
              </w:rPr>
              <w:t>__________________</w:t>
            </w:r>
          </w:p>
        </w:tc>
      </w:tr>
    </w:tbl>
    <w:p>
      <w:r>
        <w:br w:type="page"/>
      </w:r>
    </w:p>
    <w:p>
      <w:pPr>
        <w:spacing w:after="20"/>
        <w:jc w:val="center"/>
      </w:pPr>
      <w:r>
        <w:drawing>
          <wp:inline xmlns:a="http://schemas.openxmlformats.org/drawingml/2006/main" xmlns:pic="http://schemas.openxmlformats.org/drawingml/2006/picture">
            <wp:extent cx="3886200" cy="321863"/>
            <wp:docPr id="3" name="Picture 3"/>
            <wp:cNvGraphicFramePr>
              <a:graphicFrameLocks noChangeAspect="1"/>
            </wp:cNvGraphicFramePr>
            <a:graphic>
              <a:graphicData uri="http://schemas.openxmlformats.org/drawingml/2006/picture">
                <pic:pic>
                  <pic:nvPicPr>
                    <pic:cNvPr id="0" name="utm_fee_header.png"/>
                    <pic:cNvPicPr/>
                  </pic:nvPicPr>
                  <pic:blipFill>
                    <a:blip r:embed="rId9"/>
                    <a:stretch>
                      <a:fillRect/>
                    </a:stretch>
                  </pic:blipFill>
                  <pic:spPr>
                    <a:xfrm>
                      <a:off x="0" y="0"/>
                      <a:ext cx="3886200" cy="321863"/>
                    </a:xfrm>
                    <a:prstGeom prst="rect"/>
                  </pic:spPr>
                </pic:pic>
              </a:graphicData>
            </a:graphic>
          </wp:inline>
        </w:drawing>
      </w:r>
    </w:p>
    <w:p>
      <w:pPr>
        <w:spacing w:before="20" w:after="40"/>
        <w:jc w:val="center"/>
      </w:pPr>
      <w:r>
        <w:rPr>
          <w:rFonts w:ascii="Arial" w:hAnsi="Arial"/>
          <w:b w:val="0"/>
          <w:i w:val="0"/>
          <w:color w:val="000000"/>
          <w:sz w:val="24"/>
        </w:rPr>
        <w:t>VECAD ELITE INTERNSHIP 2025</w:t>
      </w:r>
    </w:p>
    <w:p>
      <w:pPr>
        <w:spacing w:after="260"/>
        <w:jc w:val="center"/>
      </w:pPr>
      <w:r>
        <w:rPr>
          <w:rFonts w:ascii="Arial" w:hAnsi="Arial"/>
          <w:b w:val="0"/>
          <w:i w:val="0"/>
          <w:color w:val="000000"/>
          <w:sz w:val="24"/>
        </w:rPr>
        <w:t>WEEK 3</w:t>
      </w:r>
    </w:p>
    <w:tbl>
      <w:tblPr>
        <w:tblW w:type="auto" w:w="0"/>
        <w:jc w:val="left"/>
        <w:tblLayout w:type="fixed"/>
        <w:tblLook w:firstColumn="1" w:firstRow="1" w:lastColumn="0" w:lastRow="0" w:noHBand="0" w:noVBand="1" w:val="04A0"/>
      </w:tblPr>
      <w:tblGrid>
        <w:gridCol w:w="2232"/>
        <w:gridCol w:w="7128"/>
      </w:tblGrid>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NAME</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Ahmed Mohamed Abdalla Ahmed</w:t>
            </w:r>
          </w:p>
        </w:tc>
      </w:tr>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MATRIC</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A24KE0429</w:t>
            </w:r>
          </w:p>
        </w:tc>
      </w:tr>
      <w:tr>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SUPERVISOR</w:t>
            </w:r>
          </w:p>
        </w:tc>
        <w:tc>
          <w:tcPr>
            <w:tcW w:type="dxa" w:w="4997"/>
            <w:vAlign w:val="center"/>
            <w:tcBorders>
              <w:top w:val="nil"/>
              <w:bottom w:val="nil"/>
              <w:left w:val="nil"/>
              <w:right w:val="nil"/>
            </w:tcBorders>
            <w:tcMar>
              <w:top w:w="0" w:type="dxa"/>
              <w:start w:w="0" w:type="dxa"/>
              <w:bottom w:w="0" w:type="dxa"/>
              <w:end w:w="0" w:type="dxa"/>
            </w:tcMar>
          </w:tcPr>
          <w:p>
            <w:pPr>
              <w:spacing w:after="0" w:line="240" w:lineRule="auto"/>
            </w:pPr>
            <w:r>
              <w:rPr>
                <w:rFonts w:ascii="Arial" w:hAnsi="Arial"/>
                <w:b w:val="0"/>
                <w:i w:val="0"/>
                <w:color w:val="000000"/>
                <w:sz w:val="23"/>
              </w:rPr>
              <w:t>: Dr Mohd Anuar Md Ali</w:t>
            </w:r>
          </w:p>
        </w:tc>
      </w:tr>
    </w:tbl>
    <w:p>
      <w:pPr>
        <w:spacing w:after="0"/>
      </w:pPr>
    </w:p>
    <w:p>
      <w:pPr>
        <w:keepNext/>
        <w:spacing w:before="80" w:after="240"/>
      </w:pPr>
      <w:r>
        <w:rPr>
          <w:rFonts w:ascii="Arial" w:hAnsi="Arial"/>
          <w:b/>
          <w:i w:val="0"/>
          <w:color w:val="000000"/>
          <w:sz w:val="23"/>
        </w:rPr>
        <w:t>Summary of weekly activities:</w:t>
      </w:r>
    </w:p>
    <w:p>
      <w:pPr>
        <w:widowControl/>
        <w:spacing w:after="160" w:line="250" w:lineRule="auto"/>
        <w:ind w:firstLine="403"/>
        <w:jc w:val="both"/>
      </w:pPr>
      <w:r>
        <w:rPr>
          <w:rFonts w:ascii="Arial" w:hAnsi="Arial"/>
          <w:b w:val="0"/>
          <w:i w:val="0"/>
          <w:color w:val="000000"/>
          <w:sz w:val="20"/>
        </w:rPr>
        <w:t>Using TensorFlow, I trained a compact neural network with six input features, two hidden layers containing 16 and 8 ReLU neurons, and a three-output Softmax layer for EMPTY, LOW, and HIGH. The final network contained 275 parameters, which is small enough for an embedded target. The recorded windows were separated into training, validation, and test sets so that the final reported performance was measured on data that had not been used to update the model weights. I set a maximum of 300 epochs, but early stopping ended training at 49 epochs because the validation result was no longer improving. This prevented unnecessary training and helped reduce the risk of overfitting.</w:t>
      </w:r>
    </w:p>
    <w:p>
      <w:pPr>
        <w:widowControl/>
        <w:spacing w:after="160" w:line="250" w:lineRule="auto"/>
        <w:ind w:firstLine="403"/>
        <w:jc w:val="both"/>
      </w:pPr>
      <w:r>
        <w:rPr>
          <w:rFonts w:ascii="Arial" w:hAnsi="Arial"/>
          <w:b w:val="0"/>
          <w:i w:val="0"/>
          <w:color w:val="000000"/>
          <w:sz w:val="20"/>
        </w:rPr>
        <w:t>The final floating-point model achieved a test accuracy of 88.67 percent. It was then converted to an INT8 TensorFlow Lite model, which occupied 3,616 bytes while preserving the same measured test accuracy. I analysed the INT8 model in STM32Cube.AI and generated the C source files, network data, weights, and configuration files required by the STM32CubeIDE project. This proved that the model was compatible with the STM32L476RG target and that the AI component was not only a desktop result. The generated model was then wrapped with application functions for initialisation and inference.</w:t>
      </w:r>
    </w:p>
    <w:p>
      <w:pPr>
        <w:widowControl/>
        <w:spacing w:after="160" w:line="250" w:lineRule="auto"/>
        <w:ind w:firstLine="403"/>
        <w:jc w:val="both"/>
      </w:pPr>
      <w:r>
        <w:rPr>
          <w:rFonts w:ascii="Arial" w:hAnsi="Arial"/>
          <w:b w:val="0"/>
          <w:i w:val="0"/>
          <w:color w:val="000000"/>
          <w:sz w:val="20"/>
        </w:rPr>
        <w:t>In the STM32 firmware, I implemented a feature buffer that stores the latest 30 PIR samples. Once this first window is full, the system calculates the same six features used during training, normalises and quantises them, runs the AI network, and prints the three class probabilities through the serial monitor. Because the window advances by five samples, the system produces a new occupancy decision every five seconds after the initial window is available. I tested the live output with the existing push buttons, LEDs, OLED, and PIR wiring kept in place. The serial output showed the predicted class, confidence value, and probabilities for EMPTY, LOW, and HIGH, allowing the decision to be checked during demonstrations.</w:t>
      </w:r>
    </w:p>
    <w:p>
      <w:pPr>
        <w:widowControl/>
        <w:spacing w:after="160" w:line="250" w:lineRule="auto"/>
        <w:ind w:firstLine="403"/>
        <w:jc w:val="both"/>
      </w:pPr>
      <w:r>
        <w:rPr>
          <w:rFonts w:ascii="Arial" w:hAnsi="Arial"/>
          <w:b w:val="0"/>
          <w:i w:val="0"/>
          <w:color w:val="000000"/>
          <w:sz w:val="20"/>
        </w:rPr>
        <w:t>Finally, I extended the prototype with energy-aware warning behaviour. The BH1750 and BME280 remained useful even though they were not used as features in the PIR-only occupancy model. Their readings were used by simple rule-based checks together with the AI EMPTY output; for example, the system can warn the user when the room appears empty while the light level remains high for a sustained period. The OLED, LEDs, and buzzer provide immediate feedback for these conditions. I also improved the physical arrangement by placing the two PIR sensors in opposite directions on the cardboard prototype to increase coverage. The remaining improvement path is clear: collect more varied quiet LOW and HIGH sessions, improve the physical sensor placement, and consider an additional PIR or a longer-range presence sensor before expanding the final AI feature set.</w:t>
      </w:r>
    </w:p>
    <w:p>
      <w:pPr>
        <w:spacing w:before="80" w:after="0"/>
      </w:pPr>
    </w:p>
    <w:tbl>
      <w:tblPr>
        <w:tblW w:type="auto" w:w="0"/>
        <w:jc w:val="center"/>
        <w:tblLayout w:type="fixed"/>
        <w:tblLook w:firstColumn="1" w:firstRow="1" w:lastColumn="0" w:lastRow="0" w:noHBand="0" w:noVBand="1" w:val="04A0"/>
      </w:tblPr>
      <w:tblGrid>
        <w:gridCol w:w="4680"/>
        <w:gridCol w:w="4680"/>
      </w:tblGrid>
      <w:tr>
        <w:tc>
          <w:tcPr>
            <w:tcW w:type="dxa" w:w="4997"/>
            <w:vAlign w:val="top"/>
            <w:tcMar>
              <w:top w:w="115" w:type="dxa"/>
              <w:start w:w="120" w:type="dxa"/>
              <w:bottom w:w="110" w:type="dxa"/>
              <w:end w:w="120" w:type="dxa"/>
            </w:tcMar>
            <w:tcBorders>
              <w:top w:val="single" w:sz="9" w:color="000000"/>
              <w:bottom w:val="single" w:sz="9" w:color="000000"/>
              <w:left w:val="single" w:sz="9" w:color="000000"/>
              <w:right w:val="single" w:sz="9" w:color="000000"/>
            </w:tcBorders>
          </w:tcPr>
          <w:p>
            <w:pPr>
              <w:spacing w:after="400"/>
            </w:pPr>
            <w:r>
              <w:rPr>
                <w:rFonts w:ascii="Arial" w:hAnsi="Arial"/>
                <w:b/>
                <w:i w:val="0"/>
                <w:color w:val="000000"/>
                <w:sz w:val="19"/>
              </w:rPr>
              <w:t xml:space="preserve">Student's Name/Signature: </w:t>
            </w:r>
            <w:r>
              <w:rPr>
                <w:rFonts w:ascii="Arial" w:hAnsi="Arial"/>
                <w:b w:val="0"/>
                <w:i w:val="0"/>
                <w:color w:val="000000"/>
                <w:sz w:val="19"/>
              </w:rPr>
              <w:t>____________________________</w:t>
            </w:r>
          </w:p>
          <w:p>
            <w:pPr>
              <w:spacing w:after="0"/>
            </w:pPr>
            <w:r>
              <w:rPr>
                <w:rFonts w:ascii="Arial" w:hAnsi="Arial"/>
                <w:b/>
                <w:i w:val="0"/>
                <w:color w:val="000000"/>
                <w:sz w:val="19"/>
              </w:rPr>
              <w:t xml:space="preserve">Date: </w:t>
            </w:r>
            <w:r>
              <w:rPr>
                <w:rFonts w:ascii="Arial" w:hAnsi="Arial"/>
                <w:b w:val="0"/>
                <w:i w:val="0"/>
                <w:color w:val="000000"/>
                <w:sz w:val="19"/>
              </w:rPr>
              <w:t>__________________</w:t>
            </w:r>
          </w:p>
        </w:tc>
        <w:tc>
          <w:tcPr>
            <w:tcW w:type="dxa" w:w="4997"/>
            <w:vAlign w:val="top"/>
            <w:tcMar>
              <w:top w:w="115" w:type="dxa"/>
              <w:start w:w="120" w:type="dxa"/>
              <w:bottom w:w="110" w:type="dxa"/>
              <w:end w:w="120" w:type="dxa"/>
            </w:tcMar>
            <w:tcBorders>
              <w:top w:val="single" w:sz="9" w:color="000000"/>
              <w:bottom w:val="single" w:sz="9" w:color="000000"/>
              <w:left w:val="single" w:sz="9" w:color="000000"/>
              <w:right w:val="single" w:sz="9" w:color="000000"/>
            </w:tcBorders>
          </w:tcPr>
          <w:p>
            <w:pPr>
              <w:spacing w:after="400"/>
            </w:pPr>
            <w:r>
              <w:rPr>
                <w:rFonts w:ascii="Arial" w:hAnsi="Arial"/>
                <w:b/>
                <w:i w:val="0"/>
                <w:color w:val="000000"/>
                <w:sz w:val="19"/>
              </w:rPr>
              <w:t xml:space="preserve">Supervisor's Name/Signature: </w:t>
            </w:r>
            <w:r>
              <w:rPr>
                <w:rFonts w:ascii="Arial" w:hAnsi="Arial"/>
                <w:b w:val="0"/>
                <w:i w:val="0"/>
                <w:color w:val="000000"/>
                <w:sz w:val="19"/>
              </w:rPr>
              <w:t>________________________</w:t>
            </w:r>
          </w:p>
          <w:p>
            <w:pPr>
              <w:spacing w:after="0"/>
            </w:pPr>
            <w:r>
              <w:rPr>
                <w:rFonts w:ascii="Arial" w:hAnsi="Arial"/>
                <w:b/>
                <w:i w:val="0"/>
                <w:color w:val="000000"/>
                <w:sz w:val="19"/>
              </w:rPr>
              <w:t xml:space="preserve">Date: </w:t>
            </w:r>
            <w:r>
              <w:rPr>
                <w:rFonts w:ascii="Arial" w:hAnsi="Arial"/>
                <w:b w:val="0"/>
                <w:i w:val="0"/>
                <w:color w:val="000000"/>
                <w:sz w:val="19"/>
              </w:rPr>
              <w:t>__________________</w:t>
            </w:r>
          </w:p>
        </w:tc>
      </w:tr>
    </w:tbl>
    <w:sectPr w:rsidR="00FC693F" w:rsidRPr="0006063C" w:rsidSect="00034616">
      <w:pgSz w:w="12240" w:h="15840"/>
      <w:pgMar w:top="432" w:right="1123" w:bottom="60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VECAD ELITE Internship Week 3 Logbook</dc:title>
  <dc:subject>AI training, STM32 deployment, and energy-aware system improvement</dc:subject>
  <dc:creator>Ahmed Mohamed Abdalla Ahmed</dc:creator>
  <cp:keywords/>
  <dc:description>generated by python-docx</dc:description>
  <cp:lastModifiedBy/>
  <cp:revision>1</cp:revision>
  <dcterms:created xsi:type="dcterms:W3CDTF">2013-12-23T23:15:00Z</dcterms:created>
  <dcterms:modified xsi:type="dcterms:W3CDTF">2013-12-23T23:15:00Z</dcterms:modified>
  <cp:category/>
</cp:coreProperties>
</file>