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120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  <w:rtl/>
        </w:rPr>
        <w:t xml:space="preserve">دليل نظام إدارة المشروعات والمواقع</w:t>
      </w:r>
    </w:p>
    <w:p>
      <w:pPr>
        <w:bidi/>
        <w:spacing w:after="600" w:before="0"/>
        <w:jc w:val="center"/>
      </w:pPr>
      <w:r>
        <w:rPr>
          <w:rFonts w:ascii="Arial" w:cs="Arial" w:eastAsia="Arial" w:hAnsi="Arial"/>
          <w:color w:val="2E7D7A"/>
          <w:sz w:val="28"/>
          <w:szCs w:val="28"/>
          <w:rtl/>
        </w:rPr>
        <w:t xml:space="preserve">وخطة التحول إلى شركة مقاولات بمعايير الشركات الكبرى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6978"/>
      </w:tblGrid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الملف</w:t>
            </w:r>
          </w:p>
        </w:tc>
        <w:tc>
          <w:tcPr>
            <w:tcW w:type="dxa" w:w="697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المحتوى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Site_Operations_System.xlsx</w:t>
            </w:r>
          </w:p>
        </w:tc>
        <w:tc>
          <w:tcPr>
            <w:tcW w:type="dxa" w:w="697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 الإلكتروني: 13 سجلاً مترابطاً + لوحة قيادة + شاشتا طباعة السندات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Site_Forms_Pack.docx</w:t>
            </w:r>
          </w:p>
        </w:tc>
        <w:tc>
          <w:tcPr>
            <w:tcW w:type="dxa" w:w="697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18 نموذجاً ورقياً معتمداً برموز ثابتة (QF-xx)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Receipt_Payment_Vouchers.docx</w:t>
            </w:r>
          </w:p>
        </w:tc>
        <w:tc>
          <w:tcPr>
            <w:tcW w:type="dxa" w:w="697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سند قبض – سند صرف – سند عهدة – تسوية عهدة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هذا الدليل</w:t>
            </w:r>
          </w:p>
        </w:tc>
        <w:tc>
          <w:tcPr>
            <w:tcW w:type="dxa" w:w="697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دورة العمل، الصلاحيات، مؤشرات الأداء، وأفكار التطوير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2E7D7A" w:sz="8" w:space="4"/>
        </w:pBdr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1. دورة العمل من استلام الموقع إلى التسليم النهائي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2"/>
        <w:gridCol w:w="2242"/>
        <w:gridCol w:w="2242"/>
        <w:gridCol w:w="3740"/>
      </w:tblGrid>
      <w:tr>
        <w:trPr>
          <w:cantSplit/>
          <w:trHeight w:val="340" w:hRule="atLeast"/>
        </w:trPr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النموذج الورقي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السجل في الإكسل</w:t>
            </w:r>
          </w:p>
        </w:tc>
        <w:tc>
          <w:tcPr>
            <w:tcW w:type="dxa" w:w="374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بوابة الانتقال (Gate)</w:t>
            </w:r>
          </w:p>
        </w:tc>
      </w:tr>
      <w:tr>
        <w:trPr>
          <w:cantSplit/>
          <w:trHeight w:val="340" w:hRule="atLeast"/>
        </w:trPr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استلام الموقع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QF-SH-01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استلام المواقع</w:t>
            </w:r>
          </w:p>
        </w:tc>
        <w:tc>
          <w:tcPr>
            <w:tcW w:type="dxa" w:w="374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محضر موقع + نقاط روبير + مخططات معتمدة</w:t>
            </w:r>
          </w:p>
        </w:tc>
      </w:tr>
      <w:tr>
        <w:trPr>
          <w:cantSplit/>
          <w:trHeight w:val="340" w:hRule="atLeast"/>
        </w:trPr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اعتماد المواد والمخططات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QF-MA-02 / QF-SD-03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المواد</w:t>
            </w:r>
          </w:p>
        </w:tc>
        <w:tc>
          <w:tcPr>
            <w:tcW w:type="dxa" w:w="374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كود A أو B فقط يسمح بالشراء</w:t>
            </w:r>
          </w:p>
        </w:tc>
      </w:tr>
      <w:tr>
        <w:trPr>
          <w:cantSplit/>
          <w:trHeight w:val="340" w:hRule="atLeast"/>
        </w:trPr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الشراء والتوريد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QF-PO-04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أوامر التوريد</w:t>
            </w:r>
          </w:p>
        </w:tc>
        <w:tc>
          <w:tcPr>
            <w:tcW w:type="dxa" w:w="374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أمر توريد مربوط برقم MAR معتمد</w:t>
            </w:r>
          </w:p>
        </w:tc>
      </w:tr>
      <w:tr>
        <w:trPr>
          <w:cantSplit/>
          <w:trHeight w:val="340" w:hRule="atLeast"/>
        </w:trPr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الاستلام بالموقع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QF-MR-05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استلام المواد</w:t>
            </w:r>
          </w:p>
        </w:tc>
        <w:tc>
          <w:tcPr>
            <w:tcW w:type="dxa" w:w="374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ومطابقة – المرفوض يرجع للمورد</w:t>
            </w:r>
          </w:p>
        </w:tc>
      </w:tr>
      <w:tr>
        <w:trPr>
          <w:cantSplit/>
          <w:trHeight w:val="340" w:hRule="atLeast"/>
        </w:trPr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المخزن والصرف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QF-MI-06 / QF-MRT-07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رصيد المخزن / صرف المواد</w:t>
            </w:r>
          </w:p>
        </w:tc>
        <w:tc>
          <w:tcPr>
            <w:tcW w:type="dxa" w:w="374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صرف بدون إذن ورصيد</w:t>
            </w:r>
          </w:p>
        </w:tc>
      </w:tr>
      <w:tr>
        <w:trPr>
          <w:cantSplit/>
          <w:trHeight w:val="340" w:hRule="atLeast"/>
        </w:trPr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التنفيذ والجودة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QF-IR-08 / QF-NCR-09 / QF-DR-10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طلبات الفحص / عدم المطابقة</w:t>
            </w:r>
          </w:p>
        </w:tc>
        <w:tc>
          <w:tcPr>
            <w:tcW w:type="dxa" w:w="374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تبدأ مرحلة قبل قبول WIR السابقة</w:t>
            </w:r>
          </w:p>
        </w:tc>
      </w:tr>
      <w:tr>
        <w:trPr>
          <w:cantSplit/>
          <w:trHeight w:val="340" w:hRule="atLeast"/>
        </w:trPr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المستخلصات والتحصيل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QF-IPC-13 + سند قبض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المستخلصات / سندات القبض</w:t>
            </w:r>
          </w:p>
        </w:tc>
        <w:tc>
          <w:tcPr>
            <w:tcW w:type="dxa" w:w="374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مستخلص معتمد = مستحق للتحصيل</w:t>
            </w:r>
          </w:p>
        </w:tc>
      </w:tr>
      <w:tr>
        <w:trPr>
          <w:cantSplit/>
          <w:trHeight w:val="340" w:hRule="atLeast"/>
        </w:trPr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المدفوعات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سند صرف + QF-PO-04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سندات الصرف</w:t>
            </w:r>
          </w:p>
        </w:tc>
        <w:tc>
          <w:tcPr>
            <w:tcW w:type="dxa" w:w="374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صرف لمورد بدون أمر توريد واستلام</w:t>
            </w:r>
          </w:p>
        </w:tc>
      </w:tr>
      <w:tr>
        <w:trPr>
          <w:cantSplit/>
          <w:trHeight w:val="340" w:hRule="atLeast"/>
        </w:trPr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التسليم الابتدائي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QF-SL-14 / QF-PH-15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ملاحظات التسليم</w:t>
            </w:r>
          </w:p>
        </w:tc>
        <w:tc>
          <w:tcPr>
            <w:tcW w:type="dxa" w:w="374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 الملاحظات + تسليم As-Built وO&amp;M</w:t>
            </w:r>
          </w:p>
        </w:tc>
      </w:tr>
      <w:tr>
        <w:trPr>
          <w:cantSplit/>
          <w:trHeight w:val="340" w:hRule="atLeast"/>
        </w:trPr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التسليم النهائي والمخالصة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QF-FH-16 / QF-CL-17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المشروعات</w:t>
            </w:r>
          </w:p>
        </w:tc>
        <w:tc>
          <w:tcPr>
            <w:tcW w:type="dxa" w:w="374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انتهاء الضمان + الإفراج عن المحتجز</w:t>
            </w:r>
          </w:p>
        </w:tc>
      </w:tr>
    </w:tbl>
    <w:p>
      <w:pPr>
        <w:spacing w:after="140"/>
      </w:pPr>
    </w:p>
    <w:p>
      <w:pPr>
        <w:pBdr>
          <w:bottom w:val="single" w:color="2E7D7A" w:sz="8" w:space="4"/>
        </w:pBdr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2. نظام الترقيم الموحد (هوية المستندات)</w:t>
      </w:r>
    </w:p>
    <w:p>
      <w:pPr>
        <w:bidi/>
        <w:spacing w:after="10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كل مستند في الشركة له رقم واحد لا يتكرر، يُكتب على الورق ويُسجل في الإكسل ويُحفظ به الملف الممسوح ضوئياً:</w:t>
      </w:r>
    </w:p>
    <w:p>
      <w:pPr>
        <w:bidi/>
        <w:spacing w:after="140" w:before="0"/>
        <w:jc w:val="center"/>
      </w:pPr>
      <w:r>
        <w:rPr>
          <w:rFonts w:ascii="Arial" w:cs="Arial" w:eastAsia="Arial" w:hAnsi="Arial"/>
          <w:b/>
          <w:bCs/>
          <w:color w:val="2E7D7A"/>
          <w:sz w:val="26"/>
          <w:szCs w:val="26"/>
          <w:rtl/>
        </w:rPr>
        <w:t xml:space="preserve">كود المشروع – نوع المستند – مسلسل      مثال:  PRJ-001-MAR-0015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هيكل مجلدات ثابت لكل مشروع: 01-العقد | 02-استلام الموقع | 03-الاعتمادات | 04-المشتريات | 05-المخزن | 06-الجودة | 07-المستخلصات | 08-المالية | 09-المراسلات | 10-التسليم.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اسم الملف = رقم المستند + وصف مختصر، مثال: PRJ-001-MIR-0023 حديد 16مم.pdf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سجل مراسلات صادر/وارد برقم (OUT/IN) لكل خطاب مع المالك والاستشاري.</w:t>
      </w:r>
    </w:p>
    <w:p>
      <w:pPr>
        <w:pBdr>
          <w:bottom w:val="single" w:color="2E7D7A" w:sz="8" w:space="4"/>
        </w:pBdr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3. مصفوفة الصلاحيات المالية (Delegation of Authority)</w:t>
      </w:r>
    </w:p>
    <w:p>
      <w:pPr>
        <w:bidi/>
        <w:spacing w:after="10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أهم ما يميز الشركات الكبرى: لا أحد يعتمد مبلغاً خارج حدوده. الحدود التالية مقترحة وتُعدّل حسب حجم شركتك: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1962"/>
        <w:gridCol w:w="1962"/>
        <w:gridCol w:w="1962"/>
        <w:gridCol w:w="1964"/>
      </w:tblGrid>
      <w:tr>
        <w:trPr>
          <w:cantSplit/>
          <w:trHeight w:val="340" w:hRule="atLeast"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 العملية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الموقع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المشروع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المدير المالي</w:t>
            </w:r>
          </w:p>
        </w:tc>
        <w:tc>
          <w:tcPr>
            <w:tcW w:type="dxa" w:w="19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المدير العام</w:t>
            </w:r>
          </w:p>
        </w:tc>
      </w:tr>
      <w:tr>
        <w:trPr>
          <w:cantSplit/>
          <w:trHeight w:val="340" w:hRule="atLeast"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طلب شراء / أمر توريد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حتى 10,000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حتى 100,000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حتى 500,000</w:t>
            </w:r>
          </w:p>
        </w:tc>
        <w:tc>
          <w:tcPr>
            <w:tcW w:type="dxa" w:w="19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أكثر من 500,000</w:t>
            </w:r>
          </w:p>
        </w:tc>
      </w:tr>
      <w:tr>
        <w:trPr>
          <w:cantSplit/>
          <w:trHeight w:val="340" w:hRule="atLeast"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سند صرف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حتى 50,000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حتى 250,000</w:t>
            </w:r>
          </w:p>
        </w:tc>
        <w:tc>
          <w:tcPr>
            <w:tcW w:type="dxa" w:w="19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أكثر من 250,000</w:t>
            </w:r>
          </w:p>
        </w:tc>
      </w:tr>
      <w:tr>
        <w:trPr>
          <w:cantSplit/>
          <w:trHeight w:val="340" w:hRule="atLeast"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عهدة نقدية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حتى 5,000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حتى 20,000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حتى 50,000</w:t>
            </w:r>
          </w:p>
        </w:tc>
        <w:tc>
          <w:tcPr>
            <w:tcW w:type="dxa" w:w="19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أكثر من 50,000</w:t>
            </w:r>
          </w:p>
        </w:tc>
      </w:tr>
      <w:tr>
        <w:trPr>
          <w:cantSplit/>
          <w:trHeight w:val="340" w:hRule="atLeast"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أمر تغيير / أعمال إضافية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حتى 2% من العقد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9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أكثر من 2%</w:t>
            </w:r>
          </w:p>
        </w:tc>
      </w:tr>
      <w:tr>
        <w:trPr>
          <w:cantSplit/>
          <w:trHeight w:val="340" w:hRule="atLeast"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مستخلص مقاول باطن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كميات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فني</w:t>
            </w:r>
          </w:p>
        </w:tc>
        <w:tc>
          <w:tcPr>
            <w:tcW w:type="dxa" w:w="19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مالي</w:t>
            </w:r>
          </w:p>
        </w:tc>
        <w:tc>
          <w:tcPr>
            <w:tcW w:type="dxa" w:w="1964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نهائي</w:t>
            </w:r>
          </w:p>
        </w:tc>
      </w:tr>
    </w:tbl>
    <w:p>
      <w:pPr>
        <w:spacing w:after="140"/>
      </w:pPr>
    </w:p>
    <w:p>
      <w:pPr>
        <w:pBdr>
          <w:bottom w:val="single" w:color="2E7D7A" w:sz="8" w:space="4"/>
        </w:pBdr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4. مصفوفة المسؤوليات RACI</w:t>
      </w:r>
    </w:p>
    <w:p>
      <w:pPr>
        <w:bidi/>
        <w:spacing w:after="10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R = ينفذ   A = يعتمد   C = يُستشار   I = يُبلّغ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5"/>
        <w:gridCol w:w="1162"/>
        <w:gridCol w:w="1162"/>
        <w:gridCol w:w="1162"/>
        <w:gridCol w:w="1162"/>
        <w:gridCol w:w="1162"/>
        <w:gridCol w:w="1162"/>
        <w:gridCol w:w="1169"/>
      </w:tblGrid>
      <w:tr>
        <w:trPr>
          <w:cantSplit/>
          <w:trHeight w:val="340" w:hRule="atLeast"/>
        </w:trPr>
        <w:tc>
          <w:tcPr>
            <w:tcW w:type="dxa" w:w="23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النشاط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مهندس الموقع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المكتب الفني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المشتريات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المخزن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الجودة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الحسابات</w:t>
            </w:r>
          </w:p>
        </w:tc>
        <w:tc>
          <w:tcPr>
            <w:tcW w:type="dxa" w:w="11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مدير المشروع</w:t>
            </w:r>
          </w:p>
        </w:tc>
      </w:tr>
      <w:tr>
        <w:trPr>
          <w:cantSplit/>
          <w:trHeight w:val="340" w:hRule="atLeast"/>
        </w:trPr>
        <w:tc>
          <w:tcPr>
            <w:tcW w:type="dxa" w:w="23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استلام الموقع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</w:t>
            </w:r>
          </w:p>
        </w:tc>
      </w:tr>
      <w:tr>
        <w:trPr>
          <w:cantSplit/>
          <w:trHeight w:val="340" w:hRule="atLeast"/>
        </w:trPr>
        <w:tc>
          <w:tcPr>
            <w:tcW w:type="dxa" w:w="23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اعتماد المواد MAR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</w:t>
            </w:r>
          </w:p>
        </w:tc>
      </w:tr>
      <w:tr>
        <w:trPr>
          <w:cantSplit/>
          <w:trHeight w:val="340" w:hRule="atLeast"/>
        </w:trPr>
        <w:tc>
          <w:tcPr>
            <w:tcW w:type="dxa" w:w="23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أمر التوريد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</w:t>
            </w:r>
          </w:p>
        </w:tc>
      </w:tr>
      <w:tr>
        <w:trPr>
          <w:cantSplit/>
          <w:trHeight w:val="340" w:hRule="atLeast"/>
        </w:trPr>
        <w:tc>
          <w:tcPr>
            <w:tcW w:type="dxa" w:w="23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استلام المواد MIR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</w:t>
            </w:r>
          </w:p>
        </w:tc>
        <w:tc>
          <w:tcPr>
            <w:tcW w:type="dxa" w:w="11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</w:t>
            </w:r>
          </w:p>
        </w:tc>
      </w:tr>
      <w:tr>
        <w:trPr>
          <w:cantSplit/>
          <w:trHeight w:val="340" w:hRule="atLeast"/>
        </w:trPr>
        <w:tc>
          <w:tcPr>
            <w:tcW w:type="dxa" w:w="23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طلب الفحص WIR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</w:t>
            </w:r>
          </w:p>
        </w:tc>
      </w:tr>
      <w:tr>
        <w:trPr>
          <w:cantSplit/>
          <w:trHeight w:val="340" w:hRule="atLeast"/>
        </w:trPr>
        <w:tc>
          <w:tcPr>
            <w:tcW w:type="dxa" w:w="23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المستخلص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</w:t>
            </w:r>
          </w:p>
        </w:tc>
      </w:tr>
      <w:tr>
        <w:trPr>
          <w:cantSplit/>
          <w:trHeight w:val="340" w:hRule="atLeast"/>
        </w:trPr>
        <w:tc>
          <w:tcPr>
            <w:tcW w:type="dxa" w:w="23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سند القبض / الصرف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11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</w:t>
            </w:r>
          </w:p>
        </w:tc>
      </w:tr>
      <w:tr>
        <w:trPr>
          <w:cantSplit/>
          <w:trHeight w:val="340" w:hRule="atLeast"/>
        </w:trPr>
        <w:tc>
          <w:tcPr>
            <w:tcW w:type="dxa" w:w="232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التسليم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16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</w:t>
            </w:r>
          </w:p>
        </w:tc>
        <w:tc>
          <w:tcPr>
            <w:tcW w:type="dxa" w:w="11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</w:t>
            </w:r>
          </w:p>
        </w:tc>
      </w:tr>
    </w:tbl>
    <w:p>
      <w:pPr>
        <w:spacing w:after="140"/>
      </w:pPr>
    </w:p>
    <w:p>
      <w:pPr>
        <w:pBdr>
          <w:bottom w:val="single" w:color="2E7D7A" w:sz="8" w:space="4"/>
        </w:pBdr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5. مؤشرات الأداء الرئيسية (KPIs) – تُراجع أسبوعياً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5233"/>
        <w:gridCol w:w="1745"/>
      </w:tblGrid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طريقة الحساب</w:t>
            </w:r>
          </w:p>
        </w:tc>
        <w:tc>
          <w:tcPr>
            <w:tcW w:type="dxa" w:w="174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المستهدف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مؤشر أداء الجدول SPI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القيمة المكتسبة ÷ القيمة المخططة</w:t>
            </w:r>
          </w:p>
        </w:tc>
        <w:tc>
          <w:tcPr>
            <w:tcW w:type="dxa" w:w="174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≥ 1.0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مؤشر أداء التكلفة CPI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القيمة المكتسبة ÷ التكلفة الفعلية</w:t>
            </w:r>
          </w:p>
        </w:tc>
        <w:tc>
          <w:tcPr>
            <w:tcW w:type="dxa" w:w="174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≥ 1.0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نسبة الاعتماد من أول مرة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عدد MAR بكود A/B من Rev.0 ÷ الإجمالي</w:t>
            </w:r>
          </w:p>
        </w:tc>
        <w:tc>
          <w:tcPr>
            <w:tcW w:type="dxa" w:w="174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≥ 85%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متوسط زمن رد الاستشاري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متوسط (تاريخ الرد – تاريخ التقديم)</w:t>
            </w:r>
          </w:p>
        </w:tc>
        <w:tc>
          <w:tcPr>
            <w:tcW w:type="dxa" w:w="174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≤ 14 يوماً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نسبة رفض المواد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الكميات المرفوضة ÷ الواردة</w:t>
            </w:r>
          </w:p>
        </w:tc>
        <w:tc>
          <w:tcPr>
            <w:tcW w:type="dxa" w:w="174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≤ 2%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نسبة قبول الفحص من أول مرة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WIR مقبولة ÷ إجمالي WIR</w:t>
            </w:r>
          </w:p>
        </w:tc>
        <w:tc>
          <w:tcPr>
            <w:tcW w:type="dxa" w:w="174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≥ 90%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زمن إغلاق NCR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متوسط عمر NCR المغلقة</w:t>
            </w:r>
          </w:p>
        </w:tc>
        <w:tc>
          <w:tcPr>
            <w:tcW w:type="dxa" w:w="174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≤ 10 أيام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فترة التحصيل DSO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متوسط أيام من اعتماد المستخلص للتحصيل</w:t>
            </w:r>
          </w:p>
        </w:tc>
        <w:tc>
          <w:tcPr>
            <w:tcW w:type="dxa" w:w="174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≤ 45 يوماً</w:t>
            </w:r>
          </w:p>
        </w:tc>
      </w:tr>
      <w:tr>
        <w:trPr>
          <w:cantSplit/>
          <w:trHeight w:val="340" w:hRule="atLeast"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معدل الحوادث LTIFR</w:t>
            </w:r>
          </w:p>
        </w:tc>
        <w:tc>
          <w:tcPr>
            <w:tcW w:type="dxa" w:w="52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حوادث مضيعة للوقت × 1,000,000 ÷ ساعات العمل</w:t>
            </w:r>
          </w:p>
        </w:tc>
        <w:tc>
          <w:tcPr>
            <w:tcW w:type="dxa" w:w="174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</w:tbl>
    <w:p>
      <w:pPr>
        <w:spacing w:after="140"/>
      </w:pPr>
    </w:p>
    <w:p>
      <w:pPr>
        <w:pBdr>
          <w:bottom w:val="single" w:color="2E7D7A" w:sz="8" w:space="4"/>
        </w:pBdr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6. أفكار جديدة لتعمل كشركة عملاقة</w:t>
      </w:r>
    </w:p>
    <w:p>
      <w:pPr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D7A"/>
          <w:sz w:val="24"/>
          <w:szCs w:val="24"/>
          <w:rtl/>
        </w:rPr>
        <w:t xml:space="preserve">أ) التحول الرقمي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كود QR على كل نموذج وسند يفتح صورة المستند الممسوح على Google Drive أو SharePoint – أي مراجع يتحقق من أصالة السند في ثانية.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نماذج الموقع على الموبايل (Microsoft Forms / Power Apps / Google AppSheet) تصب مباشرة في ملف الإكسل بدلاً من الورق.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لوحة قيادة Power BI مربوطة بملف الإكسل تُعرض على شاشة في مكتب الإدارة وتُرسل تلقائياً كل صباح.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مجموعة واتساب رسمية لكل مشروع بقواعد ثابتة: تقرير يومي بصورة قبل الساعة 6 مساءً، ولا قرارات بدون مستند.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تصوير أسبوعي بالدرون من نفس النقاط لتوثيق التقدم ولحماية الشركة في أي نزاع أو مطالبة.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توقيع إلكتروني للمستخلصات وأوامر التوريد لاختصار أيام الاعتماد.</w:t>
      </w:r>
    </w:p>
    <w:p>
      <w:pPr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D7A"/>
          <w:sz w:val="24"/>
          <w:szCs w:val="24"/>
          <w:rtl/>
        </w:rPr>
        <w:t xml:space="preserve">ب) الحوكمة والرقابة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فصل المهام: من يطلب لا يشتري، ومن يشتري لا يستلم، ومن يستلم لا يدفع.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المطابقة الثلاثية (Three-Way Match): لا سند صرف لمورد إلا بتطابق أمر التوريد + محضر الاستلام + الفاتورة.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جرد مفاجئ شهري لمخزن كل موقع ومقارنته برصيد النظام، وتحميل الفروقات على المسؤول.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دفتر سندات مسلسل مطبوع، وأي سند ملغي يُحفظ بأصله ولا يُمزق.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مراجعة داخلية ربع سنوية لعينة من الملفات حسب قائمة تحقق ثابتة.</w:t>
      </w:r>
    </w:p>
    <w:p>
      <w:pPr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D7A"/>
          <w:sz w:val="24"/>
          <w:szCs w:val="24"/>
          <w:rtl/>
        </w:rPr>
        <w:t xml:space="preserve">ج) العمليات والجودة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قائمة موردين معتمدين (AVL) مع تقييم كل مورد بعد كل توريد: الجودة – الالتزام بالموعد – السعر – خدمة ما بعد البيع.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تقييم مقاولي الباطن بنفس الأسلوب، ومن يقل تقييمه عن 60% يخرج من القائمة.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خطة جودة (ITP) لكل مشروع تحدد نقاط التوقف والفحص قبل البدء.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اجتماع صباحي 15 دقيقة في الموقع (Toolbox Talk) للسلامة وخطة اليوم.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سجل الدروس المستفادة (Lessons Learned) بعد كل مشروع يُقرأ قبل بدء المشروع التالي.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خطة تدفق نقدي شهرية لكل مشروع: متى نحصّل ومتى ندفع – أكبر سبب لتعثر المقاولين هو النقدية وليس الربحية.</w:t>
      </w:r>
    </w:p>
    <w:p>
      <w:pPr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D7A"/>
          <w:sz w:val="24"/>
          <w:szCs w:val="24"/>
          <w:rtl/>
        </w:rPr>
        <w:t xml:space="preserve">د) الهوية والسمعة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ملف تعريفي للشركة (Company Profile) بصور المشروعات المنفذة وشهادات الملاك.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الحصول على شهادات ISO 9001 (الجودة) وISO 45001 (السلامة) وISO 14001 (البيئة) – تفتح أبواب المناقصات الكبرى.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زي موحد وخوذ بألوان حسب الوظيفة ولافتة موحدة على كل موقع بشعار الشركة ورقم المشروع.</w:t>
      </w:r>
    </w:p>
    <w:p>
      <w:pPr>
        <w:bidi/>
        <w:spacing w:after="70" w:before="0"/>
        <w:jc w:val="right"/>
      </w:pPr>
      <w:r>
        <w:rPr>
          <w:rFonts w:ascii="Arial" w:cs="Arial" w:eastAsia="Arial" w:hAnsi="Arial"/>
          <w:color w:val="2E7D7A"/>
          <w:sz w:val="18"/>
          <w:szCs w:val="18"/>
          <w:rtl/>
        </w:rPr>
        <w:t xml:space="preserve">◆  </w:t>
      </w:r>
      <w:r>
        <w:rPr>
          <w:rFonts w:ascii="Arial" w:cs="Arial" w:eastAsia="Arial" w:hAnsi="Arial"/>
          <w:sz w:val="21"/>
          <w:szCs w:val="21"/>
          <w:rtl/>
        </w:rPr>
        <w:t xml:space="preserve">تقرير شهري احترافي للمالك (Monthly Progress Report) بصور ومنحنى S – يبني الثقة ويسرّع صرف المستخلصات.</w:t>
      </w:r>
    </w:p>
    <w:p>
      <w:pPr>
        <w:pBdr>
          <w:bottom w:val="single" w:color="2E7D7A" w:sz="8" w:space="4"/>
        </w:pBdr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7. الإيقاع الإداري الثابت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5"/>
        <w:gridCol w:w="2990"/>
        <w:gridCol w:w="2242"/>
        <w:gridCol w:w="3739"/>
      </w:tblGrid>
      <w:tr>
        <w:trPr>
          <w:cantSplit/>
          <w:trHeight w:val="340" w:hRule="atLeast"/>
        </w:trPr>
        <w:tc>
          <w:tcPr>
            <w:tcW w:type="dxa" w:w="14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التوقيت</w:t>
            </w:r>
          </w:p>
        </w:tc>
        <w:tc>
          <w:tcPr>
            <w:tcW w:type="dxa" w:w="29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الاجتماع / التقرير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المسؤول</w:t>
            </w:r>
          </w:p>
        </w:tc>
        <w:tc>
          <w:tcPr>
            <w:tcW w:type="dxa" w:w="37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المخرجات</w:t>
            </w:r>
          </w:p>
        </w:tc>
      </w:tr>
      <w:tr>
        <w:trPr>
          <w:cantSplit/>
          <w:trHeight w:val="340" w:hRule="atLeast"/>
        </w:trPr>
        <w:tc>
          <w:tcPr>
            <w:tcW w:type="dxa" w:w="14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يومياً</w:t>
            </w:r>
          </w:p>
        </w:tc>
        <w:tc>
          <w:tcPr>
            <w:tcW w:type="dxa" w:w="29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التقرير اليومي QF-DR-10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الموقع</w:t>
            </w:r>
          </w:p>
        </w:tc>
        <w:tc>
          <w:tcPr>
            <w:tcW w:type="dxa" w:w="37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عمالة – معدات – أعمال – معوقات</w:t>
            </w:r>
          </w:p>
        </w:tc>
      </w:tr>
      <w:tr>
        <w:trPr>
          <w:cantSplit/>
          <w:trHeight w:val="340" w:hRule="atLeast"/>
        </w:trPr>
        <w:tc>
          <w:tcPr>
            <w:tcW w:type="dxa" w:w="14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أسبوعياً</w:t>
            </w:r>
          </w:p>
        </w:tc>
        <w:tc>
          <w:tcPr>
            <w:tcW w:type="dxa" w:w="29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اجتماع تقدم الأعمال مع الاستشاري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المشروع</w:t>
            </w:r>
          </w:p>
        </w:tc>
        <w:tc>
          <w:tcPr>
            <w:tcW w:type="dxa" w:w="37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محضر اجتماع QF-MM-11</w:t>
            </w:r>
          </w:p>
        </w:tc>
      </w:tr>
      <w:tr>
        <w:trPr>
          <w:cantSplit/>
          <w:trHeight w:val="340" w:hRule="atLeast"/>
        </w:trPr>
        <w:tc>
          <w:tcPr>
            <w:tcW w:type="dxa" w:w="14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أسبوعياً</w:t>
            </w:r>
          </w:p>
        </w:tc>
        <w:tc>
          <w:tcPr>
            <w:tcW w:type="dxa" w:w="29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لوحة القيادة (الرئيسية)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الإدارة العليا</w:t>
            </w:r>
          </w:p>
        </w:tc>
        <w:tc>
          <w:tcPr>
            <w:tcW w:type="dxa" w:w="37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قرارات تصحيحية</w:t>
            </w:r>
          </w:p>
        </w:tc>
      </w:tr>
      <w:tr>
        <w:trPr>
          <w:cantSplit/>
          <w:trHeight w:val="340" w:hRule="atLeast"/>
        </w:trPr>
        <w:tc>
          <w:tcPr>
            <w:tcW w:type="dxa" w:w="14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شهرياً</w:t>
            </w:r>
          </w:p>
        </w:tc>
        <w:tc>
          <w:tcPr>
            <w:tcW w:type="dxa" w:w="29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المستخلص + تقرير الإنجاز الشهري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المكتب الفني</w:t>
            </w:r>
          </w:p>
        </w:tc>
        <w:tc>
          <w:tcPr>
            <w:tcW w:type="dxa" w:w="37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مستخلص معتمد + تقرير للمالك</w:t>
            </w:r>
          </w:p>
        </w:tc>
      </w:tr>
      <w:tr>
        <w:trPr>
          <w:cantSplit/>
          <w:trHeight w:val="340" w:hRule="atLeast"/>
        </w:trPr>
        <w:tc>
          <w:tcPr>
            <w:tcW w:type="dxa" w:w="14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شهرياً</w:t>
            </w:r>
          </w:p>
        </w:tc>
        <w:tc>
          <w:tcPr>
            <w:tcW w:type="dxa" w:w="29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جرد المخزن + مطابقة الصندوق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الحسابات</w:t>
            </w:r>
          </w:p>
        </w:tc>
        <w:tc>
          <w:tcPr>
            <w:tcW w:type="dxa" w:w="37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محضر جرد وتسوية</w:t>
            </w:r>
          </w:p>
        </w:tc>
      </w:tr>
      <w:tr>
        <w:trPr>
          <w:cantSplit/>
          <w:trHeight w:val="340" w:hRule="atLeast"/>
        </w:trPr>
        <w:tc>
          <w:tcPr>
            <w:tcW w:type="dxa" w:w="149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ربع سنوي</w:t>
            </w:r>
          </w:p>
        </w:tc>
        <w:tc>
          <w:tcPr>
            <w:tcW w:type="dxa" w:w="29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داخلية وتقييم الموردين</w:t>
            </w:r>
          </w:p>
        </w:tc>
        <w:tc>
          <w:tcPr>
            <w:tcW w:type="dxa" w:w="2242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الجودة</w:t>
            </w:r>
          </w:p>
        </w:tc>
        <w:tc>
          <w:tcPr>
            <w:tcW w:type="dxa" w:w="373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تقرير مراجعة وخطة تحسين</w:t>
            </w:r>
          </w:p>
        </w:tc>
      </w:tr>
    </w:tbl>
    <w:p>
      <w:pPr>
        <w:spacing w:after="140"/>
      </w:pPr>
    </w:p>
    <w:sectPr>
      <w:footerReference w:type="default" r:id="rId6"/>
      <w:pgSz w:w="11906" w:h="16838" w:orient="portrait"/>
      <w:pgMar w:top="720" w:right="720" w:bottom="720" w:left="72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 w:before="0"/>
      <w:jc w:val="center"/>
    </w:pPr>
    <w:r>
      <w:rPr>
        <w:rFonts w:ascii="Arial" w:cs="Arial" w:eastAsia="Arial" w:hAnsi="Arial"/>
        <w:color w:val="8A96A3"/>
        <w:sz w:val="15"/>
        <w:szCs w:val="15"/>
        <w:rtl/>
      </w:rPr>
      <w:t xml:space="preserve">دليل النظام وخطة التطوير   |   صفحة </w:t>
    </w:r>
    <w:r>
      <w:rPr>
        <w:rFonts w:ascii="Arial" w:cs="Arial" w:eastAsia="Arial" w:hAnsi="Arial"/>
        <w:color w:val="8A96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  <w:rtl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Site Operations System</dc:creator>
  <cp:lastModifiedBy>Un-named</cp:lastModifiedBy>
  <cp:revision>1</cp:revision>
  <dcterms:created xsi:type="dcterms:W3CDTF">2026-09-29T07:36:55.857Z</dcterms:created>
  <dcterms:modified xsi:type="dcterms:W3CDTF">2026-09-29T07:36:55.857Z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