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التقرير الكامل — العمليات والفرق</w:t>
      </w:r>
    </w:p>
    <w:p>
      <w:r>
        <w:rPr>
          <w:b/>
        </w:rPr>
        <w:t>1. الهدف من العمل</w:t>
      </w:r>
    </w:p>
    <w:p>
      <w:r>
        <w:t>كان الهدف ألا يبقى النظام مجرد أداة تسجيل بسيطة.</w:t>
      </w:r>
    </w:p>
    <w:p>
      <w:r>
        <w:rPr>
          <w:b/>
        </w:rPr>
        <w:t>Team = Supervisor + Workers</w:t>
      </w:r>
    </w:p>
    <w:p>
      <w:r>
        <w:t>بل يتحول إلى نظام متكامل يصلح لأي شركة خدمات.</w:t>
      </w:r>
    </w:p>
    <w:p>
      <w:r>
        <w:rPr>
          <w:b/>
        </w:rPr>
        <w:t>2. المشكلة القديمة</w:t>
      </w:r>
    </w:p>
    <w:p>
      <w:r>
        <w:t>كانت البيانات موزعة على جداول غير مترابطة.</w:t>
      </w:r>
    </w:p>
    <w:p>
      <w:r>
        <w:t>ولم يكن هناك مصدر واحد للحقيقة في تكاليف المشاريع.</w:t>
      </w:r>
    </w:p>
    <w:p>
      <w:r>
        <w:rPr>
          <w:b/>
        </w:rPr>
        <w:t>3. الحل المعتمد</w:t>
      </w:r>
    </w:p>
    <w:p>
      <w:r>
        <w:t>اعتُمد نموذج موحّد يربط الفرق بالمشاريع ومراكز التكلفة.</w:t>
      </w:r>
    </w:p>
    <w:p>
      <w:r>
        <w:t>وصار رقم المرجع الداخلي هو OPS-2026-4471.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