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 of Work — نطاق الأعمال</w:t>
      </w:r>
    </w:p>
    <w:p>
      <w:r>
        <w:t>The contractor shall complete all structural works — يلتزم المقاول بإنجاز الأعمال الإنشائية كاملة.</w:t>
      </w:r>
    </w:p>
    <w:p>
      <w:pPr>
        <w:pStyle w:val="Heading2"/>
      </w:pPr>
      <w:r>
        <w:t>Deliverables — المخرجات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Excavation</w:t>
            </w:r>
          </w:p>
        </w:tc>
        <w:tc>
          <w:tcPr>
            <w:tcW w:type="dxa" w:w="2880"/>
          </w:tcPr>
          <w:p>
            <w:r>
              <w:t>أعمال الحفر</w:t>
            </w:r>
          </w:p>
        </w:tc>
        <w:tc>
          <w:tcPr>
            <w:tcW w:type="dxa" w:w="2880"/>
          </w:tcPr>
          <w:p>
            <w:r>
              <w:t>21 days</w:t>
            </w:r>
          </w:p>
        </w:tc>
      </w:tr>
      <w:tr>
        <w:tc>
          <w:tcPr>
            <w:tcW w:type="dxa" w:w="2880"/>
          </w:tcPr>
          <w:p>
            <w:r>
              <w:t>Foundation</w:t>
            </w:r>
          </w:p>
        </w:tc>
        <w:tc>
          <w:tcPr>
            <w:tcW w:type="dxa" w:w="2880"/>
          </w:tcPr>
          <w:p>
            <w:r>
              <w:t>الأساسات</w:t>
            </w:r>
          </w:p>
        </w:tc>
        <w:tc>
          <w:tcPr>
            <w:tcW w:type="dxa" w:w="2880"/>
          </w:tcPr>
          <w:p>
            <w:r>
              <w:t>45 days</w:t>
            </w:r>
          </w:p>
        </w:tc>
      </w:tr>
      <w:tr>
        <w:tc>
          <w:tcPr>
            <w:tcW w:type="dxa" w:w="2880"/>
          </w:tcPr>
          <w:p>
            <w:r>
              <w:t>Superstructure</w:t>
            </w:r>
          </w:p>
        </w:tc>
        <w:tc>
          <w:tcPr>
            <w:tcW w:type="dxa" w:w="2880"/>
          </w:tcPr>
          <w:p>
            <w:r>
              <w:t>الهيكل العلوي</w:t>
            </w:r>
          </w:p>
        </w:tc>
        <w:tc>
          <w:tcPr>
            <w:tcW w:type="dxa" w:w="2880"/>
          </w:tcPr>
          <w:p>
            <w:r>
              <w:t>120 days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