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0.0964355468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VCET IDEATHON </w:t>
      </w:r>
      <w:r w:rsidDel="00000000" w:rsidR="00000000" w:rsidRPr="00000000">
        <w:rPr>
          <w:rFonts w:ascii="Times New Roman" w:cs="Times New Roman" w:eastAsia="Times New Roman" w:hAnsi="Times New Roman"/>
          <w:b w:val="1"/>
          <w:bCs w:val="1"/>
          <w:sz w:val="31.920000076293945"/>
          <w:szCs w:val="31.920000076293945"/>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0.096435546875" w:firstLine="0"/>
        <w:jc w:val="center"/>
        <w:rPr>
          <w:rFonts w:ascii="Times New Roman" w:cs="Times New Roman" w:eastAsia="Times New Roman" w:hAnsi="Times New Roman"/>
          <w:b w:val="1"/>
          <w:bCs w:val="1"/>
          <w:sz w:val="31.920000076293945"/>
          <w:szCs w:val="31.920000076293945"/>
        </w:rPr>
      </w:pPr>
      <w:r w:rsidDel="00000000" w:rsidR="00000000" w:rsidRPr="00000000">
        <w:rPr>
          <w:rFonts w:ascii="Times New Roman" w:cs="Times New Roman" w:eastAsia="Times New Roman" w:hAnsi="Times New Roman"/>
          <w:b w:val="1"/>
          <w:bCs w:val="1"/>
          <w:i w:val="1"/>
          <w:iCs w:val="1"/>
          <w:sz w:val="24"/>
          <w:szCs w:val="24"/>
          <w:rtl w:val="0"/>
        </w:rPr>
        <w:t xml:space="preserve">                                      “Kalpana Se Vikasan Tak – Fueling the Future”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208984375" w:line="240" w:lineRule="auto"/>
        <w:ind w:left="0" w:right="1784.7595214843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Business Idea Pitching Competition -202</w:t>
      </w:r>
      <w:r w:rsidDel="00000000" w:rsidR="00000000" w:rsidRPr="00000000">
        <w:rPr>
          <w:rFonts w:ascii="Times New Roman" w:cs="Times New Roman" w:eastAsia="Times New Roman" w:hAnsi="Times New Roman"/>
          <w:b w:val="1"/>
          <w:bCs w:val="1"/>
          <w:sz w:val="31.920000076293945"/>
          <w:szCs w:val="31.920000076293945"/>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3310546875" w:line="240" w:lineRule="auto"/>
        <w:ind w:left="0" w:right="1886.54113769531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Rules and Regulation for the Competition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89306640625" w:line="240" w:lineRule="auto"/>
        <w:ind w:left="1450.86959838867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General Guidelines</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343.86265754699707" w:lineRule="auto"/>
        <w:ind w:left="2164.239959716797" w:right="988.7994384765625" w:hanging="337.11990356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Business plan competition is open for all the undergraduates and Postgraduates  Programme.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6689453125" w:line="240" w:lineRule="auto"/>
        <w:ind w:left="1805.279998779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Teams are eligible for the participation of Business Plan Competition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8619270324707" w:lineRule="auto"/>
        <w:ind w:left="1803.3599853515625" w:right="579.95971679687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winning team will be the group which is having the overall highest marks. 4. The decision of the panel members will be the final and will not be subjected to any  change.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579345703125" w:line="240" w:lineRule="auto"/>
        <w:ind w:left="1447.78091430664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Rules for the Competition</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060791015625" w:line="337.30942726135254" w:lineRule="auto"/>
        <w:ind w:left="1805.2799987792969" w:right="0" w:firstLine="19.4400024414062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allocated time for the presentation of the business plan will be 10 minutes. 2. Additional 05 minutes will be given for Question and answering session. 3. The teams must submit their presentation in MS PowerPoint prior to the competition date  (on or before 1</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sz w:val="24"/>
          <w:szCs w:val="24"/>
          <w:rtl w:val="0"/>
        </w:rPr>
        <w:t xml:space="preserve">november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rowland.lopes@vcet.edu.in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044921875" w:line="240" w:lineRule="auto"/>
        <w:ind w:left="1800.95993041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Presentation is required to present in front of pannel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0439453125" w:line="240" w:lineRule="auto"/>
        <w:ind w:left="1805.76004028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Business plan should be presented as a group or Indiviadual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0" w:right="1012.55981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PPT template provided by the organizers should use to prepare the presentation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8799133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20263671875" w:line="240" w:lineRule="auto"/>
        <w:ind w:left="1444.9728393554688"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single"/>
          <w:shd w:fill="auto" w:val="clear"/>
          <w:vertAlign w:val="baseline"/>
          <w:rtl w:val="0"/>
        </w:rPr>
        <w:t xml:space="preserve">Evaluation Criteria</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06396484375" w:line="240" w:lineRule="auto"/>
        <w:ind w:left="181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and Uniqueness of Business Idea – 20%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1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 Gap and Opportunity Identification– 10%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81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Marketability and Sustainability – 10%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181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Feasibility – 10%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181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Feasibility – 10%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00390625" w:line="240" w:lineRule="auto"/>
        <w:ind w:left="181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Resourcing – 10%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952392578125" w:line="240" w:lineRule="auto"/>
        <w:ind w:left="181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Creativity of the presentation – 10%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147705078125" w:line="240" w:lineRule="auto"/>
        <w:ind w:left="181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 and Answering – 20%</w:t>
      </w:r>
    </w:p>
    <w:sectPr>
      <w:pgSz w:h="15840" w:w="12240" w:orient="portrait"/>
      <w:pgMar w:bottom="0" w:top="1418.800048828125" w:left="0" w:right="1436.4404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