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Arial" w:cs="Arial" w:eastAsia="Arial" w:hAnsi="Arial"/>
          <w:b/>
          <w:bCs/>
          <w:color w:val="16324F"/>
          <w:sz w:val="56"/>
          <w:szCs w:val="56"/>
        </w:rPr>
        <w:t xml:space="preserve">FINANCE DATA-ANALYSIS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324F"/>
          <w:sz w:val="56"/>
          <w:szCs w:val="56"/>
        </w:rPr>
        <w:t xml:space="preserve">PORTFOLIO</w:t>
      </w:r>
    </w:p>
    <w:p>
      <w:pPr>
        <w:pBdr>
          <w:bottom w:val="single" w:color="B4884D" w:sz="18" w:space="10"/>
        </w:pBdr>
        <w:spacing w:after="160"/>
      </w:pPr>
      <w:r>
        <w:rPr>
          <w:rFonts w:ascii="Arial" w:cs="Arial" w:eastAsia="Arial" w:hAnsi="Arial"/>
          <w:color w:val="232A3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232A31"/>
          <w:sz w:val="26"/>
          <w:szCs w:val="26"/>
        </w:rPr>
        <w:t xml:space="preserve">Four production-grade projects in </w:t>
      </w:r>
      <w:r>
        <w:rPr>
          <w:rFonts w:ascii="Arial" w:cs="Arial" w:eastAsia="Arial" w:hAnsi="Arial"/>
          <w:b/>
          <w:bCs/>
          <w:color w:val="2C6E9B"/>
          <w:sz w:val="26"/>
          <w:szCs w:val="26"/>
        </w:rPr>
        <w:t xml:space="preserve">Python · pandas · NumPy · DuckDB · matplotlib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680"/>
          <w:sz w:val="22"/>
          <w:szCs w:val="22"/>
        </w:rPr>
        <w:t xml:space="preserve">Deep-researched scopes, adversarially verified free datasets, and CV-ready framing.</w:t>
      </w:r>
    </w:p>
    <w:p>
      <w:pPr>
        <w:spacing w:before="500"/>
      </w:pPr>
      <w:r>
        <w:rPr>
          <w:rFonts w:ascii="Arial" w:cs="Arial" w:eastAsia="Arial" w:hAnsi="Arial"/>
          <w:color w:val="6B7680"/>
          <w:sz w:val="20"/>
          <w:szCs w:val="20"/>
        </w:rPr>
        <w:t xml:space="preserve">Prepared July 2026</w:t>
      </w:r>
      <w:r>
        <w:rPr>
          <w:rFonts w:ascii="Arial" w:cs="Arial" w:eastAsia="Arial" w:hAnsi="Arial"/>
          <w:color w:val="B4884D"/>
          <w:sz w:val="20"/>
          <w:szCs w:val="20"/>
        </w:rPr>
        <w:t xml:space="preserve">      ·      </w:t>
      </w:r>
      <w:r>
        <w:rPr>
          <w:rFonts w:ascii="Arial" w:cs="Arial" w:eastAsia="Arial" w:hAnsi="Arial"/>
          <w:color w:val="6B7680"/>
          <w:sz w:val="20"/>
          <w:szCs w:val="20"/>
        </w:rPr>
        <w:t xml:space="preserve">Portfolio &amp; Dataset Brief</w:t>
      </w:r>
    </w:p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Executive Summary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This brief specifies four finance-focused data-analysis projects designed for a professional portfolio. Each is scoped as a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reproducible pipeline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— raw → staging → mart in a DuckDB warehouse, with data-quality validation, tests, CI, and a deployed dashboard — rather than a single notebook. Every dataset named here was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adversarially verified as free and accessible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(43 independent checks); corrections from that verification are built into the briefs.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The projects progress from an approachable data-engineering showcase to an advanced finance × cybersecurity capstone. Built in the recommended order, they share one reusable toolkit (a SEC EDGAR client, cached price/fundamentals fetchers, a DuckDB warehouse pattern, and a Streamlit template), so the marginal effort falls sharply after the first.</w:t>
      </w:r>
    </w:p>
    <w:tbl>
      <w:tblPr>
        <w:tblW w:type="dxa" w:w="9360"/>
        <w:tblBorders>
          <w:top w:val="none"/>
          <w:left w:val="single" w:color="2C6E9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How to read this document.  </w:t>
            </w:r>
            <w:r>
              <w:rPr>
                <w:rFonts w:ascii="Arial" w:cs="Arial" w:eastAsia="Arial" w:hAnsi="Arial"/>
                <w:color w:val="232A31"/>
                <w:sz w:val="22"/>
                <w:szCs w:val="22"/>
              </w:rPr>
              <w:t xml:space="preserve">Section 2 compares the four projects and gives a build order. Sections 3–6 are the individual project briefs. Section 7 is the master dataset reference. Section 8 is the production playbook and CV guidance that applies to all four.</w:t>
            </w:r>
          </w:p>
        </w:tc>
      </w:tr>
    </w:tbl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Portfolio at a Glance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Four projects, ranked for CV impact and feasibility. </w:t>
      </w:r>
      <w:r>
        <w:rPr>
          <w:rFonts w:ascii="Arial" w:cs="Arial" w:eastAsia="Arial" w:hAnsi="Arial"/>
          <w:i/>
          <w:iCs/>
          <w:color w:val="232A31"/>
          <w:sz w:val="22"/>
          <w:szCs w:val="22"/>
        </w:rPr>
        <w:t xml:space="preserve">Data cleanliness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reflects how automatable the sources are (★★★★★ = fully scripted, no manual extraction).</w:t>
      </w:r>
    </w:p>
    <w:tbl>
      <w:tblPr>
        <w:tblW w:type="dxa" w:w="9360"/>
        <w:tblBorders>
          <w:top w:val="none"/>
          <w:left w:val="none"/>
          <w:bottom w:val="single" w:color="D8DEE5" w:sz="4"/>
          <w:right w:val="none"/>
          <w:insideH w:val="single" w:color="D8DEE5" w:sz="4"/>
          <w:insideV w:val="none"/>
        </w:tblBorders>
      </w:tblPr>
      <w:tblGrid>
        <w:gridCol w:w="520"/>
        <w:gridCol w:w="2760"/>
        <w:gridCol w:w="3300"/>
        <w:gridCol w:w="1280"/>
        <w:gridCol w:w="1500"/>
      </w:tblGrid>
      <w:tr>
        <w:trPr>
          <w:tblHeader/>
        </w:trPr>
        <w:tc>
          <w:tcPr>
            <w:tcW w:type="dxa" w:w="52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6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33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Core finance angle</w:t>
            </w:r>
          </w:p>
        </w:tc>
        <w:tc>
          <w:tcPr>
            <w:tcW w:type="dxa" w:w="128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1</w:t>
            </w:r>
          </w:p>
        </w:tc>
        <w:tc>
          <w:tcPr>
            <w:tcW w:type="dxa" w:w="27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19"/>
                <w:szCs w:val="19"/>
              </w:rPr>
              <w:t xml:space="preserve">Post-COVID Sector Rotation</w:t>
            </w:r>
          </w:p>
          <w:p>
            <w:pPr>
              <w:spacing w:after="0" w:line="248"/>
            </w:pPr>
            <w:r>
              <w:rPr>
                <w:rFonts w:ascii="Arial" w:cs="Arial" w:eastAsia="Arial" w:hAnsi="Arial"/>
                <w:color w:val="6B7680"/>
                <w:sz w:val="16"/>
                <w:szCs w:val="16"/>
              </w:rPr>
              <w:t xml:space="preserve">★★★★★ data</w:t>
            </w:r>
          </w:p>
        </w:tc>
        <w:tc>
          <w:tcPr>
            <w:tcW w:type="dxa" w:w="33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Event study, drawdowns, macro linkage</w:t>
            </w:r>
          </w:p>
        </w:tc>
        <w:tc>
          <w:tcPr>
            <w:tcW w:type="dxa" w:w="128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Int → Adv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50–70h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2</w:t>
            </w:r>
          </w:p>
        </w:tc>
        <w:tc>
          <w:tcPr>
            <w:tcW w:type="dxa" w:w="27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19"/>
                <w:szCs w:val="19"/>
              </w:rPr>
              <w:t xml:space="preserve">Luxury Goods Market Share &amp; Valuation</w:t>
            </w:r>
          </w:p>
          <w:p>
            <w:pPr>
              <w:spacing w:after="0" w:line="248"/>
            </w:pPr>
            <w:r>
              <w:rPr>
                <w:rFonts w:ascii="Arial" w:cs="Arial" w:eastAsia="Arial" w:hAnsi="Arial"/>
                <w:color w:val="6B7680"/>
                <w:sz w:val="16"/>
                <w:szCs w:val="16"/>
              </w:rPr>
              <w:t xml:space="preserve">★★★☆☆ data</w:t>
            </w:r>
          </w:p>
        </w:tc>
        <w:tc>
          <w:tcPr>
            <w:tcW w:type="dxa" w:w="33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Market share, segment mix, comps / multiples</w:t>
            </w:r>
          </w:p>
        </w:tc>
        <w:tc>
          <w:tcPr>
            <w:tcW w:type="dxa" w:w="128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Int → Adv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60–90h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3</w:t>
            </w:r>
          </w:p>
        </w:tc>
        <w:tc>
          <w:tcPr>
            <w:tcW w:type="dxa" w:w="27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19"/>
                <w:szCs w:val="19"/>
              </w:rPr>
              <w:t xml:space="preserve">Fortune 500 Financial Breakdowns</w:t>
            </w:r>
          </w:p>
          <w:p>
            <w:pPr>
              <w:spacing w:after="0" w:line="248"/>
            </w:pPr>
            <w:r>
              <w:rPr>
                <w:rFonts w:ascii="Arial" w:cs="Arial" w:eastAsia="Arial" w:hAnsi="Arial"/>
                <w:color w:val="6B7680"/>
                <w:sz w:val="16"/>
                <w:szCs w:val="16"/>
              </w:rPr>
              <w:t xml:space="preserve">★★★★☆ data</w:t>
            </w:r>
          </w:p>
        </w:tc>
        <w:tc>
          <w:tcPr>
            <w:tcW w:type="dxa" w:w="33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Sector profitability, concentration, churn</w:t>
            </w:r>
          </w:p>
        </w:tc>
        <w:tc>
          <w:tcPr>
            <w:tcW w:type="dxa" w:w="128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40–70h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4</w:t>
            </w:r>
          </w:p>
        </w:tc>
        <w:tc>
          <w:tcPr>
            <w:tcW w:type="dxa" w:w="27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19"/>
                <w:szCs w:val="19"/>
              </w:rPr>
              <w:t xml:space="preserve">Cloud / ERP / AI Vendor Intelligence</w:t>
            </w:r>
          </w:p>
          <w:p>
            <w:pPr>
              <w:spacing w:after="0" w:line="248"/>
            </w:pPr>
            <w:r>
              <w:rPr>
                <w:rFonts w:ascii="Arial" w:cs="Arial" w:eastAsia="Arial" w:hAnsi="Arial"/>
                <w:color w:val="6B7680"/>
                <w:sz w:val="16"/>
                <w:szCs w:val="16"/>
              </w:rPr>
              <w:t xml:space="preserve">★★★☆☆ data</w:t>
            </w:r>
          </w:p>
        </w:tc>
        <w:tc>
          <w:tcPr>
            <w:tcW w:type="dxa" w:w="33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Segment revenue × security-risk exposure</w:t>
            </w:r>
          </w:p>
        </w:tc>
        <w:tc>
          <w:tcPr>
            <w:tcW w:type="dxa" w:w="128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Advanced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60–90h</w:t>
            </w:r>
          </w:p>
        </w:tc>
      </w:tr>
    </w:tbl>
    <w:p>
      <w:pPr>
        <w:spacing w:after="120" w:line="20"/>
      </w:pPr>
      <w:r>
        <w:rPr>
          <w:rFonts w:ascii="Arial" w:cs="Arial" w:eastAsia="Arial" w:hAnsi="Arial"/>
          <w:color w:val="232A31"/>
          <w:sz w:val="22"/>
          <w:szCs w:val="22"/>
        </w:rPr>
        <w:t xml:space="preserve"/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Recommended build order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Fortune 500 (quick win, first).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Most approachable data; builds the reusable toolkit — DuckDB warehouse, SEC EDGAR client, yfinance caching, pandera validation, Streamlit template.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Post-COVID Sector Rotation (flagship).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Cleanest free data and real quant methodology (market-model event study). Reuses the FRED + yfinance plumbing. Reads as “can do quantitative finance.”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Luxury Goods (finance-recruiter magnet).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The most finance-brand project — comps, multiples, market share. The segment/geography mapping from filings is genuine analyst work.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Cloud / ERP / AI + Security (advanced capstone).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Most differentiated; highest ceiling; hardest. Do it once the pipeline pattern is second nature.</w:t>
      </w:r>
    </w:p>
    <w:p>
      <w:pPr>
        <w:spacing w:after="120" w:before="60" w:line="264"/>
      </w:pPr>
      <w:r>
        <w:rPr>
          <w:rFonts w:ascii="Arial" w:cs="Arial" w:eastAsia="Arial" w:hAnsi="Arial"/>
          <w:i/>
          <w:iCs/>
          <w:color w:val="232A31"/>
          <w:sz w:val="22"/>
          <w:szCs w:val="22"/>
        </w:rPr>
        <w:t xml:space="preserve">If you only build two: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Fortune 500 (data-engineering showcase) + Post-COVID (quant / finance showcase) together tell the whole “analyst who can engineer” story.</w:t>
      </w:r>
    </w:p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Project 1 — Post-COVID Sector Rotation</w:t>
      </w:r>
    </w:p>
    <w:p>
      <w:pPr>
        <w:spacing w:after="60" w:before="0" w:line="264"/>
      </w:pPr>
      <w:r>
        <w:rPr>
          <w:rFonts w:ascii="Arial" w:cs="Arial" w:eastAsia="Arial" w:hAnsi="Arial"/>
          <w:i/>
          <w:iCs/>
          <w:color w:val="6B7680"/>
          <w:sz w:val="21"/>
          <w:szCs w:val="21"/>
        </w:rPr>
        <w:t xml:space="preserve">An Event-Study and Macro-Linkage Analysis of U.S. Equity Sectors (2019–2025)</w:t>
      </w:r>
    </w:p>
    <w:tbl>
      <w:tblPr>
        <w:tblW w:type="dxa" w:w="9360"/>
        <w:tblBorders>
          <w:top w:val="none"/>
          <w:left w:val="single" w:color="B4884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Flagship — best effort-to-impressiveness ratio: cleanest free data plus real quant methodology.</w:t>
            </w:r>
          </w:p>
        </w:tc>
      </w:tr>
    </w:tbl>
    <w:p>
      <w:pPr>
        <w:spacing w:after="60" w:before="120" w:line="264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Difficulty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Intermediate → Advanced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Effort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~50–70h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Data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★★★★★ (fully automatable)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The interview story</w:t>
      </w:r>
    </w:p>
    <w:p>
      <w:pPr>
        <w:spacing w:after="120" w:before="0" w:line="264"/>
      </w:pPr>
      <w:r>
        <w:rPr>
          <w:rFonts w:ascii="Arial" w:cs="Arial" w:eastAsia="Arial" w:hAnsi="Arial"/>
          <w:i/>
          <w:iCs/>
          <w:color w:val="232A31"/>
          <w:sz w:val="22"/>
          <w:szCs w:val="22"/>
        </w:rPr>
        <w:t xml:space="preserve">“I ran a formal market-model event study of the COVID crash across all 11 GICS sectors, measured cumulative abnormal returns vs. the S&amp;P 500 over a 250-day estimation window to separate structural winners from losers, then linked recovery speed to sector-specific macro damage and the pandemic stringency timeline.”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Scope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Universe: 11 SPDR sector ETFs (XLK, XLF, XLE, XLV, XLY, XLP, XLI, XLU, XLB, XLRE, XLC) benchmarked against SPY, daily 2019-01-01 → present, plus 8 macro series and one COVID case/stringency series. Three layers: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descriptive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(returns, rolling volatility, max drawdown, recovery time, Sharpe/Sortino, correlation regimes);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event study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(cumulative abnormal returns vs. a market-model expectation around 19-Feb → 23-Mar-2020, 250-day estimation window); and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macro linkage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(align monthly/quarterly macro + daily VIX + stringency to sector returns). Out of scope: single-stock alpha, options, intraday, international markets.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Analytical questions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Which sector had the deepest COVID drawdown, and does that ranking match the ranking by recovery time (days to reclaim the pre-crash peak)?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In a formal event study, which sectors had statistically significant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negative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cumulative abnormal returns vs. SPY versus significant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positive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ones — and does the sign flip in the 2021–22 inflation regime?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Did cross-sector correlations spike toward 1.0 in the March-2020 panic (“diversification fails when you need it”) and then disperse?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Does sector-level macro damage (BLS/FRED industry payrolls, industrial production) explain recovery speed?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How did tighter lockdowns (stringency index / case waves) coincide with “physical-economy” vs. “stay-at-home” sector performance?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Comparing 2019 pre-COVID leadership to 2023–25, which sectors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permanently re-ranked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versus mean-reverted?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Methodology (pipeline)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Config &amp; scaffold: tickers, SPY benchmark, window (2019 to present), event dates (peak 19-Feb, trough 23-Mar-2020, 250-day estimation window), and a sector-to-macro-series map in a typed config module.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Ingest (idempotent, cached): ETF + SPY daily OHLCV via pandas-datareader Stooq (yfinance fallback), FRED macro + VIX via fredapi, OWID COVID CSV via requests; persist raw pulls to Parquet so the network is hit once.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Clean &amp; load to DuckDB: standardize dates, handle the frozen-OWID end date, resample monthly/quarterly macro to a common calendar, US-filter COVID, and write typed tables + a data dictionary.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Feature layer (SQL views + pandas): daily &amp; cumulative log returns, 21-day rolling annualized volatility, running max-drawdown, recovery-time, Sharpe/Sortino, and a wide returns matrix.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Descriptive analysis: rank sectors by drawdown depth, volatility blow-up, and recovery time; compare 2019 vs 2023-2025 leadership to find structural re-rankings.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Event study: estimate each sector's market model on the 250-day pre-peak window; compute abnormal returns and cumulative abnormal returns (CAR) across the crash window; t-test significance; repeat for the 2021-22 regime.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Correlation-regime analysis: rolling pairwise correlations; quantify the March-2020 spike toward 1.0 and the subsequent dispersion.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Macro linkage: align daily VIX and resampled macro to sector returns; regress recovery-time/drawdown on sector-specific macro damage and estimate per-sector VIX-beta.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COVID-policy linkage: overlay US stringency index and case/death waves; test the stay-at-home vs physical-economy hypothesis.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Validation &amp; tests: pytest on return/drawdown/recovery math and event-window alignment; cross-check Stooq vs yfinance closes.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Dashboard &amp; docs: Streamlit app over DuckDB (sector/date/event-window controls) plus a README with methodology, data lineage, and a findings summary.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visualizations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Small-multiples underwater drawdown curves for all 11 sectors + SPY, crash window shaded, each sector's recovery date annotated.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Recovery-time ranking bar: trading days for each sector to reclaim its pre-COVID peak - the most quotable which-industries-bounced-back-fastest visual.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Event-study CAR bar with error bars, colored by statistical significance (structural winners vs losers).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Rolling-volatility ribbon (21-day annualized vol) showing the March-2020 spike and normalization time.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Cross-sector correlation heatmaps at three snapshots: 2019 calm, March-2020 panic, 2023 post-COVID.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Dual-axis macro overlay: market composite vs UNRATE and INDPRO, marking the market-leads-the-real-economy gap.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COVID stringency overlay vs a stay-at-home-minus-physical-economy sector spread.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Pre-vs-post leadership slope/bump chart connecting 2019 to 2023-2025 rankings.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Verified datasets</w:t>
      </w:r>
    </w:p>
    <w:tbl>
      <w:tblPr>
        <w:tblW w:type="dxa" w:w="9360"/>
        <w:tblBorders>
          <w:top w:val="none"/>
          <w:left w:val="none"/>
          <w:bottom w:val="single" w:color="D8DEE5" w:sz="4"/>
          <w:right w:val="none"/>
          <w:insideH w:val="single" w:color="D8DEE5" w:sz="4"/>
          <w:insideV w:val="none"/>
        </w:tblBorders>
      </w:tblPr>
      <w:tblGrid>
        <w:gridCol w:w="2500"/>
        <w:gridCol w:w="4160"/>
        <w:gridCol w:w="2700"/>
      </w:tblGrid>
      <w:tr>
        <w:trPr>
          <w:tblHeader/>
        </w:trPr>
        <w:tc>
          <w:tcPr>
            <w:tcW w:type="dxa" w:w="25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Sector ETFs + SPY OHLCV</w:t>
            </w:r>
          </w:p>
          <w:p>
            <w:pPr>
              <w:spacing w:after="0" w:line="248"/>
            </w:pPr>
            <w:r>
              <w:rPr>
                <w:rFonts w:ascii="Arial" w:cs="Arial" w:eastAsia="Arial" w:hAnsi="Arial"/>
                <w:color w:val="6B7680"/>
                <w:sz w:val="16"/>
                <w:szCs w:val="16"/>
              </w:rPr>
              <w:t xml:space="preserve">via yfinance / pandas-datareader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Primary price panel: returns, volatility, drawdowns, recovery, correlations, abnormal returns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key. </w:t>
            </w:r>
            <w:r>
              <w:rPr>
                <w:rFonts w:ascii="Arial" w:cs="Arial" w:eastAsia="Arial" w:hAnsi="Arial"/>
                <w:b/>
                <w:bCs/>
                <w:color w:val="B4884D"/>
                <w:sz w:val="19"/>
                <w:szCs w:val="19"/>
              </w:rPr>
              <w:t xml:space="preserve">Stooq CSV now bot-blocked</w:t>
            </w: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 — use library fetchers + cache to Parquet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FRED (Federal Reserve)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Macro-linkage + VIX beta: VIXCLS, UNRATE, INDPRO, CPIAUCSL, GDP, sector payrolls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Free 32-char API key; use fredapi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Our World in Data — COVID-19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Stringency + case/death waves overlay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CSV, no key. </w:t>
            </w:r>
            <w:r>
              <w:rPr>
                <w:rFonts w:ascii="Arial" w:cs="Arial" w:eastAsia="Arial" w:hAnsi="Arial"/>
                <w:color w:val="B4884D"/>
                <w:sz w:val="19"/>
                <w:szCs w:val="19"/>
              </w:rPr>
              <w:t xml:space="preserve">frozen 19-Aug-2024</w:t>
            </w: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 → scope overlay to 2019–24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BLS API / BEA GDP-by-industry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Optional: industry payroll &amp; value-added recovery vs. ETF recovery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Free key / UserID (many series also on FRED)</w:t>
            </w:r>
          </w:p>
        </w:tc>
      </w:tr>
    </w:tbl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CV bullet points (honest, quantified)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Built an end-to-end, reproducible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Python + DuckDB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pipeline ingesting ~12 ETFs and 8 macro/COVID series (2019–2025) from 4 free APIs into a local SQL warehouse, with cached idempotent ingestion resilient to source-side rate-limiting and anti-bot blocks.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Engineered a formal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market-model event study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of the Feb–Mar 2020 crash, estimating cumulative abnormal returns vs. SPY over a 250-day window for all 11 sectors and t-testing significance.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Quantified sector drawdowns (~30–50% peak-to-trough) and recovery times, ranking all 11 sectors by days-to-reclaim-peak.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Modeled the market-vs-fundamentals gap by aligning daily returns with monthly/quarterly macro and the daily VIX, estimating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per-sector VIX-betas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and regressing recovery speed on macro damage.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Shipped an interactive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Streamlit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dashboard (DuckDB-backed, deployed) and hardened it with a pytest suite over the financial math, ruff/pre-commit, and GitHub Actions CI.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Skills demonstrated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Financial-markets literacy (drawdown, recovery, Sharpe/Sortino, sector rotation); event-study methodology &amp; abnormal-return analysis; time-series and multi-frequency alignment; applied statistics (market-model OLS, hypothesis testing) with statsmodels/scipy; idempotent cached ETL into DuckDB; analytical SQL warehousing; pandas/numpy; macroeconomic reasoning (UNRATE, INDPRO, CPI, GDP, VIX); matplotlib/plotly storytelling; Streamlit deployment; software-engineering hygiene (tests, CI, config/secrets).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risks &amp; gotchas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Stooq's direct CSV endpoint is now behind a JavaScript anti-bot wall — use library fetchers + cache; never a naive requests.get.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yfinance is fragile in 2025–26 (HTTP 429) — fetch once, cache to Parquet, add retry/back-off; never depend on it live.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OWID's COVID CSV is frozen at 19-Aug-2024 — scope the COVID overlay accordingly.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Frequency mismatch (GDP quarterly, macro monthly, prices daily) is the main trap — resampling must be explicit or correlations are spurious.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The event-study estimation window (2019) must exclude other structural breaks; frame macro links as association, not causation.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Extensions (stretch goals)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BEA GDP-by-industry value added for a markets-lead-the-real-economy chart (real-output recovery vs ETF recovery).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Extend the event study to a second shock (2022 inflation/rate-hike regime) to test consistent resilience/fragility.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a rules-based sector-rotation backtest vs SPY buy-and-hold, reported honestly with transaction-cost caveats.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Incorporate BLS industry-level payrolls for a finer sector-to-industry employment map.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a Fama-French factor lens to decompose COVID-era performance into market/size/value/momentum.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Automate a weekly refresh via GitHub Actions that rebuilds the warehouse and redeploys the dashboard.</w:t>
      </w:r>
    </w:p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Project 2 — Luxury Goods Market Share &amp; Valuation</w:t>
      </w:r>
    </w:p>
    <w:p>
      <w:pPr>
        <w:spacing w:after="60" w:before="0" w:line="264"/>
      </w:pPr>
      <w:r>
        <w:rPr>
          <w:rFonts w:ascii="Arial" w:cs="Arial" w:eastAsia="Arial" w:hAnsi="Arial"/>
          <w:i/>
          <w:iCs/>
          <w:color w:val="6B7680"/>
          <w:sz w:val="21"/>
          <w:szCs w:val="21"/>
        </w:rPr>
        <w:t xml:space="preserve">A Reproducible Python/DuckDB Pipeline Benchmarking 9 Global Luxury Houses</w:t>
      </w:r>
    </w:p>
    <w:tbl>
      <w:tblPr>
        <w:tblW w:type="dxa" w:w="9360"/>
        <w:tblBorders>
          <w:top w:val="none"/>
          <w:left w:val="single" w:color="B4884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The most finance-recruiter-appealing project — comps, multiples, market share, valuation-vs-fundamentals.</w:t>
            </w:r>
          </w:p>
        </w:tc>
      </w:tr>
    </w:tbl>
    <w:p>
      <w:pPr>
        <w:spacing w:after="60" w:before="120" w:line="264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Difficulty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Intermediate → Advanced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Effort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~60–90h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Data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★★★☆☆ (PDF extraction is the slow part)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The interview story</w:t>
      </w:r>
    </w:p>
    <w:p>
      <w:pPr>
        <w:spacing w:after="120" w:before="0" w:line="264"/>
      </w:pPr>
      <w:r>
        <w:rPr>
          <w:rFonts w:ascii="Arial" w:cs="Arial" w:eastAsia="Arial" w:hAnsi="Arial"/>
          <w:i/>
          <w:iCs/>
          <w:color w:val="232A31"/>
          <w:sz w:val="22"/>
          <w:szCs w:val="22"/>
        </w:rPr>
        <w:t xml:space="preserve">“I built a comps model across the 9 listed global luxury houses — normalizing IFRS vs. US-GAAP filings and four currencies, hand-mapping each house's distinct segment and geographic taxonomy into a common schema, then benchmarking margins and EV/EBITDA, EV/Sales and P/E against Damodaran industry averages to flag who is expensive for their fundamentals.”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Scope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Fixed universe of 9 listed houses (LVMH, Kering, Richemont, Hermès, Burberry, Prada, Brunello Cucinelli, Estée Lauder, Tapestry, Capri) over FY2015–FY2024.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“Market share” is explicitly defined as revenue share within this listed peer set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(not the total Bain market, used only as context), keeping the metric reproducible from primary filings. Four pillars: market share &amp; HHI concentration; revenue mix (segment + geography, mapped to a common schema); financial performance (CAGR, gross/operating/net margins, currency-normalized to EUR &amp; USD); and valuation (EV/Sales, EV/EBITDA, P/E benchmarked vs. Damodaran). Out of scope: quarterly modeling, DCF, options, private brands.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Analytical questions</w:t>
      </w:r>
    </w:p>
    <w:p>
      <w:pPr>
        <w:pStyle w:val="ListParagraph"/>
        <w:numPr>
          <w:ilvl w:val="0"/>
          <w:numId w:val="6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Each house's revenue share within the peer set; how has sector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HHI concentration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evolved 2015–2024; did the 2024 downturn consolidate or fragment share?</w:t>
      </w:r>
    </w:p>
    <w:p>
      <w:pPr>
        <w:pStyle w:val="ListParagraph"/>
        <w:numPr>
          <w:ilvl w:val="0"/>
          <w:numId w:val="6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How does segment mix differ across houses, and which mix proved most resilient during the 2024 contraction?</w:t>
      </w:r>
    </w:p>
    <w:p>
      <w:pPr>
        <w:pStyle w:val="ListParagraph"/>
        <w:numPr>
          <w:ilvl w:val="0"/>
          <w:numId w:val="6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How is each house's revenue split geographically, and how exposed is each to the China slowdown vs. Japan/US strength?</w:t>
      </w:r>
    </w:p>
    <w:p>
      <w:pPr>
        <w:pStyle w:val="ListParagraph"/>
        <w:numPr>
          <w:ilvl w:val="0"/>
          <w:numId w:val="6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What are the 3/5/10-year revenue CAGRs per house once currency effects are normalized out?</w:t>
      </w:r>
    </w:p>
    <w:p>
      <w:pPr>
        <w:pStyle w:val="ListParagraph"/>
        <w:numPr>
          <w:ilvl w:val="0"/>
          <w:numId w:val="6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Does Hermès's structural margin premium show cleanly vs. peers and vs. the Damodaran apparel-industry average?</w:t>
      </w:r>
    </w:p>
    <w:p>
      <w:pPr>
        <w:pStyle w:val="ListParagraph"/>
        <w:numPr>
          <w:ilvl w:val="0"/>
          <w:numId w:val="6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Do current multiples (EV/Sales, EV/EBITDA, P/E) rank the houses the same way growth and margins do — who is “expensive for their fundamentals”?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Methodology (pipeline)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Universe &amp; config: a YAML config of the 10 tickers, their CIKs (US filers), fiscal year-ends, reporting currency, and a documented segment/region mapping table reconciling each house's taxonomy to a common schema.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Ingest raw: SEC company-facts JSON (EL/TPR/CPRI) with User-Agent + rate limiting; yfinance prices for all 10 tickers (cached to Parquet); Damodaran .xls; World Bank indicators; and segment &amp; geographic revenue tables extracted from each URD via pdfplumber into a reviewed CSV.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Stage &amp; normalize: parse EDGAR XBRL into tidy statements, align March vs December fiscal year-ends, convert revenue/EBITDA to EUR and USD via documented annual-average FX, and unify segment/region labels via the mapping table.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Load into DuckDB (raw to staging to marts): fct_financials, fct_segment_revenue, fct_geo_revenue, fct_valuation, dim_company.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Market share &amp; concentration: revenue share of each house within the peer set per year, sector HHI, and listed-peer aggregate vs the Bain total-market figure.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Financial performance: 3/5/10-year revenue CAGR plus gross/operating/net margins and trends, ranked and currency-normalized.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Valuation: enterprise value / sales and / EBITDA and trailing P/E per house; join Damodaran benchmarks to compute premium/discount vs sector.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Reconcile &amp; validate: diff yfinance fundamentals against EDGAR ground truth for the three US filers; run pandera checks (shares sum to 100%, no negative revenue, FX coverage complete) + pytest on the formulas.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Analyze &amp; narrate: a notebook answering each analytical question with a chart, culminating in a valuation-vs-fundamentals scatter that flags rich/cheap houses.</w:t>
      </w:r>
    </w:p>
    <w:p>
      <w:pPr>
        <w:pStyle w:val="ListParagraph"/>
        <w:numPr>
          <w:ilvl w:val="0"/>
          <w:numId w:val="7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Ship the dashboard: a multi-page Streamlit app reading from DuckDB, plus full docs (README, data dictionary, and the segment-mapping rationale) for one-command reproduction.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visualizations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Stacked-area market share within the listed peer set (2015-2024), showing LVMH and Hermes gaining while others compress.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Sector-concentration line chart (HHI over time) annotated with the 2024 downturn.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Small-multiples of each house's segment mix (fashion &amp; leather / watches &amp; jewelry / wines &amp; spirits / beauty / retail) as 100% stacked bars.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Geographic revenue heatmap (houses x regions) highlighting China vs Japan vs Americas exposure.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Slope/bump chart ranking houses by 5-year revenue CAGR, currency-normalized.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Grouped margin bars per house with the Damodaran apparel-industry average as a reference line (Hermes premium pops out).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Valuation-vs-fundamentals scatter: EV/EBITDA vs revenue CAGR or operating margin, bubble size = revenue, quadrant lines from the industry median.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yfinance-vs-EDGAR reconciliation panel for EL/TPR/CPRI with percent variance per line item.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Verified datasets</w:t>
      </w:r>
    </w:p>
    <w:tbl>
      <w:tblPr>
        <w:tblW w:type="dxa" w:w="9360"/>
        <w:tblBorders>
          <w:top w:val="none"/>
          <w:left w:val="none"/>
          <w:bottom w:val="single" w:color="D8DEE5" w:sz="4"/>
          <w:right w:val="none"/>
          <w:insideH w:val="single" w:color="D8DEE5" w:sz="4"/>
          <w:insideV w:val="none"/>
        </w:tblBorders>
      </w:tblPr>
      <w:tblGrid>
        <w:gridCol w:w="2500"/>
        <w:gridCol w:w="4160"/>
        <w:gridCol w:w="2700"/>
      </w:tblGrid>
      <w:tr>
        <w:trPr>
          <w:tblHeader/>
        </w:trPr>
        <w:tc>
          <w:tcPr>
            <w:tcW w:type="dxa" w:w="25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SEC EDGAR XBRL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Ground-truth financials for the US filers (EL, TPR, CPRI); reconciliation benchmark for yfinance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key; </w:t>
            </w:r>
            <w:r>
              <w:rPr>
                <w:rFonts w:ascii="Arial" w:cs="Arial" w:eastAsia="Arial" w:hAnsi="Arial"/>
                <w:b/>
                <w:bCs/>
                <w:color w:val="232A31"/>
                <w:sz w:val="19"/>
                <w:szCs w:val="19"/>
              </w:rPr>
              <w:t xml:space="preserve">User-Agent header required</w:t>
            </w: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. IFRS filers not here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Registration Documents / Annual Reports (PDF)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Primary source for segment &amp; geographic revenue for all houses (esp. IFRS ones)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Direct PDF URLs. </w:t>
            </w:r>
            <w:r>
              <w:rPr>
                <w:rFonts w:ascii="Arial" w:cs="Arial" w:eastAsia="Arial" w:hAnsi="Arial"/>
                <w:color w:val="B4884D"/>
                <w:sz w:val="19"/>
                <w:szCs w:val="19"/>
              </w:rPr>
              <w:t xml:space="preserve">Taxonomies differ → documented mapping table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yfinance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Share price, market cap, EV inputs for all houses; return series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key, fragile. </w:t>
            </w:r>
            <w:r>
              <w:rPr>
                <w:rFonts w:ascii="Arial" w:cs="Arial" w:eastAsia="Arial" w:hAnsi="Arial"/>
                <w:color w:val="B4884D"/>
                <w:sz w:val="19"/>
                <w:szCs w:val="19"/>
              </w:rPr>
              <w:t xml:space="preserve">Non-US fundamentals often empty</w:t>
            </w: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 — prices only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Damodaran NYU Stern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Industry-average margins &amp; multiples benchmark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Direct .xls; pin file + date (overwritten each Jan)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Bain × Altagamma; World Bank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Total-market context; regional consumption/GDP macro layer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Free press releases / open API</w:t>
            </w:r>
          </w:p>
        </w:tc>
      </w:tr>
    </w:tbl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CV bullet points (honest, quantified)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Built an end-to-end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Python/DuckDB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pipeline benchmarking 9 listed global luxury houses across 10 fiscal years, integrating 6 free sources into a layered analytical warehouse.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Normalized heterogeneous disclosures (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IFRS vs. US GAAP; EUR/CHF/GBP/USD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) and hand-mapped each house's distinct segment &amp; geographic taxonomy into a common schema for apples-to-apples comparison.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Computed revenue-based market share, sector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HHI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, 3/5/10-year CAGRs, margins, and EV/Sales, EV/EBITDA and P/E multiples, benchmarking each house against Damodaran industry averages.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Implemented a data-integrity layer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reconciling yfinance fundamentals against SEC EDGAR ground truth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for 3 US filers, quantifying line-item variance.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Delivered an interactive multi-page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Streamlit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dashboard reading live from DuckDB, with pandera checks and a pytest suite covering every financial formula wired into CI.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Skills demonstrated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Comparable-company valuation (EV/Sales, EV/EBITDA, P/E, margin &amp; growth benchmarking); financial-statement analysis across IFRS and US GAAP; layered warehouse/ETL design and reproducibility; DuckDB SQL; API integration (SEC EDGAR, World Bank) with proper headers/rate-limiting; PDF/table extraction and schema harmonization; currency normalization and CAGR/HHI computation; source reconciliation and data-quality engineering; Python software engineering (typed config, testing, CI); matplotlib/plotly/Streamlit; free-vs-paywalled sourcing due diligence.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risks &amp; gotchas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Segment/geographic taxonomies differ materially by house — the common-schema crosswalk requires documented judgment; treat it as a transparent, first-class artifact.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Fiscal year-ends are not aligned (Richemont &amp; Burberry end in March) — state an explicit alignment convention.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yfinance non-US fundamentals frequently return empty — use it for prices only; use filings for European income statements.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Currency normalization introduces analyst choices (spot vs. average FX) — document the source and method.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Do not scrape Statista / Macrotrends / stockanalysis.com (paywalled or ToS-forbidden) — use primary filings + free Bain/Altagamma headlines.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Extensions (stretch goals)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Regress each house's regional revenue growth on World Bank consumption / GDP-per-capita trends for its exposure regions.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Incorporate ESG/sustainability KPIs disclosed in the URDs for an ESG-vs-valuation angle.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a reverse-DCF / implied-growth back-out to estimate the growth each house's multiple is pricing in.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Build an earnings-date event study of share-price reaction (align yfinance prices with filing dates).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quarterly granularity for the US filers using EDGAR 10-Qs.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a peer-set share-of-total-market tracker that auto-updates with new Bain/Altagamma figures.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Containerize with Docker and schedule a monthly price/valuation refresh.</w:t>
      </w:r>
    </w:p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Project 3 — Fortune 500 Financial Breakdowns</w:t>
      </w:r>
    </w:p>
    <w:p>
      <w:pPr>
        <w:spacing w:after="60" w:before="0" w:line="264"/>
      </w:pPr>
      <w:r>
        <w:rPr>
          <w:rFonts w:ascii="Arial" w:cs="Arial" w:eastAsia="Arial" w:hAnsi="Arial"/>
          <w:i/>
          <w:iCs/>
          <w:color w:val="6B7680"/>
          <w:sz w:val="21"/>
          <w:szCs w:val="21"/>
        </w:rPr>
        <w:t xml:space="preserve">A Multi-Year DuckDB Panel of Corporate America's Largest Firms</w:t>
      </w:r>
    </w:p>
    <w:tbl>
      <w:tblPr>
        <w:tblW w:type="dxa" w:w="9360"/>
        <w:tblBorders>
          <w:top w:val="none"/>
          <w:left w:val="single" w:color="B4884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Quick win / first project — the best pure data-engineering showcase, and it builds the toolkit you reuse everywhere.</w:t>
            </w:r>
          </w:p>
        </w:tc>
      </w:tr>
    </w:tbl>
    <w:p>
      <w:pPr>
        <w:spacing w:after="60" w:before="120" w:line="264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Difficulty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Intermediate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Effort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~40–70h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Data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★★★★☆ (community CSVs)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The interview story</w:t>
      </w:r>
    </w:p>
    <w:p>
      <w:pPr>
        <w:spacing w:after="120" w:before="0" w:line="264"/>
      </w:pPr>
      <w:r>
        <w:rPr>
          <w:rFonts w:ascii="Arial" w:cs="Arial" w:eastAsia="Arial" w:hAnsi="Arial"/>
          <w:i/>
          <w:iCs/>
          <w:color w:val="232A31"/>
          <w:sz w:val="22"/>
          <w:szCs w:val="22"/>
        </w:rPr>
        <w:t xml:space="preserve">“I engineered a reproducible DuckDB warehouse over ~10 years of Fortune 500 data, then showed that tech and pharma dominate margins while retail dominates headcount, that revenue-per-employee varies ~20× across sectors, and that ~3–5% of the list turns over annually with churn concentrated in energy and retail.”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Scope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A clean, tested, reproducible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multi-year panel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of Fortune 500 (US) companies with a canonical schema (company, year, rank, revenue, profit, assets, employees, sector, industry, HQ) plus derived metrics (net margin, revenue-per-employee, rank_change). The core deliverable is the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data engineering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— ingesting heterogeneous CSVs/scrapes into DuckDB with cross-year entity resolution and unit normalization — plus ~7 fixed analytical questions answered with SQL + pandas. Everything runs from a single make command on a fresh clone using only free data.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Analytical questions</w:t>
      </w:r>
    </w:p>
    <w:p>
      <w:pPr>
        <w:pStyle w:val="ListParagraph"/>
        <w:numPr>
          <w:ilvl w:val="0"/>
          <w:numId w:val="8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Does size predict profitability? Correlation between revenue/assets and net margin, overall and by sector — is “bigger = more profitable,” or does margin decouple from scale?</w:t>
      </w:r>
    </w:p>
    <w:p>
      <w:pPr>
        <w:pStyle w:val="ListParagraph"/>
        <w:numPr>
          <w:ilvl w:val="0"/>
          <w:numId w:val="8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Which sectors are most and least profitable (median net margin, ROA), and how have rankings shifted year over year?</w:t>
      </w:r>
    </w:p>
    <w:p>
      <w:pPr>
        <w:pStyle w:val="ListParagraph"/>
        <w:numPr>
          <w:ilvl w:val="0"/>
          <w:numId w:val="8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How does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revenue-per-employee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vary across sectors, and which industries are the extreme outliers?</w:t>
      </w:r>
    </w:p>
    <w:p>
      <w:pPr>
        <w:pStyle w:val="ListParagraph"/>
        <w:numPr>
          <w:ilvl w:val="0"/>
          <w:numId w:val="8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How concentrated is the list by industry and geography (top-10/25/50 revenue share,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HHI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over the decade)?</w:t>
      </w:r>
    </w:p>
    <w:p>
      <w:pPr>
        <w:pStyle w:val="ListParagraph"/>
        <w:numPr>
          <w:ilvl w:val="0"/>
          <w:numId w:val="8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How churny is the list — annual entry/exit rate, sector churn (a disruption proxy), and survival of former top-100 firms?</w:t>
      </w:r>
    </w:p>
    <w:p>
      <w:pPr>
        <w:pStyle w:val="ListParagraph"/>
        <w:numPr>
          <w:ilvl w:val="0"/>
          <w:numId w:val="8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Who are the biggest rank movers, and do upward movers systematically differ (margin, growth, sector) from decliners?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Methodology (pipeline)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Config &amp; scaffolding: a typed config (dataset URLs, pinned GitHub commit SHA, Kaggle slug+version, SEC User-Agent) and a src/ sql/ data/ tests/ dashboard/ skeleton wired to a Makefile.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Ingest: pull the GitHub per-year CSVs (spine), the Kaggle enrichment CSV via kagglehub, the current-year Wikipedia table via pandas.read_html, and optional SEC/yfinance fundamentals; cache every raw payload with retries.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Land raw in DuckDB verbatim (raw_* schema) preserving source columns and adding source + ingested_at metadata for lineage.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Clean &amp; normalize (staging): standardize column names and types, normalize units to USD millions, standardize sector/industry labels via a mapping table, and split HQ into city + state.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Entity resolution across years: resolve name variants (M&amp;A, rebrands, punctuation) to a stable company_id via normalized-name matching plus a manual alias/override table.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Model the warehouse (marts): fact_company_year (company x year) + dim_company, with SQL window functions deriving net_margin, ROA, revenue_per_employee, rank_change, and entered/exited churn flags.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Data-quality gates: pandera checks (exactly 500 ranks per year, non-null keys, non-negative financials, valid sector enum, no duplicate company-year) that fail the pipeline loudly.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Analyses: size-vs-profitability (Pearson/Spearman + regression), sector profitability &amp; efficiency (+ Damodaran benchmarks), concentration &amp; geography (HHI, HQ maps), and churn &amp; rank dynamics.</w:t>
      </w:r>
    </w:p>
    <w:p>
      <w:pPr>
        <w:pStyle w:val="ListParagraph"/>
        <w:numPr>
          <w:ilvl w:val="0"/>
          <w:numId w:val="9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Visualize &amp; ship: static figures for the report, then a Streamlit app (KPI cards + interactive views) reading from DuckDB; add pytest + a GitHub Actions smoke pipeline and a documented README.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visualizations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Size-vs-margin scatter: revenue (log x) vs net margin, colored by sector, with a trend line and outlier callouts - the visual answer to is-bigger-more-profitable.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Sector-profitability boxplot/violin of net margin (and ROA) by sector, with Damodaran industry-benchmark markers overlaid.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Revenue-per-employee ranked bar by sector (log-scaled), highlighting the extreme high and low ends.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Concentration trend lines: top-10/25/50 revenue share and an HHI series over the panel years.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US-state HQ choropleth (Plotly) shaded by number of Fortune 500 HQs, with revenue/employee toggles and a top-metros bar.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Year-over-year churn chart: stacked entrants vs exits with an overlaid churn-rate line, plus churn-by-sector small-multiples.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Rank-movement bump/slope chart of top gainers and decliners, animated by year in the dashboard.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Verified datasets</w:t>
      </w:r>
    </w:p>
    <w:tbl>
      <w:tblPr>
        <w:tblW w:type="dxa" w:w="9360"/>
        <w:tblBorders>
          <w:top w:val="none"/>
          <w:left w:val="none"/>
          <w:bottom w:val="single" w:color="D8DEE5" w:sz="4"/>
          <w:right w:val="none"/>
          <w:insideH w:val="single" w:color="D8DEE5" w:sz="4"/>
          <w:insideV w:val="none"/>
        </w:tblBorders>
      </w:tblPr>
      <w:tblGrid>
        <w:gridCol w:w="2500"/>
        <w:gridCol w:w="4160"/>
        <w:gridCol w:w="2700"/>
      </w:tblGrid>
      <w:tr>
        <w:trPr>
          <w:tblHeader/>
        </w:trPr>
        <w:tc>
          <w:tcPr>
            <w:tcW w:type="dxa" w:w="25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Fortune 500 multi-year CSV</w:t>
            </w:r>
          </w:p>
          <w:p>
            <w:pPr>
              <w:spacing w:after="0" w:line="248"/>
            </w:pPr>
            <w:r>
              <w:rPr>
                <w:rFonts w:ascii="Arial" w:cs="Arial" w:eastAsia="Arial" w:hAnsi="Arial"/>
                <w:color w:val="6B7680"/>
                <w:sz w:val="16"/>
                <w:szCs w:val="16"/>
              </w:rPr>
              <w:t xml:space="preserve">cmusam/fortune500 (GitHub)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Longitudinal spine → DuckDB base fact table (company-year grain)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key. </w:t>
            </w:r>
            <w:r>
              <w:rPr>
                <w:rFonts w:ascii="Arial" w:cs="Arial" w:eastAsia="Arial" w:hAnsi="Arial"/>
                <w:b/>
                <w:bCs/>
                <w:color w:val="B4884D"/>
                <w:sz w:val="19"/>
                <w:szCs w:val="19"/>
              </w:rPr>
              <w:t xml:space="preserve">Combined URL 404s — use per-year files</w:t>
            </w: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; pin a commit SHA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Kaggle Fortune 500 / 1000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Enrichment: sector, industry, HQ, employees, market cap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Free account + API token; prefer CC0/CC BY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Wikipedia (largest US cos.)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Current-year refresh &amp; cross-check (~top 100)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pandas.read_html, no key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SEC EDGAR XBRL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Validation/stretch: audited revenue/net income/assets for public firms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key; User-Agent required; public filers only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Damodaran NYU Stern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Per-industry benchmark margins/ROC to contextualize sectors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Direct .xls; mapping table for taxonomy</w:t>
            </w:r>
          </w:p>
        </w:tc>
      </w:tr>
    </w:tbl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CV bullet points (honest, quantified)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Engineered a reproducible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Python + DuckDB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pipeline ingesting and reconciling 4+ heterogeneous free sources into a layered warehouse (raw → staging → marts) covering ~10 years × 500 companies (~5,000 company-year records).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Built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cross-year entity resolution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and unit-normalization logic to track firms through rebrands and M&amp;A, enabling year-over-year rank-change, survival, and churn analysis.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Modeled a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fact/dimension schema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and used SQL window functions to derive net margin, ROA, revenue-per-employee, rank_change and churn flags — quantifying that revenue-per-employee spans ~20× across sectors.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Ran a size-vs-profitability analysis (Pearson/Spearman + per-sector regression) showing net margin largely decouples from scale, benchmarked against Damodaran datasets.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Shipped an interactive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Streamlit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dashboard (US-state HQ choropleth, concentration &amp; churn views) with pandera gates, pytest, typed config, and GitHub Actions CI.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Skills demonstrated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Data-engineering / ELT design (multi-source ingestion, raw to staging to marts); DuckDB and analytical SQL (window functions, HHI/correlation queries); dimensional data modeling (fact/dimension, grain); entity resolution and cross-time data cleaning; web scraping and REST API integration (Wikipedia, SEC EDGAR, yfinance, Kaggle); reproducible analytics engineering (Makefile, pinned sources); pandera + pytest data-quality testing; correlation/regression and concentration/churn analysis; matplotlib/Plotly/Streamlit; financial-statement literacy and benchmarking; software-engineering hygiene (typed config, CI/CD, linting, documentation).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risks &amp; gotchas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Fortune's rankings are proprietary editorial data — the GitHub/Kaggle CSVs are community reproductions; cite them as such.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Hardcoded source URLs drift and 404 — pin a commit SHA / dataset version and mirror raw data into the repo.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Employees/sector/industry/HQ columns are inconsistently present across years — enrich the current year well; document sparser history.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Fortune figures use company-specific fiscal conventions — they will not tie exactly to SEC/yfinance; frame those as a validation layer.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Sector taxonomies differ across sources — a crosswalk table is required (and is itself a skill to showcase).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Extensions (stretch goals)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the Global 500 as a parallel panel (US vs rest-of-world sector mix, margins, geographic concentration).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Full SEC EDGAR reconciliation: pull audited figures via the XBRL frames API and quantify divergence from Fortune's numbers as a data-quality chapter.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Inflation-adjust the panel with a free CPI or GDP-deflator series.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Layer market data via yfinance for a market-cap-to-revenue and valuation-vs-fundamentals angle.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Publish the marts as Parquet and expose a small read-only FastAPI or public DuckDB/MotherDuck share.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a predictive model estimating the probability a firm exits the list next year, evaluated out-of-sample.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Automate an annual refresh via a scheduled GitHub Action that re-scrapes and rebuilds the warehouse.</w:t>
      </w:r>
    </w:p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Project 4 — Cloud, ERP &amp; AI Vendor Intelligence</w:t>
      </w:r>
    </w:p>
    <w:p>
      <w:pPr>
        <w:spacing w:after="60" w:before="0" w:line="264"/>
      </w:pPr>
      <w:r>
        <w:rPr>
          <w:rFonts w:ascii="Arial" w:cs="Arial" w:eastAsia="Arial" w:hAnsi="Arial"/>
          <w:i/>
          <w:iCs/>
          <w:color w:val="6B7680"/>
          <w:sz w:val="21"/>
          <w:szCs w:val="21"/>
        </w:rPr>
        <w:t xml:space="preserve">Segment Revenue, Implied Market Share, and Security-Risk Exposure</w:t>
      </w:r>
    </w:p>
    <w:tbl>
      <w:tblPr>
        <w:tblW w:type="dxa" w:w="9360"/>
        <w:tblBorders>
          <w:top w:val="none"/>
          <w:left w:val="single" w:color="B4884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Advanced capstone — the original “Agentic AI, ERP &amp; Cloud” idea refined into a defensible, differentiated scope.</w:t>
            </w:r>
          </w:p>
        </w:tc>
      </w:tr>
    </w:tbl>
    <w:p>
      <w:pPr>
        <w:spacing w:after="60" w:before="120" w:line="264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Difficulty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Advanced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Effort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~60–90h     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Data 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★★★☆☆ (CPE attribution is hard)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The interview story</w:t>
      </w:r>
    </w:p>
    <w:p>
      <w:pPr>
        <w:spacing w:after="120" w:before="0" w:line="264"/>
      </w:pPr>
      <w:r>
        <w:rPr>
          <w:rFonts w:ascii="Arial" w:cs="Arial" w:eastAsia="Arial" w:hAnsi="Arial"/>
          <w:i/>
          <w:iCs/>
          <w:color w:val="232A31"/>
          <w:sz w:val="22"/>
          <w:szCs w:val="22"/>
        </w:rPr>
        <w:t xml:space="preserve">“The enterprise-tech vendors compounding revenue fastest are also accumulating the most severe, most-exploited vulnerabilities — here is that trade-off, measured, with every number traceable to a primary-source filing or a government vulnerability record.”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Scope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~10 named vendors (MSFT, AMZN, GOOGL, ORCL, CRM, SAP, NOW, SNOW, + optional IBM, WDAY), FY2016–present, across three linked pillars.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A — Financial performance: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reportable-segment revenue &amp; growth from SEC EDGAR XBRL.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B — Implied market position: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because true share reports are paywalled, compute a revenue-mix view within the peer set and corroborate with free developer-adoption signals.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C — Security exposure: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per-vendor CVE counts, CVSS severity, and actively-exploited rate from NVD + CISA KEV. The capstone tests one hypothesis — is faster cloud-revenue growth associated with a heavier severe/exploited vulnerability load? An honesty constraint is baked in: AWS is a clean segment but Azure &amp; GCP disclose growth-% only, treated as a first-class data-quality problem.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Analytical questions</w:t>
      </w:r>
    </w:p>
    <w:p>
      <w:pPr>
        <w:pStyle w:val="ListParagraph"/>
        <w:numPr>
          <w:ilvl w:val="0"/>
          <w:numId w:val="10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How has reportable cloud/ERP segment revenue &amp; growth evolved, and how does AWS's clean disclosure compare to Microsoft's blended reporting and Google Cloud's segment line?</w:t>
      </w:r>
    </w:p>
    <w:p>
      <w:pPr>
        <w:pStyle w:val="ListParagraph"/>
        <w:numPr>
          <w:ilvl w:val="0"/>
          <w:numId w:val="10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Where does the analysis hit the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disclosure wall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— which cloud lines have no standalone dollar figure, only growth percentages?</w:t>
      </w:r>
    </w:p>
    <w:p>
      <w:pPr>
        <w:pStyle w:val="ListParagraph"/>
        <w:numPr>
          <w:ilvl w:val="0"/>
          <w:numId w:val="10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Do free adoption signals (Stack Overflow tool usage, GH Archive activity) corroborate or contradict the revenue-based momentum ranking?</w:t>
      </w:r>
    </w:p>
    <w:p>
      <w:pPr>
        <w:pStyle w:val="ListParagraph"/>
        <w:numPr>
          <w:ilvl w:val="0"/>
          <w:numId w:val="10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Which vendors carry the largest CVE burden in NVD, and how has their CVSS severity mix shifted year over year?</w:t>
      </w:r>
    </w:p>
    <w:p>
      <w:pPr>
        <w:pStyle w:val="ListParagraph"/>
        <w:numPr>
          <w:ilvl w:val="0"/>
          <w:numId w:val="10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What fraction of each vendor's CVEs appear in the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CISA KEV catalog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(actively exploited), and who has the highest exploited rate?</w:t>
      </w:r>
    </w:p>
    <w:p>
      <w:pPr>
        <w:pStyle w:val="ListParagraph"/>
        <w:numPr>
          <w:ilvl w:val="0"/>
          <w:numId w:val="10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Is faster cloud-revenue growth statistically associated (Spearman) with a heavier severe/exploited load across the covered vendors?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Methodology (pipeline)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Define config: covered vendors with their ticker, SEC CIK, and NVD CPE vendor string(s), plus the study window and severity buckets, in a versioned config.yaml.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Ingest financials: map tickers to CIK via SEC company_tickers.json, then pull companyfacts for total and reportable-segment revenue &amp; operating income; record where segment dollars are unavailable (Azure/GCP) as an is_disclosed flag.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Ingest security data: page the NVD 2.0 API per vendor via CPE (API key, backoff, local cache); download the CISA KEV catalog; optionally clone a subset of MITRE cvelistV5 for cross-check.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Ingest adoption signals: harmonize Stack Overflow survey CSVs across years; optionally aggregate GH Archive activity via BigQuery; pull a yfinance price panel.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Build the DuckDB warehouse in layers: raw, staging (typed, vendor-name-normalized), and marts (segment_financials, cve_by_vendor_severity_year, kev_by_vendor, vendor_scorecard).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Normalize vendor identity: reconcile ticker vs NVD CPE vendorProject vs KEV vendorProject via a curated crosswalk; validate on a sample and document attribution error.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Pillar A metrics: YoY growth, multi-year CAGR, and revenue mix within the covered peer set; annotate disclosure gaps.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Pillar C metrics: per-vendor CVE counts, CVSS severity distribution by year, KEV exploited rate, publication-to-KEV lag, and ransomware-linked share.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Pillar B corroboration: survey tool-usage share trend (and optional GH Archive activity) per vendor vs the revenue-momentum ranking.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Capstone join &amp; hypothesis test: build the vendor scorecard joining growth to severe/exploited load; report Spearman correlation and a transparent ranked table (labeled associational, not causal).</w:t>
      </w:r>
    </w:p>
    <w:p>
      <w:pPr>
        <w:pStyle w:val="ListParagraph"/>
        <w:numPr>
          <w:ilvl w:val="0"/>
          <w:numId w:val="11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Data-quality gate + ship: pandera checks and pytest transforms before publishing marts; then a Streamlit dashboard, a written report with caveats, and a Makefile/README for one-command reproduction.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visualizations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Small-multiple line charts of segment revenue and YoY growth per vendor, marking lines that are growth-only with no disclosed dollars (Azure/GCP).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100-percent-stacked bar of implied revenue mix within the covered peer set over time (with a not-total-market-share disclaimer).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Heatmap of CVE count by vendor x year, plus a companion CVSS-severity-share heatmap.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Diverging bar ranking vendors by KEV exploited rate (share of their CVEs that became actively exploited).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Histogram/box of publication-to-KEV lag (days), faceted by vendor.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Capstone scatter: cloud-revenue CAGR vs severe-or-exploited vulnerability load, one point per vendor, with Spearman r annotated.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Streamlit vendor scorecard: financial KPIs, security KPIs, severity mix, KEV timeline, and a composite risk-vs-growth badge.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Verified datasets</w:t>
      </w:r>
    </w:p>
    <w:tbl>
      <w:tblPr>
        <w:tblW w:type="dxa" w:w="9360"/>
        <w:tblBorders>
          <w:top w:val="none"/>
          <w:left w:val="none"/>
          <w:bottom w:val="single" w:color="D8DEE5" w:sz="4"/>
          <w:right w:val="none"/>
          <w:insideH w:val="single" w:color="D8DEE5" w:sz="4"/>
          <w:insideV w:val="none"/>
        </w:tblBorders>
      </w:tblPr>
      <w:tblGrid>
        <w:gridCol w:w="2500"/>
        <w:gridCol w:w="4160"/>
        <w:gridCol w:w="2700"/>
      </w:tblGrid>
      <w:tr>
        <w:trPr>
          <w:tblHeader/>
        </w:trPr>
        <w:tc>
          <w:tcPr>
            <w:tcW w:type="dxa" w:w="25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NVD CVE API 2.0 (NIST)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Primary security dataset: CVEs per vendor via CPE; CVSS severity + dates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232A31"/>
                <w:sz w:val="19"/>
                <w:szCs w:val="19"/>
              </w:rPr>
              <w:t xml:space="preserve">Free API key recommended</w:t>
            </w: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 (raises rate limit 5 → 50 / 30s)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CISA KEV catalog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Flags actively-exploited CVEs; per-vendor exploited rate &amp; lag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JSON/CSV, no key, no rate limit; CC0 mirror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SEC EDGAR XBRL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Primary financials (Pillar A): total &amp; segment revenue/operating income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key; </w:t>
            </w:r>
            <w:r>
              <w:rPr>
                <w:rFonts w:ascii="Arial" w:cs="Arial" w:eastAsia="Arial" w:hAnsi="Arial"/>
                <w:b/>
                <w:bCs/>
                <w:color w:val="232A31"/>
                <w:sz w:val="19"/>
                <w:szCs w:val="19"/>
              </w:rPr>
              <w:t xml:space="preserve">User-Agent required</w:t>
            </w: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; segment tags a known gap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Stack Overflow Developer Survey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Pillar B corroboration: YoY tool-usage share vs. revenue momentum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Free, no key; columns change yearly — harmonize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GH Archive; yfinance; MITRE cvelistV5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Optional: mindshare proxy; equity panel; CVE fallback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BigQuery free tier / cached / shallow clone</w:t>
            </w:r>
          </w:p>
        </w:tc>
      </w:tr>
    </w:tbl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CV bullet points (honest, quantified)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Built an end-to-end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Python + DuckDB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pipeline integrating 4 primary-source datasets (SEC EDGAR XBRL, NVD CVE API, CISA KEV, Stack Overflow Survey) to quantify the trade-off between cloud-revenue growth and disclosed security-risk exposure across ~10 vendors over a 9-year window.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Engineered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rate-limited, cached API ingestion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(NVD 50 req/30s with key, SEC 10 req/s with compliant User-Agent) and a layered DuckDB warehouse reproducible with a single make command.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Reconstructed reportable-segment revenue from XBRL and surfaced a real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disclosure asymmetry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(AWS clean segment vs. Azure/GCP growth-% only), treating segment-tag coverage as a first-class data-quality problem.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Attributed 10k+ CVEs to vendors via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CPE matching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, joined to CISA KEV to compute a per-vendor actively-exploited rate and publication-to-exploitation lag, and tested (Spearman) the growth-vs-risk hypothesis.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Shipped a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Streamlit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vendor scorecard plus pandera checks, pytest, GitHub Actions CI, and a documented licensing/limitations section per source.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Skills demonstrated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Financial-statement literacy (10-K/10-Q reportable-segment disclosures and us-gaap XBRL tags); REST API engineering (pagination, rate-limit handling, API-key auth, retry/backoff, caching); DuckDB modeling and multi-source joins; entity resolution (ticker vs CPE vs KEV crosswalk); data-quality engineering in CI; analytical honesty (measured vs proxy, associational vs causal, disclosure gaps); cybersecurity data fluency (CVE/CVSS/CPE and the CISA KEV model); Streamlit dashboards + narrative reporting; reproducible research tooling; clear technical communication.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Key risks &amp; gotchas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Cloud segment asymmetry — do NOT fabricate Azure/GCP dollar revenue; model the gap with an is_disclosed flag.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CPE-based vendor attribution is imperfect — per-vendor CVE counts are estimates; validate on a sample and report attribution error.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XBRL segment tags are not standardized — you may need to parse the 10-K segment note for some vendors.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Market-share data is paywalled (Synergy/Canalys/Gartner/Statista) — use public press-release headlines as context only, never as a dataset.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Keep scope to ~10 vendors — expanding the CPE/CIK crosswalk balloons the entity-resolution effort.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Extensions (stretch goals)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an event-study module correlating spikes in a vendor's KEV additions with short-window equity returns (caveated, non-causal).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Extend the adoption signal with the Hugging Face Hub API and Papers-with-Code to trace agentic-AI framework momentum.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Run NLP on 10-K Risk Factors cybersecurity language to build a disclosed-cyber-risk text score vs the actual KEV exploited rate.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Build an incremental daily refresh (KEV + NVD modified deltas) and publish the dashboard via a scheduled GitHub Action.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Add SSVC / EPSS exploit-prediction enrichment to prioritize vulnerabilities by likely exploitation.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color w:val="232A31"/>
          <w:sz w:val="20"/>
          <w:szCs w:val="20"/>
        </w:rPr>
        <w:t xml:space="preserve">Package the vendor crosswalk and CVE-attribution logic as a reusable pip-installable module.</w:t>
      </w:r>
    </w:p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Master Dataset Reference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Every source was verified free and accessible.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Open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= no account; </w:t>
      </w: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free key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= free, instant registration.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Fully open (no account)</w:t>
      </w:r>
    </w:p>
    <w:tbl>
      <w:tblPr>
        <w:tblW w:type="dxa" w:w="9360"/>
        <w:tblBorders>
          <w:top w:val="none"/>
          <w:left w:val="none"/>
          <w:bottom w:val="single" w:color="D8DEE5" w:sz="4"/>
          <w:right w:val="none"/>
          <w:insideH w:val="single" w:color="D8DEE5" w:sz="4"/>
          <w:insideV w:val="none"/>
        </w:tblBorders>
      </w:tblPr>
      <w:tblGrid>
        <w:gridCol w:w="2800"/>
        <w:gridCol w:w="1900"/>
        <w:gridCol w:w="46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SEC EDGAR XBRL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Luxury, F500, Cloud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User-Agent: name email header required; 10 req/s; US filers only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NVD CVE API 2.0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Cloud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Free key optional but recommended (5 → 50 req/30s)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CISA KEV catalog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Cloud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key, no rate limit; GitHub mirror CC0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Our World in Data — COVID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Post-COVID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Direct CSV; frozen 19-Aug-2024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Damodaran NYU Stern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Luxury, F500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Direct .xls; URLs overwritten each January — pin file + date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Wikipedia (largest US cos.)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Fortune 500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pandas.read_html; ~top 100 only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Stack Overflow Survey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Cloud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ODbL; columns change yearly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World Bank Open Data API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Luxury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key; paginated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Bain × Altagamma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Luxury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Free press releases only (full decks gated)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yfinance (Yahoo Finance)</w:t>
            </w:r>
          </w:p>
        </w:tc>
        <w:tc>
          <w:tcPr>
            <w:tcW w:type="dxa" w:w="19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All four</w:t>
            </w:r>
          </w:p>
        </w:tc>
        <w:tc>
          <w:tcPr>
            <w:tcW w:type="dxa" w:w="46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No key; fragile (HTTP 429) — fetch once, cache to Parquet</w:t>
            </w:r>
          </w:p>
        </w:tc>
      </w:tr>
    </w:tbl>
    <w:p>
      <w:pPr>
        <w:spacing w:after="120" w:line="20"/>
      </w:pPr>
      <w:r>
        <w:rPr>
          <w:rFonts w:ascii="Arial" w:cs="Arial" w:eastAsia="Arial" w:hAnsi="Arial"/>
          <w:color w:val="232A31"/>
          <w:sz w:val="22"/>
          <w:szCs w:val="22"/>
        </w:rPr>
        <w:t xml:space="preserve"/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Free but needs an instant free key</w:t>
      </w:r>
    </w:p>
    <w:tbl>
      <w:tblPr>
        <w:tblW w:type="dxa" w:w="9360"/>
        <w:tblBorders>
          <w:top w:val="none"/>
          <w:left w:val="none"/>
          <w:bottom w:val="single" w:color="D8DEE5" w:sz="4"/>
          <w:right w:val="none"/>
          <w:insideH w:val="single" w:color="D8DEE5" w:sz="4"/>
          <w:insideV w:val="none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Sign-up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B4884D" w:sz="12"/>
              <w:right w:val="none"/>
            </w:tcBorders>
            <w:shd w:fill="16324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Limit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FRED (Federal Reserve)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fredaccount.stlouisfed.org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~120 req/min; use fredapi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BEA GDP-by-Industry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apps.bea.gov/api/signup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DataSetName=GDPbyIndustry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BLS Public Data API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bls.gov/developers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8DEE5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500 queries/day (many series also on FRED)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Kaggle datasets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kaggle.com + API token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8DEE5" w:sz="4"/>
              <w:right w:val="none"/>
            </w:tcBorders>
            <w:shd w:fill="EEF3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32A31"/>
                <w:sz w:val="19"/>
                <w:szCs w:val="19"/>
              </w:rPr>
              <w:t xml:space="preserve">Prefer CC0/CC BY; pin slug + version</w:t>
            </w:r>
          </w:p>
        </w:tc>
      </w:tr>
    </w:tbl>
    <w:p>
      <w:pPr>
        <w:spacing w:after="120" w:line="20"/>
      </w:pPr>
      <w:r>
        <w:rPr>
          <w:rFonts w:ascii="Arial" w:cs="Arial" w:eastAsia="Arial" w:hAnsi="Arial"/>
          <w:color w:val="232A31"/>
          <w:sz w:val="22"/>
          <w:szCs w:val="22"/>
        </w:rPr>
        <w:t xml:space="preserve"/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Corrections found during verification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Stooq direct CSV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is now blocked by a JavaScript anti-bot wall → use yfinance / pandas-datareader and cache.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Fortune 500 combined CSV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404s → the cmusam/fortune500 repo stores per-year files; concatenate and pin a commit SHA.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Financial Modeling Prep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 free endpoints changed/limited → SEC EDGAR XBRL covers the same ground truth for free.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Paywalled — excluded (do not scrape)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Statista · Macrotrends (ToS forbids bots) · stockanalysis.com (no API) · full Gartner / Canalys / Synergy / IDC reports. Use SEC filings + free Bain/Altagamma headlines + revenue-mix / adoption proxies instead.</w:t>
      </w:r>
    </w:p>
    <w:p>
      <w:pPr>
        <w:pStyle w:val="Heading1"/>
        <w:pageBreakBefore/>
        <w:pBdr>
          <w:bottom w:val="single" w:color="B4884D" w:sz="10" w:space="6"/>
        </w:pBdr>
        <w:spacing w:after="60" w:before="0" w:line="264"/>
      </w:pPr>
      <w:r>
        <w:rPr>
          <w:rFonts w:ascii="Arial" w:cs="Arial" w:eastAsia="Arial" w:hAnsi="Arial"/>
          <w:b/>
          <w:bCs/>
          <w:color w:val="16324F"/>
          <w:sz w:val="30"/>
          <w:szCs w:val="30"/>
        </w:rPr>
        <w:t xml:space="preserve">Production Playbook &amp; CV Guidance</w:t>
      </w:r>
    </w:p>
    <w:p>
      <w:pPr>
        <w:spacing w:after="120" w:before="0" w:line="264"/>
      </w:pPr>
      <w:r>
        <w:rPr>
          <w:rFonts w:ascii="Arial" w:cs="Arial" w:eastAsia="Arial" w:hAnsi="Arial"/>
          <w:color w:val="232A31"/>
          <w:sz w:val="22"/>
          <w:szCs w:val="22"/>
        </w:rPr>
        <w:t xml:space="preserve">The four projects share one production skeleton, so the cost drops after the first. These are the signals that separate “engineer” from “notebook tinkerer.”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Repository structure</w:t>
      </w:r>
    </w:p>
    <w:tbl>
      <w:tblPr>
        <w:tblW w:type="dxa" w:w="9360"/>
        <w:tblBorders>
          <w:top w:val="single" w:color="D8DEE5" w:sz="4"/>
          <w:left w:val="single" w:color="D8DEE5" w:sz="4"/>
          <w:bottom w:val="single" w:color="D8DEE5" w:sz="4"/>
          <w:right w:val="single" w:color="D8DEE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project-name/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README.md                # pitch · problem · findings + screenshots · run steps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pyproject.toml  uv.lock  # deps + ruff/pytest config, pinned lockfile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Makefile                 # setup / data / build / test / lint / dashboard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.env.example             # documents env vars (NO secrets committed)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.github/workflows/ci.yml # ruff + pytest on push/PR  -&gt;  green badge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config/config.yaml       # paths, date range, tickers, seed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data/  (git-ignored)     # raw/  staging/  mart/   (bronze / silver / gold)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sql/staging/  sql/mart/  # DuckDB SQL per layer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src/&lt;pkg&gt;/               # config ingest transform schemas warehouse viz pipeline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tests/test_transform.py  # pytest over pure transforms + a tiny fixture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32A31"/>
                <w:sz w:val="17"/>
                <w:szCs w:val="17"/>
              </w:rPr>
              <w:t xml:space="preserve">  dashboard/app.py         # Streamlit reading the mart layer</w:t>
            </w:r>
          </w:p>
        </w:tc>
      </w:tr>
    </w:tbl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Non-negotiables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Never commit data.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Commit the download script + a tiny sample fixture so tests/CI run offline.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Layer explicitly: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raw (immutable) → staging (cleaned/typed Parquet) → mart (analysis-ready). Name folders this way.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Use SQL and pandas: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heavy joins/aggregations in DuckDB SQL; light reshaping in pandas.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Pure transform functions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(DataFrame in → DataFrame out, no I/O) so they are unit-testable.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pandera validation between layers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— bad data fails loudly, and “data quality is tested” becomes literally true.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README is the product: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pitch → problem → data → approach → findings with 2–3 numbers → screenshots → reproduce. A recruiter must get it in 30 seconds.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Ship a live dashboard.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A Streamlit Community Cloud link at the top of the README beats any amount of text.</w:t>
      </w:r>
    </w:p>
    <w:p>
      <w:pPr>
        <w:pStyle w:val="Heading3"/>
        <w:keepNext/>
        <w:spacing w:after="30" w:before="160" w:line="264"/>
      </w:pPr>
      <w:r>
        <w:rPr>
          <w:rFonts w:ascii="Arial" w:cs="Arial" w:eastAsia="Arial" w:hAnsi="Arial"/>
          <w:b/>
          <w:bCs/>
          <w:caps/>
          <w:color w:val="2C6E9B"/>
          <w:sz w:val="21"/>
          <w:szCs w:val="21"/>
        </w:rPr>
        <w:t xml:space="preserve">How to phrase these on a finance CV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Formula: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[Action verb] + [what you built] + [tech] + [quantified result]. Title each project like a role: “Post-COVID Sector Rotation — Python, DuckDB, Streamlit (personal project).”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Quantify everything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(rows, runtime, %, counts) — only ~30% of analyst resumes carry numbers; it is the biggest screen-out gap. Qualify estimates with “~”.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Spell out the stack for ATS: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Python (pandas, NumPy, matplotlib), SQL (DuckDB), Parquet, pandera, pytest, GitHub Actions, Streamlit.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Honest finance keywords: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financial modeling, time-series, ETL, data validation, backtesting, reconciliation, comps/valuation.</w:t>
      </w:r>
    </w:p>
    <w:p>
      <w:pPr>
        <w:pStyle w:val="ListParagraph"/>
        <w:numPr>
          <w:ilvl w:val="0"/>
          <w:numId w:val="5"/>
        </w:numPr>
        <w:spacing w:after="70" w:line="258"/>
      </w:pPr>
      <w:r>
        <w:rPr>
          <w:rFonts w:ascii="Arial" w:cs="Arial" w:eastAsia="Arial" w:hAnsi="Arial"/>
          <w:b/>
          <w:bCs/>
          <w:color w:val="232A31"/>
          <w:sz w:val="22"/>
          <w:szCs w:val="22"/>
        </w:rPr>
        <w:t xml:space="preserve">Link both </w:t>
      </w:r>
      <w:r>
        <w:rPr>
          <w:rFonts w:ascii="Arial" w:cs="Arial" w:eastAsia="Arial" w:hAnsi="Arial"/>
          <w:color w:val="232A31"/>
          <w:sz w:val="22"/>
          <w:szCs w:val="22"/>
        </w:rPr>
        <w:t xml:space="preserve">the GitHub repo and the live dashboard directly on the CV.</w:t>
      </w:r>
    </w:p>
    <w:p>
      <w:pPr>
        <w:spacing w:after="80" w:line="20"/>
      </w:pPr>
      <w:r>
        <w:rPr>
          <w:rFonts w:ascii="Arial" w:cs="Arial" w:eastAsia="Arial" w:hAnsi="Arial"/>
          <w:color w:val="232A31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single" w:color="B4884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DD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32A31"/>
                <w:sz w:val="22"/>
                <w:szCs w:val="22"/>
              </w:rPr>
              <w:t xml:space="preserve">Avoid: </w:t>
            </w:r>
            <w:r>
              <w:rPr>
                <w:rFonts w:ascii="Arial" w:cs="Arial" w:eastAsia="Arial" w:hAnsi="Arial"/>
                <w:color w:val="232A31"/>
                <w:sz w:val="22"/>
                <w:szCs w:val="22"/>
              </w:rPr>
              <w:t xml:space="preserve">committing raw data · one giant messy notebook with hardcoded /Users/you/ paths · a README that never states the finding · toy datasets (Titanic/Iris) · no tests or CI · no quantified results · stopping at analysis with no deployed artifact · 15 shallow repos instead of 3–5 deep ones.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5" w:sz="4" w:space="6"/>
      </w:pBdr>
      <w:tabs>
        <w:tab w:val="right" w:pos="9360"/>
      </w:tabs>
    </w:pPr>
    <w:r>
      <w:rPr>
        <w:rFonts w:ascii="Arial" w:cs="Arial" w:eastAsia="Arial" w:hAnsi="Arial"/>
        <w:color w:val="6B7680"/>
        <w:sz w:val="16"/>
        <w:szCs w:val="16"/>
      </w:rPr>
      <w:t xml:space="preserve">Finance Data-Analysis Portfolio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B488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6324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A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300"/>
      <w:outlineLvl w:val="0"/>
    </w:pPr>
    <w:rPr>
      <w:rFonts w:ascii="Arial" w:cs="Arial" w:eastAsia="Arial" w:hAnsi="Arial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40" w:before="220"/>
      <w:outlineLvl w:val="1"/>
    </w:pPr>
    <w:rPr>
      <w:rFonts w:ascii="Arial" w:cs="Arial" w:eastAsia="Arial" w:hAnsi="Arial"/>
      <w:b/>
      <w:bCs/>
      <w:color w:val="16324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30" w:before="160"/>
      <w:outlineLvl w:val="2"/>
    </w:pPr>
    <w:rPr>
      <w:rFonts w:ascii="Arial" w:cs="Arial" w:eastAsia="Arial" w:hAnsi="Arial"/>
      <w:b/>
      <w:bCs/>
      <w:color w:val="2C6E9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Data-Analysis Portfolio</dc:title>
  <dc:creator>Finance Portfolio Brief</dc:creator>
  <cp:lastModifiedBy>Un-named</cp:lastModifiedBy>
  <cp:revision>1</cp:revision>
  <dcterms:created xsi:type="dcterms:W3CDTF">2026-07-02T10:03:26.788Z</dcterms:created>
  <dcterms:modified xsi:type="dcterms:W3CDTF">2026-07-02T10:03:26.793Z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