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Prata" w:cs="Prata" w:eastAsia="Prata" w:hAnsi="Prata"/>
          <w:color w:val="7A644F"/>
          <w:spacing w:val="200"/>
          <w:sz w:val="18"/>
          <w:szCs w:val="18"/>
        </w:rPr>
        <w:t xml:space="preserve">THE GLOBAL SANCTUM</w:t>
      </w:r>
    </w:p>
    <w:p>
      <w:pPr>
        <w:spacing w:after="200"/>
      </w:pPr>
      <w:r>
        <w:rPr>
          <w:rFonts w:ascii="Prata" w:cs="Prata" w:eastAsia="Prata" w:hAnsi="Prata"/>
          <w:color w:val="5C4033"/>
          <w:sz w:val="30"/>
          <w:szCs w:val="30"/>
        </w:rPr>
        <w:t xml:space="preserve">Analytics Dashboard — Data Source Mapping</w:t>
      </w:r>
    </w:p>
    <w:p>
      <w:pPr>
        <w:spacing w:after="80"/>
      </w:pPr>
      <w:r>
        <w:rPr>
          <w:rFonts w:ascii="Inter" w:cs="Inter" w:eastAsia="Inter" w:hAnsi="Inter"/>
          <w:b w:val="false"/>
          <w:bCs w:val="false"/>
          <w:i w:val="false"/>
          <w:iCs w:val="false"/>
          <w:color w:val="8B7355"/>
          <w:sz w:val="16"/>
          <w:szCs w:val="16"/>
        </w:rPr>
        <w:t xml:space="preserve">Mockup: TGS_Internal_Portal_Analytics.html (1,638 lines)</w:t>
      </w:r>
    </w:p>
    <w:p>
      <w:pPr>
        <w:spacing w:after="80"/>
      </w:pPr>
      <w:r>
        <w:rPr>
          <w:rFonts w:ascii="Inter" w:cs="Inter" w:eastAsia="Inter" w:hAnsi="Inter"/>
          <w:b w:val="false"/>
          <w:bCs w:val="false"/>
          <w:i w:val="false"/>
          <w:iCs w:val="false"/>
          <w:color w:val="8B7355"/>
          <w:sz w:val="16"/>
          <w:szCs w:val="16"/>
        </w:rPr>
        <w:t xml:space="preserve">Type: Platform-wide admin dashboard (NOT a per-venue tab)</w:t>
      </w:r>
    </w:p>
    <w:p>
      <w:pPr>
        <w:spacing w:after="80"/>
      </w:pPr>
      <w:r>
        <w:rPr>
          <w:rFonts w:ascii="Inter" w:cs="Inter" w:eastAsia="Inter" w:hAnsi="Inter"/>
          <w:b w:val="false"/>
          <w:bCs w:val="false"/>
          <w:i w:val="false"/>
          <w:iCs w:val="false"/>
          <w:color w:val="8B7355"/>
          <w:sz w:val="16"/>
          <w:szCs w:val="16"/>
        </w:rPr>
        <w:t xml:space="preserve">Date: 16 February 2026  |  Version 1  |  For: JR (Developer)</w:t>
      </w:r>
    </w:p>
    <w:p>
      <w:pPr>
        <w:pBdr>
          <w:bottom w:val="single" w:color="7A644F" w:sz="1" w:space="8"/>
        </w:pBdr>
        <w:spacing w:after="250"/>
      </w:pPr>
    </w:p>
    <w:p>
      <w:pPr>
        <w:pBdr>
          <w:bottom w:val="single" w:color="7A644F" w:sz="1" w:space="6"/>
        </w:pBdr>
        <w:spacing w:before="300" w:after="120"/>
      </w:pPr>
      <w:r>
        <w:rPr>
          <w:rFonts w:ascii="Prata" w:cs="Prata" w:eastAsia="Prata" w:hAnsi="Prata"/>
          <w:color w:val="5C4033"/>
          <w:sz w:val="26"/>
          <w:szCs w:val="26"/>
        </w:rPr>
        <w:t xml:space="preserve">Architecture Overview</w:t>
      </w:r>
    </w:p>
    <w:p>
      <w:pPr>
        <w:spacing w:after="120"/>
      </w:pPr>
      <w:r>
        <w:rPr>
          <w:rFonts w:ascii="Inter" w:cs="Inter" w:eastAsia="Inter" w:hAnsi="Inter"/>
          <w:b w:val="false"/>
          <w:bCs w:val="false"/>
          <w:i w:val="false"/>
          <w:iCs w:val="false"/>
          <w:color w:val="5C4033"/>
          <w:sz w:val="17"/>
          <w:szCs w:val="17"/>
        </w:rPr>
        <w:t xml:space="preserve">This is a read-only dashboard that aggregates data from 15+ Airtable tables plus external services. No data is written from this page. All metrics are computed via Airtable rollups, COUNT/SUM aggregations on the frontend, or external API calls (Stripe, Beehiv, website analytics). Zero new Airtable fields are needed.</w:t>
      </w:r>
    </w:p>
    <w:p>
      <w:pPr>
        <w:pBdr>
          <w:bottom w:val="single" w:color="7A644F" w:sz="1" w:space="6"/>
        </w:pBdr>
        <w:spacing w:before="300" w:after="120"/>
      </w:pPr>
      <w:r>
        <w:rPr>
          <w:rFonts w:ascii="Prata" w:cs="Prata" w:eastAsia="Prata" w:hAnsi="Prata"/>
          <w:color w:val="5C4033"/>
          <w:sz w:val="26"/>
          <w:szCs w:val="26"/>
        </w:rPr>
        <w:t xml:space="preserve">Tables Involved</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5406"/>
      </w:tblGrid>
      <w:tr>
        <w:tc>
          <w:tcPr>
            <w:tcW w:type="dxa" w:w="15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Table</w:t>
            </w:r>
          </w:p>
        </w:tc>
        <w:tc>
          <w:tcPr>
            <w:tcW w:type="dxa" w:w="32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Role</w:t>
            </w:r>
          </w:p>
        </w:tc>
        <w:tc>
          <w:tcPr>
            <w:tcW w:type="dxa" w:w="5406"/>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Key Fields Used</w:t>
            </w:r>
          </w:p>
        </w:tc>
      </w:tr>
      <w:tr>
        <w:tc>
          <w:tcPr>
            <w:tcW w:type="dxa" w:w="15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T1 (175)</w:t>
            </w:r>
          </w:p>
        </w:tc>
        <w:tc>
          <w:tcPr>
            <w:tcW w:type="dxa" w:w="3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Venue counts, types, locations, quality scores</w:t>
            </w:r>
          </w:p>
        </w:tc>
        <w:tc>
          <w:tcPr>
            <w:tcW w:type="dxa" w:w="54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20-22 (types), 33 (source), 35 (status), 143-150 (scores/tags)</w:t>
            </w:r>
          </w:p>
        </w:tc>
      </w:tr>
      <w:tr>
        <w:tc>
          <w:tcPr>
            <w:tcW w:type="dxa" w:w="15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T9 (22)</w:t>
            </w:r>
          </w:p>
        </w:tc>
        <w:tc>
          <w:tcPr>
            <w:tcW w:type="dxa" w:w="3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Subscription data, revenue, billing</w:t>
            </w:r>
          </w:p>
        </w:tc>
        <w:tc>
          <w:tcPr>
            <w:tcW w:type="dxa" w:w="54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4-8 (tier/rate), 9-15 (dates), 19-22 (revenue/bookings)</w:t>
            </w:r>
          </w:p>
        </w:tc>
      </w:tr>
      <w:tr>
        <w:tc>
          <w:tcPr>
            <w:tcW w:type="dxa" w:w="15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T10 (61+)</w:t>
            </w:r>
          </w:p>
        </w:tc>
        <w:tc>
          <w:tcPr>
            <w:tcW w:type="dxa" w:w="3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Pipeline, verification, owner counts</w:t>
            </w:r>
          </w:p>
        </w:tc>
        <w:tc>
          <w:tcPr>
            <w:tcW w:type="dxa" w:w="54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41-46 (verification), 50-51 (pipeline/acquisition)</w:t>
            </w:r>
          </w:p>
        </w:tc>
      </w:tr>
      <w:tr>
        <w:tc>
          <w:tcPr>
            <w:tcW w:type="dxa" w:w="15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T12 (32)</w:t>
            </w:r>
          </w:p>
        </w:tc>
        <w:tc>
          <w:tcPr>
            <w:tcW w:type="dxa" w:w="3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Booking records, status, values</w:t>
            </w:r>
          </w:p>
        </w:tc>
        <w:tc>
          <w:tcPr>
            <w:tcW w:type="dxa" w:w="54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4 (type), 10 (status), 12 (quote amount), 18 (created)</w:t>
            </w:r>
          </w:p>
        </w:tc>
      </w:tr>
      <w:tr>
        <w:tc>
          <w:tcPr>
            <w:tcW w:type="dxa" w:w="15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T19 (21)</w:t>
            </w:r>
          </w:p>
        </w:tc>
        <w:tc>
          <w:tcPr>
            <w:tcW w:type="dxa" w:w="3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Venue performance rollups</w:t>
            </w:r>
          </w:p>
        </w:tc>
        <w:tc>
          <w:tcPr>
            <w:tcW w:type="dxa" w:w="54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6-8 (views/saves/bookings), 15-21 (aggregates)</w:t>
            </w:r>
          </w:p>
        </w:tc>
      </w:tr>
      <w:tr>
        <w:tc>
          <w:tcPr>
            <w:tcW w:type="dxa" w:w="15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T20 (83)</w:t>
            </w:r>
          </w:p>
        </w:tc>
        <w:tc>
          <w:tcPr>
            <w:tcW w:type="dxa" w:w="3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Payments, commissions, GMV</w:t>
            </w:r>
          </w:p>
        </w:tc>
        <w:tc>
          <w:tcPr>
            <w:tcW w:type="dxa" w:w="54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28 (amount), 48-53 (gross/commission/net)</w:t>
            </w:r>
          </w:p>
        </w:tc>
      </w:tr>
      <w:tr>
        <w:tc>
          <w:tcPr>
            <w:tcW w:type="dxa" w:w="15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T21 (37)</w:t>
            </w:r>
          </w:p>
        </w:tc>
        <w:tc>
          <w:tcPr>
            <w:tcW w:type="dxa" w:w="3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Subscription history, churn</w:t>
            </w:r>
          </w:p>
        </w:tc>
        <w:tc>
          <w:tcPr>
            <w:tcW w:type="dxa" w:w="54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13-16 (tier/status), 32 (status), 37 (churn risk)</w:t>
            </w:r>
          </w:p>
        </w:tc>
      </w:tr>
      <w:tr>
        <w:tc>
          <w:tcPr>
            <w:tcW w:type="dxa" w:w="15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T23 (70)</w:t>
            </w:r>
          </w:p>
        </w:tc>
        <w:tc>
          <w:tcPr>
            <w:tcW w:type="dxa" w:w="3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Retreat host database, counts</w:t>
            </w:r>
          </w:p>
        </w:tc>
        <w:tc>
          <w:tcPr>
            <w:tcW w:type="dxa" w:w="54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Host records for user counts</w:t>
            </w:r>
          </w:p>
        </w:tc>
      </w:tr>
      <w:tr>
        <w:tc>
          <w:tcPr>
            <w:tcW w:type="dxa" w:w="15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T26 (53)</w:t>
            </w:r>
          </w:p>
        </w:tc>
        <w:tc>
          <w:tcPr>
            <w:tcW w:type="dxa" w:w="3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Wellness guest database</w:t>
            </w:r>
          </w:p>
        </w:tc>
        <w:tc>
          <w:tcPr>
            <w:tcW w:type="dxa" w:w="54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Guest records for user counts</w:t>
            </w:r>
          </w:p>
        </w:tc>
      </w:tr>
      <w:tr>
        <w:tc>
          <w:tcPr>
            <w:tcW w:type="dxa" w:w="15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T28 (54)</w:t>
            </w:r>
          </w:p>
        </w:tc>
        <w:tc>
          <w:tcPr>
            <w:tcW w:type="dxa" w:w="3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All enquiries</w:t>
            </w:r>
          </w:p>
        </w:tc>
        <w:tc>
          <w:tcPr>
            <w:tcW w:type="dxa" w:w="54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9-12 (type/category/source), 7 (created time)</w:t>
            </w:r>
          </w:p>
        </w:tc>
      </w:tr>
      <w:tr>
        <w:tc>
          <w:tcPr>
            <w:tcW w:type="dxa" w:w="15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T29 (18)</w:t>
            </w:r>
          </w:p>
        </w:tc>
        <w:tc>
          <w:tcPr>
            <w:tcW w:type="dxa" w:w="3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Activity log</w:t>
            </w:r>
          </w:p>
        </w:tc>
        <w:tc>
          <w:tcPr>
            <w:tcW w:type="dxa" w:w="54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7 (type), 8 (description), 17-18 (timestamp/actor)</w:t>
            </w:r>
          </w:p>
        </w:tc>
      </w:tr>
      <w:tr>
        <w:tc>
          <w:tcPr>
            <w:tcW w:type="dxa" w:w="15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T30 (19)</w:t>
            </w:r>
          </w:p>
        </w:tc>
        <w:tc>
          <w:tcPr>
            <w:tcW w:type="dxa" w:w="3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Analytics events (per-venue daily)</w:t>
            </w:r>
          </w:p>
        </w:tc>
        <w:tc>
          <w:tcPr>
            <w:tcW w:type="dxa" w:w="54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7-12 (views/visitors/saves/enquiries/bookings/revenue)</w:t>
            </w:r>
          </w:p>
        </w:tc>
      </w:tr>
      <w:tr>
        <w:tc>
          <w:tcPr>
            <w:tcW w:type="dxa" w:w="15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T31 (14)</w:t>
            </w:r>
          </w:p>
        </w:tc>
        <w:tc>
          <w:tcPr>
            <w:tcW w:type="dxa" w:w="3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Page views</w:t>
            </w:r>
          </w:p>
        </w:tc>
        <w:tc>
          <w:tcPr>
            <w:tcW w:type="dxa" w:w="54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7-14 (date/country/source/device)</w:t>
            </w:r>
          </w:p>
        </w:tc>
      </w:tr>
      <w:tr>
        <w:tc>
          <w:tcPr>
            <w:tcW w:type="dxa" w:w="15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T34 (23)</w:t>
            </w:r>
          </w:p>
        </w:tc>
        <w:tc>
          <w:tcPr>
            <w:tcW w:type="dxa" w:w="3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Sanctum Journal editions</w:t>
            </w:r>
          </w:p>
        </w:tc>
        <w:tc>
          <w:tcPr>
            <w:tcW w:type="dxa" w:w="54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6-7 (status/send date), 18 (sections)</w:t>
            </w:r>
          </w:p>
        </w:tc>
      </w:tr>
      <w:tr>
        <w:tc>
          <w:tcPr>
            <w:tcW w:type="dxa" w:w="15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T35 (26)</w:t>
            </w:r>
          </w:p>
        </w:tc>
        <w:tc>
          <w:tcPr>
            <w:tcW w:type="dxa" w:w="3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The Wellness Edit articles</w:t>
            </w:r>
          </w:p>
        </w:tc>
        <w:tc>
          <w:tcPr>
            <w:tcW w:type="dxa" w:w="54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Article records for content counts</w:t>
            </w:r>
          </w:p>
        </w:tc>
      </w:tr>
      <w:tr>
        <w:tc>
          <w:tcPr>
            <w:tcW w:type="dxa" w:w="15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T38-41</w:t>
            </w:r>
          </w:p>
        </w:tc>
        <w:tc>
          <w:tcPr>
            <w:tcW w:type="dxa" w:w="3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Geography lookup tables</w:t>
            </w:r>
          </w:p>
        </w:tc>
        <w:tc>
          <w:tcPr>
            <w:tcW w:type="dxa" w:w="54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Countries, States, Cities, Continents</w:t>
            </w:r>
          </w:p>
        </w:tc>
      </w:tr>
      <w:tr>
        <w:tc>
          <w:tcPr>
            <w:tcW w:type="dxa" w:w="15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External</w:t>
            </w:r>
          </w:p>
        </w:tc>
        <w:tc>
          <w:tcPr>
            <w:tcW w:type="dxa" w:w="3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Stripe, Beehiv, GA4/Plausible</w:t>
            </w:r>
          </w:p>
        </w:tc>
        <w:tc>
          <w:tcPr>
            <w:tcW w:type="dxa" w:w="54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Payment processing, newsletter, web analytics</w:t>
            </w:r>
          </w:p>
        </w:tc>
      </w:tr>
    </w:tbl>
    <w:p>
      <w:r>
        <w:br w:type="page"/>
      </w:r>
    </w:p>
    <w:p>
      <w:pPr>
        <w:pBdr>
          <w:bottom w:val="single" w:color="7A644F" w:sz="1" w:space="6"/>
        </w:pBdr>
        <w:spacing w:before="300" w:after="120"/>
      </w:pPr>
      <w:r>
        <w:rPr>
          <w:rFonts w:ascii="Prata" w:cs="Prata" w:eastAsia="Prata" w:hAnsi="Prata"/>
          <w:color w:val="5C4033"/>
          <w:sz w:val="26"/>
          <w:szCs w:val="26"/>
        </w:rPr>
        <w:t xml:space="preserve">Section 1 — KPI Hero Cards</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3306"/>
      </w:tblGrid>
      <w:tr>
        <w:tc>
          <w:tcPr>
            <w:tcW w:type="dxa" w:w="26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KPI</w:t>
            </w:r>
          </w:p>
        </w:tc>
        <w:tc>
          <w:tcPr>
            <w:tcW w:type="dxa" w:w="42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Source</w:t>
            </w:r>
          </w:p>
        </w:tc>
        <w:tc>
          <w:tcPr>
            <w:tcW w:type="dxa" w:w="3306"/>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Computation</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Total GMV (Feb)</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T20 SUM(Amount) WHERE Payment Date = current month</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Aggregate</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TGS Revenue (Feb)</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T20 SUM(Net Amount To TGS, field 53) WHERE current month</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Aggregate</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Active Venues</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T1 COUNT WHERE Listing Status (field 35) = 'Active'</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Aggregate</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Bookings (Feb)</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T12 COUNT WHERE Created (field 18) = current month AND Status = Confirmed</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Aggregate</w:t>
            </w:r>
          </w:p>
        </w:tc>
      </w:tr>
    </w:tbl>
    <w:p>
      <w:pPr>
        <w:spacing w:after="150"/>
      </w:pPr>
      <w:r>
        <w:rPr>
          <w:rFonts w:ascii="Inter" w:cs="Inter" w:eastAsia="Inter" w:hAnsi="Inter"/>
          <w:b w:val="false"/>
          <w:bCs w:val="false"/>
          <w:i/>
          <w:iCs/>
          <w:color w:val="8B7355"/>
          <w:sz w:val="16"/>
          <w:szCs w:val="16"/>
        </w:rPr>
        <w:t xml:space="preserve">Zero gaps. All computed from existing tables.</w:t>
      </w:r>
    </w:p>
    <w:p>
      <w:pPr>
        <w:pBdr>
          <w:bottom w:val="single" w:color="7A644F" w:sz="1" w:space="6"/>
        </w:pBdr>
        <w:spacing w:before="300" w:after="120"/>
      </w:pPr>
      <w:r>
        <w:rPr>
          <w:rFonts w:ascii="Prata" w:cs="Prata" w:eastAsia="Prata" w:hAnsi="Prata"/>
          <w:color w:val="5C4033"/>
          <w:sz w:val="26"/>
          <w:szCs w:val="26"/>
        </w:rPr>
        <w:t xml:space="preserve">Section 2 — Year 1 Goals Progress</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3306"/>
      </w:tblGrid>
      <w:tr>
        <w:tc>
          <w:tcPr>
            <w:tcW w:type="dxa" w:w="26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Goal</w:t>
            </w:r>
          </w:p>
        </w:tc>
        <w:tc>
          <w:tcPr>
            <w:tcW w:type="dxa" w:w="42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Source</w:t>
            </w:r>
          </w:p>
        </w:tc>
        <w:tc>
          <w:tcPr>
            <w:tcW w:type="dxa" w:w="3306"/>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Notes</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Venues (target: 1,500)</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T1 COUNT WHERE Listing Status = Active</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Aggregate</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Annual Revenue (target: $5.74M)</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T20 SUM(Net Amount To TGS) YTD</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Aggregate</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Retreat Hosts (target: 500)</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T23 COUNT all records</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Aggregate</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Journal Subscribers (target: 10,000)</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Beehiv API — subscriber count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External API</w:t>
            </w:r>
          </w:p>
        </w:tc>
      </w:tr>
    </w:tbl>
    <w:p>
      <w:pPr>
        <w:spacing w:after="150"/>
      </w:pPr>
      <w:r>
        <w:rPr>
          <w:rFonts w:ascii="Inter" w:cs="Inter" w:eastAsia="Inter" w:hAnsi="Inter"/>
          <w:b w:val="false"/>
          <w:bCs w:val="false"/>
          <w:i/>
          <w:iCs/>
          <w:color w:val="8B7355"/>
          <w:sz w:val="16"/>
          <w:szCs w:val="16"/>
        </w:rPr>
        <w:t xml:space="preserve">Zero gaps. Targets are hardcoded config values; actuals computed from tables or external API.</w:t>
      </w:r>
    </w:p>
    <w:p>
      <w:pPr>
        <w:pBdr>
          <w:bottom w:val="single" w:color="7A644F" w:sz="1" w:space="6"/>
        </w:pBdr>
        <w:spacing w:before="300" w:after="120"/>
      </w:pPr>
      <w:r>
        <w:rPr>
          <w:rFonts w:ascii="Prata" w:cs="Prata" w:eastAsia="Prata" w:hAnsi="Prata"/>
          <w:color w:val="5C4033"/>
          <w:sz w:val="26"/>
          <w:szCs w:val="26"/>
        </w:rPr>
        <w:t xml:space="preserve">Section 3 — Real-Time Ticker</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3306"/>
      </w:tblGrid>
      <w:tr>
        <w:tc>
          <w:tcPr>
            <w:tcW w:type="dxa" w:w="26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Event</w:t>
            </w:r>
          </w:p>
        </w:tc>
        <w:tc>
          <w:tcPr>
            <w:tcW w:type="dxa" w:w="42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Source</w:t>
            </w:r>
          </w:p>
        </w:tc>
        <w:tc>
          <w:tcPr>
            <w:tcW w:type="dxa" w:w="3306"/>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Notes</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New booking</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T12 most recent records WHERE Status = Confirmed</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Polling/webhook</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Venue signup</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T1 most recent records WHERE Created = recent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Polling/webhook</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Enquiry</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T28 most recent records</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Polling/webhook</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Journal subscriber</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Beehiv webhook or API poll</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External</w:t>
            </w:r>
          </w:p>
        </w:tc>
      </w:tr>
    </w:tbl>
    <w:p>
      <w:pPr>
        <w:spacing w:after="150"/>
      </w:pPr>
      <w:r>
        <w:rPr>
          <w:rFonts w:ascii="Inter" w:cs="Inter" w:eastAsia="Inter" w:hAnsi="Inter"/>
          <w:b w:val="false"/>
          <w:bCs w:val="false"/>
          <w:i/>
          <w:iCs/>
          <w:color w:val="8B7355"/>
          <w:sz w:val="16"/>
          <w:szCs w:val="16"/>
        </w:rPr>
        <w:t xml:space="preserve">Zero gaps. Ticker reads most recent records from respective tables.</w:t>
      </w:r>
    </w:p>
    <w:p>
      <w:pPr>
        <w:pBdr>
          <w:bottom w:val="single" w:color="7A644F" w:sz="1" w:space="6"/>
        </w:pBdr>
        <w:spacing w:before="300" w:after="120"/>
      </w:pPr>
      <w:r>
        <w:rPr>
          <w:rFonts w:ascii="Prata" w:cs="Prata" w:eastAsia="Prata" w:hAnsi="Prata"/>
          <w:color w:val="5C4033"/>
          <w:sz w:val="26"/>
          <w:szCs w:val="26"/>
        </w:rPr>
        <w:t xml:space="preserve">Section 4 — Overview Tab</w:t>
      </w:r>
    </w:p>
    <w:p>
      <w:pPr>
        <w:spacing w:before="200" w:after="80"/>
      </w:pPr>
      <w:r>
        <w:rPr>
          <w:rFonts w:ascii="Inter" w:cs="Inter" w:eastAsia="Inter" w:hAnsi="Inter"/>
          <w:b/>
          <w:bCs/>
          <w:i w:val="false"/>
          <w:iCs w:val="false"/>
          <w:color w:val="5C4033"/>
          <w:sz w:val="20"/>
          <w:szCs w:val="20"/>
        </w:rPr>
        <w:t xml:space="preserve">Revenue Trend Chart</w:t>
      </w:r>
    </w:p>
    <w:p>
      <w:pPr>
        <w:spacing w:after="120"/>
      </w:pPr>
      <w:r>
        <w:rPr>
          <w:rFonts w:ascii="Inter" w:cs="Inter" w:eastAsia="Inter" w:hAnsi="Inter"/>
          <w:b w:val="false"/>
          <w:bCs w:val="false"/>
          <w:i w:val="false"/>
          <w:iCs w:val="false"/>
          <w:color w:val="5C4033"/>
          <w:sz w:val="17"/>
          <w:szCs w:val="17"/>
        </w:rPr>
        <w:t xml:space="preserve">Time series of monthly revenue. Source: T20 SUM(Net Amount To TGS) grouped by month. JR can also use T30 Analytics Events (field 12, Revenue Generated) for daily granularity.</w:t>
      </w:r>
    </w:p>
    <w:p>
      <w:pPr>
        <w:spacing w:before="200" w:after="80"/>
      </w:pPr>
      <w:r>
        <w:rPr>
          <w:rFonts w:ascii="Inter" w:cs="Inter" w:eastAsia="Inter" w:hAnsi="Inter"/>
          <w:b/>
          <w:bCs/>
          <w:i w:val="false"/>
          <w:iCs w:val="false"/>
          <w:color w:val="5C4033"/>
          <w:sz w:val="20"/>
          <w:szCs w:val="20"/>
        </w:rPr>
        <w:t xml:space="preserve">Booking Funnel</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3306"/>
      </w:tblGrid>
      <w:tr>
        <w:tc>
          <w:tcPr>
            <w:tcW w:type="dxa" w:w="26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Step</w:t>
            </w:r>
          </w:p>
        </w:tc>
        <w:tc>
          <w:tcPr>
            <w:tcW w:type="dxa" w:w="42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Source</w:t>
            </w:r>
          </w:p>
        </w:tc>
        <w:tc>
          <w:tcPr>
            <w:tcW w:type="dxa" w:w="3306"/>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Notes</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Website Visits</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T31 COUNT (Page Views) or external analytics (GA4/Plausible)</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Venue Views</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T30 SUM(Page Views, field 7) for period</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Enquiries</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T28 COUNT for period</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Bookings</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T12 COUNT WHERE Status = Confirmed for period</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bl>
    <w:p>
      <w:pPr>
        <w:spacing w:before="200" w:after="80"/>
      </w:pPr>
      <w:r>
        <w:rPr>
          <w:rFonts w:ascii="Inter" w:cs="Inter" w:eastAsia="Inter" w:hAnsi="Inter"/>
          <w:b/>
          <w:bCs/>
          <w:i w:val="false"/>
          <w:iCs w:val="false"/>
          <w:color w:val="5C4033"/>
          <w:sz w:val="20"/>
          <w:szCs w:val="20"/>
        </w:rPr>
        <w:t xml:space="preserve">Top Venues by GMV</w:t>
      </w:r>
    </w:p>
    <w:p>
      <w:pPr>
        <w:spacing w:after="120"/>
      </w:pPr>
      <w:r>
        <w:rPr>
          <w:rFonts w:ascii="Inter" w:cs="Inter" w:eastAsia="Inter" w:hAnsi="Inter"/>
          <w:b w:val="false"/>
          <w:bCs w:val="false"/>
          <w:i w:val="false"/>
          <w:iCs w:val="false"/>
          <w:color w:val="5C4033"/>
          <w:sz w:val="17"/>
          <w:szCs w:val="17"/>
        </w:rPr>
        <w:t xml:space="preserve">Leaderboard: T19 Venue Performance Metrics (field 19, Total Revenue) ranked DESC. Or T20 SUM(Amount) grouped by Venue, sorted DESC. Location from T1 linked via T19 field 3.</w:t>
      </w:r>
    </w:p>
    <w:p>
      <w:pPr>
        <w:spacing w:after="150"/>
      </w:pPr>
      <w:r>
        <w:rPr>
          <w:rFonts w:ascii="Inter" w:cs="Inter" w:eastAsia="Inter" w:hAnsi="Inter"/>
          <w:b w:val="false"/>
          <w:bCs w:val="false"/>
          <w:i/>
          <w:iCs/>
          <w:color w:val="8B7355"/>
          <w:sz w:val="16"/>
          <w:szCs w:val="16"/>
        </w:rPr>
        <w:t xml:space="preserve">Zero gaps.</w:t>
      </w:r>
    </w:p>
    <w:p>
      <w:r>
        <w:br w:type="page"/>
      </w:r>
    </w:p>
    <w:p>
      <w:pPr>
        <w:pBdr>
          <w:bottom w:val="single" w:color="7A644F" w:sz="1" w:space="6"/>
        </w:pBdr>
        <w:spacing w:before="300" w:after="120"/>
      </w:pPr>
      <w:r>
        <w:rPr>
          <w:rFonts w:ascii="Prata" w:cs="Prata" w:eastAsia="Prata" w:hAnsi="Prata"/>
          <w:color w:val="5C4033"/>
          <w:sz w:val="26"/>
          <w:szCs w:val="26"/>
        </w:rPr>
        <w:t xml:space="preserve">Section 5 — Revenue Tab</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3306"/>
      </w:tblGrid>
      <w:tr>
        <w:tc>
          <w:tcPr>
            <w:tcW w:type="dxa" w:w="26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Metric</w:t>
            </w:r>
          </w:p>
        </w:tc>
        <w:tc>
          <w:tcPr>
            <w:tcW w:type="dxa" w:w="42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Source</w:t>
            </w:r>
          </w:p>
        </w:tc>
        <w:tc>
          <w:tcPr>
            <w:tcW w:type="dxa" w:w="3306"/>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Computation</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Total Revenue</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T20 SUM(Net Amount To TGS, field 53) for period</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Subscription Revenue</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T20 SUM WHERE Payment Category (field 24) = Subscription</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Commission Revenue</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T20 SUM(TGS Commission Amount, field 50) for period</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GMV</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T20 SUM(Amount, field 28) for period</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ARPU</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Total Revenue / Active Venues count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Computed</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Take Rate</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TGS Revenue / GMV × 100</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Computed</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Revenue by Source (pie)</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Subscription vs Commission split from above</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Computed</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YTD Total</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T20 SUM(Net Amount To TGS) WHERE year = current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Current MRR</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T9 SUM(Plan Rate, field 8) WHERE Subscription Active (field 11) = true</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ARR</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MRR × 12</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Computed</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Growth Rate</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(Current MRR − Previous MRR) / Previous MRR</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Computed</w:t>
            </w:r>
          </w:p>
        </w:tc>
      </w:tr>
    </w:tbl>
    <w:p>
      <w:pPr>
        <w:spacing w:after="150"/>
      </w:pPr>
      <w:r>
        <w:rPr>
          <w:rFonts w:ascii="Inter" w:cs="Inter" w:eastAsia="Inter" w:hAnsi="Inter"/>
          <w:b w:val="false"/>
          <w:bCs w:val="false"/>
          <w:i/>
          <w:iCs/>
          <w:color w:val="8B7355"/>
          <w:sz w:val="16"/>
          <w:szCs w:val="16"/>
        </w:rPr>
        <w:t xml:space="preserve">Zero gaps. All derived from T9 and T20.</w:t>
      </w:r>
    </w:p>
    <w:p>
      <w:pPr>
        <w:pBdr>
          <w:bottom w:val="single" w:color="7A644F" w:sz="1" w:space="6"/>
        </w:pBdr>
        <w:spacing w:before="300" w:after="120"/>
      </w:pPr>
      <w:r>
        <w:rPr>
          <w:rFonts w:ascii="Prata" w:cs="Prata" w:eastAsia="Prata" w:hAnsi="Prata"/>
          <w:color w:val="5C4033"/>
          <w:sz w:val="26"/>
          <w:szCs w:val="26"/>
        </w:rPr>
        <w:t xml:space="preserve">Section 6 — Venues Tab</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3306"/>
      </w:tblGrid>
      <w:tr>
        <w:tc>
          <w:tcPr>
            <w:tcW w:type="dxa" w:w="26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Metric</w:t>
            </w:r>
          </w:p>
        </w:tc>
        <w:tc>
          <w:tcPr>
            <w:tcW w:type="dxa" w:w="42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Source</w:t>
            </w:r>
          </w:p>
        </w:tc>
        <w:tc>
          <w:tcPr>
            <w:tcW w:type="dxa" w:w="3306"/>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Computation</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Active Venues</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T1 COUNT WHERE Listing Status = Active</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Retreat Venues</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T1 COUNT WHERE Primary Venue Type (field 20) = Retreat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Wellness Venues</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T1 COUNT WHERE Primary Venue Type (field 20) = Wellness</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Founders</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T9 COUNT WHERE Super Founder (field 6) OR Founder (field 7) has value</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Churn Rate</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T21 COUNT WHERE Subscription Status (field 32) = Cancelled / total</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Database Total</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T1 COUNT all records (including inactive/curated)</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Venues by Plan (chart)</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T9 GROUP BY Subscription Tier (field 4), COUNT each</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Venue Growth (chart)</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T1 COUNT grouped by Created date, cumulative</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bl>
    <w:p>
      <w:pPr>
        <w:spacing w:after="150"/>
      </w:pPr>
      <w:r>
        <w:rPr>
          <w:rFonts w:ascii="Inter" w:cs="Inter" w:eastAsia="Inter" w:hAnsi="Inter"/>
          <w:b w:val="false"/>
          <w:bCs w:val="false"/>
          <w:i/>
          <w:iCs/>
          <w:color w:val="8B7355"/>
          <w:sz w:val="16"/>
          <w:szCs w:val="16"/>
        </w:rPr>
        <w:t xml:space="preserve">Zero gaps.</w:t>
      </w:r>
    </w:p>
    <w:p>
      <w:pPr>
        <w:pBdr>
          <w:bottom w:val="single" w:color="7A644F" w:sz="1" w:space="6"/>
        </w:pBdr>
        <w:spacing w:before="300" w:after="120"/>
      </w:pPr>
      <w:r>
        <w:rPr>
          <w:rFonts w:ascii="Prata" w:cs="Prata" w:eastAsia="Prata" w:hAnsi="Prata"/>
          <w:color w:val="5C4033"/>
          <w:sz w:val="26"/>
          <w:szCs w:val="26"/>
        </w:rPr>
        <w:t xml:space="preserve">Section 7 — Bookings Tab</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3306"/>
      </w:tblGrid>
      <w:tr>
        <w:tc>
          <w:tcPr>
            <w:tcW w:type="dxa" w:w="26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Metric</w:t>
            </w:r>
          </w:p>
        </w:tc>
        <w:tc>
          <w:tcPr>
            <w:tcW w:type="dxa" w:w="42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Source</w:t>
            </w:r>
          </w:p>
        </w:tc>
        <w:tc>
          <w:tcPr>
            <w:tcW w:type="dxa" w:w="3306"/>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Computation</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Bookings This Month</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T12 COUNT WHERE Created = current month AND Status = Confirmed</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Total GMV</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T20 SUM(Amount) for period</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Avg Booking Value</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GMV / Bookings count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Computed</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Enquiries</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T28 COUNT for period</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Avg Days to Book</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T12 AVG(Confirmation Date − Created) or T28 AVG(response time)</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Cancellations</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T12 COUNT WHERE Booking Status (field 10) = Cancelled</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Retreat vs Wellness split</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T12 GROUP BY Venue Booking Type (field 4), with GMV from T20</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bl>
    <w:p>
      <w:pPr>
        <w:spacing w:after="150"/>
      </w:pPr>
      <w:r>
        <w:rPr>
          <w:rFonts w:ascii="Inter" w:cs="Inter" w:eastAsia="Inter" w:hAnsi="Inter"/>
          <w:b w:val="false"/>
          <w:bCs w:val="false"/>
          <w:i/>
          <w:iCs/>
          <w:color w:val="8B7355"/>
          <w:sz w:val="16"/>
          <w:szCs w:val="16"/>
        </w:rPr>
        <w:t xml:space="preserve">Zero gaps.</w:t>
      </w:r>
    </w:p>
    <w:p>
      <w:r>
        <w:br w:type="page"/>
      </w:r>
    </w:p>
    <w:p>
      <w:pPr>
        <w:pBdr>
          <w:bottom w:val="single" w:color="7A644F" w:sz="1" w:space="6"/>
        </w:pBdr>
        <w:spacing w:before="300" w:after="120"/>
      </w:pPr>
      <w:r>
        <w:rPr>
          <w:rFonts w:ascii="Prata" w:cs="Prata" w:eastAsia="Prata" w:hAnsi="Prata"/>
          <w:color w:val="5C4033"/>
          <w:sz w:val="26"/>
          <w:szCs w:val="26"/>
        </w:rPr>
        <w:t xml:space="preserve">Section 8 — Users Tab</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3306"/>
      </w:tblGrid>
      <w:tr>
        <w:tc>
          <w:tcPr>
            <w:tcW w:type="dxa" w:w="26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Metric</w:t>
            </w:r>
          </w:p>
        </w:tc>
        <w:tc>
          <w:tcPr>
            <w:tcW w:type="dxa" w:w="42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Source</w:t>
            </w:r>
          </w:p>
        </w:tc>
        <w:tc>
          <w:tcPr>
            <w:tcW w:type="dxa" w:w="3306"/>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Computation</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Venue Owners</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T10 COUNT or T1 COUNT WHERE Active</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Retreat Hosts</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T23 COUNT all records</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Journal Subscribers</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Beehiv API subscriber count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External</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Verified Hosts</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T23 COUNT WHERE verified flag = true</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VIP Partners</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T23 COUNT WHERE partner tier = VIP (or T1 internal tags)</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Host Activation (68%)</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T23 COUNT with 1+ booking / T23 total COUNT</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Computed</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Top Retreat Hosts (leaderboard)</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T20 SUM(Amount) grouped by Retreat Host, sorted DESC</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User Growth (chart)</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T10/T23/T26 COUNT grouped by Created date</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bl>
    <w:p>
      <w:pPr>
        <w:spacing w:after="150"/>
      </w:pPr>
      <w:r>
        <w:rPr>
          <w:rFonts w:ascii="Inter" w:cs="Inter" w:eastAsia="Inter" w:hAnsi="Inter"/>
          <w:b w:val="false"/>
          <w:bCs w:val="false"/>
          <w:i/>
          <w:iCs/>
          <w:color w:val="8B7355"/>
          <w:sz w:val="16"/>
          <w:szCs w:val="16"/>
        </w:rPr>
        <w:t xml:space="preserve">Zero gaps.</w:t>
      </w:r>
    </w:p>
    <w:p>
      <w:pPr>
        <w:pBdr>
          <w:bottom w:val="single" w:color="7A644F" w:sz="1" w:space="6"/>
        </w:pBdr>
        <w:spacing w:before="300" w:after="120"/>
      </w:pPr>
      <w:r>
        <w:rPr>
          <w:rFonts w:ascii="Prata" w:cs="Prata" w:eastAsia="Prata" w:hAnsi="Prata"/>
          <w:color w:val="5C4033"/>
          <w:sz w:val="26"/>
          <w:szCs w:val="26"/>
        </w:rPr>
        <w:t xml:space="preserve">Section 9 — Content Tab</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3306"/>
      </w:tblGrid>
      <w:tr>
        <w:tc>
          <w:tcPr>
            <w:tcW w:type="dxa" w:w="26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Metric</w:t>
            </w:r>
          </w:p>
        </w:tc>
        <w:tc>
          <w:tcPr>
            <w:tcW w:type="dxa" w:w="42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Source</w:t>
            </w:r>
          </w:p>
        </w:tc>
        <w:tc>
          <w:tcPr>
            <w:tcW w:type="dxa" w:w="3306"/>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Computation</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Blog Page Views</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T31 COUNT or external analytics (GA4/Plausible)</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Articles Published</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T35 COUNT WHERE Status = Published</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Avg Time on Page</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External analytics (GA4/Plausible)</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External</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Newsletter Open Rate</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Beehiv API — campaign analytics</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External</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Newsletter Click Rate</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Beehiv API — campaign analytics</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External</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Newsletter Signups</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Beehiv API — new subscribers for period</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 External</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Top Articles (leaderboard)</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T35 sorted by views/engagement field or external analytics</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bl>
    <w:p>
      <w:pPr>
        <w:spacing w:after="150"/>
      </w:pPr>
      <w:r>
        <w:rPr>
          <w:rFonts w:ascii="Inter" w:cs="Inter" w:eastAsia="Inter" w:hAnsi="Inter"/>
          <w:b w:val="false"/>
          <w:bCs w:val="false"/>
          <w:i/>
          <w:iCs/>
          <w:color w:val="8B7355"/>
          <w:sz w:val="16"/>
          <w:szCs w:val="16"/>
        </w:rPr>
        <w:t xml:space="preserve">Zero gaps. Mix of Airtable (T34, T35) and external API data (Beehiv, GA4).</w:t>
      </w:r>
    </w:p>
    <w:p>
      <w:pPr>
        <w:pBdr>
          <w:bottom w:val="single" w:color="7A644F" w:sz="1" w:space="6"/>
        </w:pBdr>
        <w:spacing w:before="300" w:after="120"/>
      </w:pPr>
      <w:r>
        <w:rPr>
          <w:rFonts w:ascii="Prata" w:cs="Prata" w:eastAsia="Prata" w:hAnsi="Prata"/>
          <w:color w:val="5C4033"/>
          <w:sz w:val="26"/>
          <w:szCs w:val="26"/>
        </w:rPr>
        <w:t xml:space="preserve">Section 10 — Geographic Tab</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3306"/>
      </w:tblGrid>
      <w:tr>
        <w:tc>
          <w:tcPr>
            <w:tcW w:type="dxa" w:w="26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Element</w:t>
            </w:r>
          </w:p>
        </w:tc>
        <w:tc>
          <w:tcPr>
            <w:tcW w:type="dxa" w:w="4200"/>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Source</w:t>
            </w:r>
          </w:p>
        </w:tc>
        <w:tc>
          <w:tcPr>
            <w:tcW w:type="dxa" w:w="3306"/>
            <w:tcBorders>
              <w:top w:val="single" w:color="D5D0C8" w:sz="1"/>
              <w:left w:val="single" w:color="D5D0C8" w:sz="1"/>
              <w:bottom w:val="single" w:color="D5D0C8" w:sz="1"/>
              <w:right w:val="single" w:color="D5D0C8" w:sz="1"/>
            </w:tcBorders>
            <w:shd w:fill="F5F0E5" w:val="clear"/>
            <w:tcMar>
              <w:top w:type="dxa" w:w="50"/>
              <w:left w:type="dxa" w:w="90"/>
              <w:bottom w:type="dxa" w:w="50"/>
              <w:right w:type="dxa" w:w="90"/>
            </w:tcMar>
          </w:tcPr>
          <w:p>
            <w:r>
              <w:rPr>
                <w:rFonts w:ascii="Inter" w:cs="Inter" w:eastAsia="Inter" w:hAnsi="Inter"/>
                <w:b/>
                <w:bCs/>
                <w:i w:val="false"/>
                <w:iCs w:val="false"/>
                <w:color w:val="5C4033"/>
                <w:sz w:val="16"/>
                <w:szCs w:val="16"/>
              </w:rPr>
              <w:t xml:space="preserve">Computation</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Global Distribution (map)</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T1 GPS Coordinates (field 19) for all venues</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Venues by Country</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T1 GROUP BY Country (field 4, Linked Record → T38)</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r>
        <w:tc>
          <w:tcPr>
            <w:tcW w:type="dxa" w:w="26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Active Venues by Region</w:t>
            </w:r>
          </w:p>
        </w:tc>
        <w:tc>
          <w:tcPr>
            <w:tcW w:type="dxa" w:w="4200"/>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T1 GROUP BY State (field 7) WHERE Active</w:t>
            </w:r>
          </w:p>
        </w:tc>
        <w:tc>
          <w:tcPr>
            <w:tcW w:type="dxa" w:w="3306"/>
            <w:tcBorders>
              <w:top w:val="single" w:color="D5D0C8" w:sz="1"/>
              <w:left w:val="single" w:color="D5D0C8" w:sz="1"/>
              <w:bottom w:val="single" w:color="D5D0C8" w:sz="1"/>
              <w:right w:val="single" w:color="D5D0C8" w:sz="1"/>
            </w:tcBorders>
            <w:tcMar>
              <w:top w:type="dxa" w:w="50"/>
              <w:left w:type="dxa" w:w="90"/>
              <w:bottom w:type="dxa" w:w="50"/>
              <w:right w:type="dxa" w:w="90"/>
            </w:tcMar>
          </w:tcPr>
          <w:p>
            <w:pPr>
              <w:spacing w:after="30"/>
            </w:pPr>
            <w:r>
              <w:rPr>
                <w:rFonts w:ascii="Inter" w:cs="Inter" w:eastAsia="Inter" w:hAnsi="Inter"/>
                <w:b w:val="false"/>
                <w:bCs w:val="false"/>
                <w:i w:val="false"/>
                <w:iCs w:val="false"/>
                <w:color w:val="5C4033"/>
                <w:sz w:val="17"/>
                <w:szCs w:val="17"/>
              </w:rPr>
              <w:t xml:space="preserve">✓</w:t>
            </w:r>
          </w:p>
        </w:tc>
      </w:tr>
    </w:tbl>
    <w:p>
      <w:pPr>
        <w:spacing w:after="150"/>
      </w:pPr>
      <w:r>
        <w:rPr>
          <w:rFonts w:ascii="Inter" w:cs="Inter" w:eastAsia="Inter" w:hAnsi="Inter"/>
          <w:b w:val="false"/>
          <w:bCs w:val="false"/>
          <w:i/>
          <w:iCs/>
          <w:color w:val="8B7355"/>
          <w:sz w:val="16"/>
          <w:szCs w:val="16"/>
        </w:rPr>
        <w:t xml:space="preserve">Zero gaps. Geography tables (T38-T41) provide lookup structure.</w:t>
      </w:r>
    </w:p>
    <w:p>
      <w:r>
        <w:br w:type="page"/>
      </w:r>
    </w:p>
    <w:p>
      <w:pPr>
        <w:pBdr>
          <w:bottom w:val="single" w:color="7A644F" w:sz="1" w:space="6"/>
        </w:pBdr>
        <w:spacing w:before="300" w:after="120"/>
      </w:pPr>
      <w:r>
        <w:rPr>
          <w:rFonts w:ascii="Prata" w:cs="Prata" w:eastAsia="Prata" w:hAnsi="Prata"/>
          <w:color w:val="5C4033"/>
          <w:sz w:val="26"/>
          <w:szCs w:val="26"/>
        </w:rPr>
        <w:t xml:space="preserve">Gaps Summary</w:t>
      </w:r>
    </w:p>
    <w:p>
      <w:pPr>
        <w:spacing w:before="100" w:after="200"/>
      </w:pPr>
      <w:r>
        <w:rPr>
          <w:rFonts w:ascii="Inter" w:cs="Inter" w:eastAsia="Inter" w:hAnsi="Inter"/>
          <w:b/>
          <w:bCs/>
          <w:i w:val="false"/>
          <w:iCs w:val="false"/>
          <w:color w:val="2E7D32"/>
          <w:sz w:val="20"/>
          <w:szCs w:val="20"/>
        </w:rPr>
        <w:t xml:space="preserve">Zero gaps. </w:t>
      </w:r>
      <w:r>
        <w:rPr>
          <w:rFonts w:ascii="Inter" w:cs="Inter" w:eastAsia="Inter" w:hAnsi="Inter"/>
          <w:b w:val="false"/>
          <w:bCs w:val="false"/>
          <w:i w:val="false"/>
          <w:iCs w:val="false"/>
          <w:color w:val="5C4033"/>
          <w:sz w:val="17"/>
          <w:szCs w:val="17"/>
        </w:rPr>
        <w:t xml:space="preserve">Every metric in this dashboard is derivable from existing Airtable tables (T1, T9, T10, T12, T19, T20, T21, T23, T26, T28, T29, T30, T31, T34, T35, T38-T41) combined with external APIs (Stripe for payment data, Beehiv for newsletter metrics, GA4/Plausible for web analytics). No new Airtable fields are required.</w:t>
      </w:r>
    </w:p>
    <w:p>
      <w:pPr>
        <w:pBdr>
          <w:bottom w:val="single" w:color="7A644F" w:sz="1" w:space="6"/>
        </w:pBdr>
        <w:spacing w:before="300" w:after="120"/>
      </w:pPr>
      <w:r>
        <w:rPr>
          <w:rFonts w:ascii="Prata" w:cs="Prata" w:eastAsia="Prata" w:hAnsi="Prata"/>
          <w:color w:val="5C4033"/>
          <w:sz w:val="26"/>
          <w:szCs w:val="26"/>
        </w:rPr>
        <w:t xml:space="preserve">Architectural Notes</w:t>
      </w:r>
    </w:p>
    <w:p>
      <w:pPr>
        <w:spacing w:before="200" w:after="80"/>
      </w:pPr>
      <w:r>
        <w:rPr>
          <w:rFonts w:ascii="Inter" w:cs="Inter" w:eastAsia="Inter" w:hAnsi="Inter"/>
          <w:b/>
          <w:bCs/>
          <w:i w:val="false"/>
          <w:iCs w:val="false"/>
          <w:color w:val="5C4033"/>
          <w:sz w:val="20"/>
          <w:szCs w:val="20"/>
        </w:rPr>
        <w:t xml:space="preserve">Read-Only Dashboard</w:t>
      </w:r>
    </w:p>
    <w:p>
      <w:pPr>
        <w:spacing w:after="120"/>
      </w:pPr>
      <w:r>
        <w:rPr>
          <w:rFonts w:ascii="Inter" w:cs="Inter" w:eastAsia="Inter" w:hAnsi="Inter"/>
          <w:b w:val="false"/>
          <w:bCs w:val="false"/>
          <w:i w:val="false"/>
          <w:iCs w:val="false"/>
          <w:color w:val="5C4033"/>
          <w:sz w:val="17"/>
          <w:szCs w:val="17"/>
        </w:rPr>
        <w:t xml:space="preserve">This page never writes to Airtable. All interactions are read-only queries and aggregations. The date range selector (Today/7D/30D/90D/YTD/Custom) filters query parameters, not stored fields.</w:t>
      </w:r>
    </w:p>
    <w:p>
      <w:pPr>
        <w:spacing w:before="200" w:after="80"/>
      </w:pPr>
      <w:r>
        <w:rPr>
          <w:rFonts w:ascii="Inter" w:cs="Inter" w:eastAsia="Inter" w:hAnsi="Inter"/>
          <w:b/>
          <w:bCs/>
          <w:i w:val="false"/>
          <w:iCs w:val="false"/>
          <w:color w:val="5C4033"/>
          <w:sz w:val="20"/>
          <w:szCs w:val="20"/>
        </w:rPr>
        <w:t xml:space="preserve">Performance — Caching Strategy</w:t>
      </w:r>
    </w:p>
    <w:p>
      <w:pPr>
        <w:spacing w:after="120"/>
      </w:pPr>
      <w:r>
        <w:rPr>
          <w:rFonts w:ascii="Inter" w:cs="Inter" w:eastAsia="Inter" w:hAnsi="Inter"/>
          <w:b w:val="false"/>
          <w:bCs w:val="false"/>
          <w:i w:val="false"/>
          <w:iCs w:val="false"/>
          <w:color w:val="5C4033"/>
          <w:sz w:val="17"/>
          <w:szCs w:val="17"/>
        </w:rPr>
        <w:t xml:space="preserve">Many metrics require cross-table aggregations (e.g. SUM across all T20 records). JR should implement server-side caching with 5-15 minute TTL. The 'Live Data' indicator should reflect cache freshness. The real-time ticker can use shorter polling intervals (30-60 seconds) for recent records only.</w:t>
      </w:r>
    </w:p>
    <w:p>
      <w:pPr>
        <w:spacing w:before="200" w:after="80"/>
      </w:pPr>
      <w:r>
        <w:rPr>
          <w:rFonts w:ascii="Inter" w:cs="Inter" w:eastAsia="Inter" w:hAnsi="Inter"/>
          <w:b/>
          <w:bCs/>
          <w:i w:val="false"/>
          <w:iCs w:val="false"/>
          <w:color w:val="5C4033"/>
          <w:sz w:val="20"/>
          <w:szCs w:val="20"/>
        </w:rPr>
        <w:t xml:space="preserve">External API Integration</w:t>
      </w:r>
    </w:p>
    <w:p>
      <w:pPr>
        <w:spacing w:after="120"/>
      </w:pPr>
      <w:r>
        <w:rPr>
          <w:rFonts w:ascii="Inter" w:cs="Inter" w:eastAsia="Inter" w:hAnsi="Inter"/>
          <w:b w:val="false"/>
          <w:bCs w:val="false"/>
          <w:i w:val="false"/>
          <w:iCs w:val="false"/>
          <w:color w:val="5C4033"/>
          <w:sz w:val="17"/>
          <w:szCs w:val="17"/>
        </w:rPr>
        <w:t xml:space="preserve">Three external data sources: (1) Stripe API for real-time payment/subscription data as supplement to T20/T21. (2) Beehiv API for newsletter subscriber count, open rates, click rates. (3) GA4 or Plausible for web analytics (page views, time on page, traffic sources). JR should build adapter services for each that cache results.</w:t>
      </w:r>
    </w:p>
    <w:p>
      <w:pPr>
        <w:spacing w:before="200" w:after="80"/>
      </w:pPr>
      <w:r>
        <w:rPr>
          <w:rFonts w:ascii="Inter" w:cs="Inter" w:eastAsia="Inter" w:hAnsi="Inter"/>
          <w:b/>
          <w:bCs/>
          <w:i w:val="false"/>
          <w:iCs w:val="false"/>
          <w:color w:val="5C4033"/>
          <w:sz w:val="20"/>
          <w:szCs w:val="20"/>
        </w:rPr>
        <w:t xml:space="preserve">Venue Performance Table (T19)</w:t>
      </w:r>
    </w:p>
    <w:p>
      <w:pPr>
        <w:spacing w:after="120"/>
      </w:pPr>
      <w:r>
        <w:rPr>
          <w:rFonts w:ascii="Inter" w:cs="Inter" w:eastAsia="Inter" w:hAnsi="Inter"/>
          <w:b w:val="false"/>
          <w:bCs w:val="false"/>
          <w:i w:val="false"/>
          <w:iCs w:val="false"/>
          <w:color w:val="5C4033"/>
          <w:sz w:val="17"/>
          <w:szCs w:val="17"/>
        </w:rPr>
        <w:t xml:space="preserve">T19 is purpose-built for analytics. It stores rollup fields (Total Page Views, Total Saves, Total Enquiries, Total Completed Bookings, Total Revenue, Average Rating) per venue. JR can query T19 directly for venue leaderboards rather than aggregating T20 on the fly.</w:t>
      </w:r>
    </w:p>
    <w:p>
      <w:pPr>
        <w:spacing w:before="200" w:after="80"/>
      </w:pPr>
      <w:r>
        <w:rPr>
          <w:rFonts w:ascii="Inter" w:cs="Inter" w:eastAsia="Inter" w:hAnsi="Inter"/>
          <w:b/>
          <w:bCs/>
          <w:i w:val="false"/>
          <w:iCs w:val="false"/>
          <w:color w:val="5C4033"/>
          <w:sz w:val="20"/>
          <w:szCs w:val="20"/>
        </w:rPr>
        <w:t xml:space="preserve">Goals Configuration</w:t>
      </w:r>
    </w:p>
    <w:p>
      <w:pPr>
        <w:spacing w:after="120"/>
      </w:pPr>
      <w:r>
        <w:rPr>
          <w:rFonts w:ascii="Inter" w:cs="Inter" w:eastAsia="Inter" w:hAnsi="Inter"/>
          <w:b w:val="false"/>
          <w:bCs w:val="false"/>
          <w:i w:val="false"/>
          <w:iCs w:val="false"/>
          <w:color w:val="5C4033"/>
          <w:sz w:val="17"/>
          <w:szCs w:val="17"/>
        </w:rPr>
        <w:t xml:space="preserve">Year 1 targets (1,500 venues, $5.74M revenue, 500 hosts, 10,000 subscribers) should be stored as configurable values, not hardcoded. Options: a Settings/Config table in Airtable, environment variables, or admin settings page. Allows targets to be updated without code changes.</w:t>
      </w:r>
    </w:p>
    <w:p>
      <w:pPr>
        <w:spacing w:before="200" w:after="80"/>
      </w:pPr>
      <w:r>
        <w:rPr>
          <w:rFonts w:ascii="Inter" w:cs="Inter" w:eastAsia="Inter" w:hAnsi="Inter"/>
          <w:b/>
          <w:bCs/>
          <w:i w:val="false"/>
          <w:iCs w:val="false"/>
          <w:color w:val="5C4033"/>
          <w:sz w:val="20"/>
          <w:szCs w:val="20"/>
        </w:rPr>
        <w:t xml:space="preserve">Export Functionality</w:t>
      </w:r>
    </w:p>
    <w:p>
      <w:pPr>
        <w:spacing w:after="120"/>
      </w:pPr>
      <w:r>
        <w:rPr>
          <w:rFonts w:ascii="Inter" w:cs="Inter" w:eastAsia="Inter" w:hAnsi="Inter"/>
          <w:b w:val="false"/>
          <w:bCs w:val="false"/>
          <w:i w:val="false"/>
          <w:iCs w:val="false"/>
          <w:color w:val="5C4033"/>
          <w:sz w:val="17"/>
          <w:szCs w:val="17"/>
        </w:rPr>
        <w:t xml:space="preserve">The Export button should generate CSV/PDF reports for the selected date range and active tab. JR can use server-side rendering for PDF or client-side CSV generation from the same data already loaded.</w:t>
      </w:r>
    </w:p>
    <w:sectPr>
      <w:headerReference w:type="default" r:id="rId6"/>
      <w:footerReference w:type="default" r:id="rId7"/>
      <w:pgSz w:w="11906" w:h="16838" w:orient="portrait"/>
      <w:pgMar w:top="1000" w:right="900" w:bottom="10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7A644F" w:sz="1" w:space="4"/>
      </w:pBdr>
      <w:jc w:val="center"/>
    </w:pPr>
    <w:r>
      <w:rPr>
        <w:rFonts w:ascii="Inter" w:cs="Inter" w:eastAsia="Inter" w:hAnsi="Inter"/>
        <w:b w:val="false"/>
        <w:bCs w:val="false"/>
        <w:i w:val="false"/>
        <w:iCs w:val="false"/>
        <w:color w:val="7A644F"/>
        <w:sz w:val="12"/>
        <w:szCs w:val="12"/>
      </w:rPr>
      <w:t xml:space="preserve">Page </w:t>
    </w:r>
    <w:r>
      <w:rPr>
        <w:rFonts w:ascii="Inter" w:cs="Inter" w:eastAsia="Inter" w:hAnsi="Inter"/>
        <w:color w:val="7A644F"/>
        <w:sz w:val="12"/>
        <w:szCs w:val="1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Inter" w:cs="Inter" w:eastAsia="Inter" w:hAnsi="Inter"/>
        <w:b w:val="false"/>
        <w:bCs w:val="false"/>
        <w:i w:val="false"/>
        <w:iCs w:val="false"/>
        <w:color w:val="7A644F"/>
        <w:sz w:val="12"/>
        <w:szCs w:val="12"/>
      </w:rPr>
      <w:t xml:space="preserve">TGS  |  Analytics Dashboard  |  Data Source Mapping v1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2026-02-16T00:44:58.880Z</dcterms:created>
  <dcterms:modified xsi:type="dcterms:W3CDTF">2026-02-16T00:44:58.880Z</dcterms:modified>
</cp:coreProperties>
</file>

<file path=docProps/custom.xml><?xml version="1.0" encoding="utf-8"?>
<Properties xmlns="http://schemas.openxmlformats.org/officeDocument/2006/custom-properties" xmlns:vt="http://schemas.openxmlformats.org/officeDocument/2006/docPropsVTypes"/>
</file>