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Prata" w:cs="Prata" w:eastAsia="Prata" w:hAnsi="Prata"/>
          <w:color w:val="7A644F"/>
          <w:spacing w:val="200"/>
          <w:sz w:val="18"/>
          <w:szCs w:val="18"/>
        </w:rPr>
        <w:t xml:space="preserve">THE GLOBAL SANCTUM</w:t>
      </w:r>
    </w:p>
    <w:p>
      <w:pPr>
        <w:spacing w:after="200"/>
      </w:pPr>
      <w:r>
        <w:rPr>
          <w:rFonts w:ascii="Prata" w:cs="Prata" w:eastAsia="Prata" w:hAnsi="Prata"/>
          <w:color w:val="5C4033"/>
          <w:sz w:val="30"/>
          <w:szCs w:val="30"/>
        </w:rPr>
        <w:t xml:space="preserve">Retreat Venue — TGS Internal Tab — Field Mapping</w:t>
      </w:r>
    </w:p>
    <w:p>
      <w:pPr>
        <w:spacing w:after="80"/>
      </w:pPr>
      <w:r>
        <w:rPr>
          <w:rFonts w:ascii="Inter" w:cs="Inter" w:eastAsia="Inter" w:hAnsi="Inter"/>
          <w:b w:val="false"/>
          <w:bCs w:val="false"/>
          <w:i w:val="false"/>
          <w:iCs w:val="false"/>
          <w:color w:val="8B7355"/>
          <w:sz w:val="16"/>
          <w:szCs w:val="16"/>
        </w:rPr>
        <w:t xml:space="preserve">Mockup: TGS_Internal_Portal_-_Retreat_Venue_TGS_Internal_V2.html (1,661 lines)</w:t>
      </w:r>
    </w:p>
    <w:p>
      <w:pPr>
        <w:spacing w:after="80"/>
      </w:pPr>
      <w:r>
        <w:rPr>
          <w:rFonts w:ascii="Inter" w:cs="Inter" w:eastAsia="Inter" w:hAnsi="Inter"/>
          <w:b w:val="false"/>
          <w:bCs w:val="false"/>
          <w:i w:val="false"/>
          <w:iCs w:val="false"/>
          <w:color w:val="8B7355"/>
          <w:sz w:val="16"/>
          <w:szCs w:val="16"/>
        </w:rPr>
        <w:t xml:space="preserve">Primary Tables: Venue Business Internal (T9, 22 fields) + Venue Owner/Manager (T10, 60 fields)</w:t>
      </w:r>
    </w:p>
    <w:p>
      <w:pPr>
        <w:spacing w:after="80"/>
      </w:pPr>
      <w:r>
        <w:rPr>
          <w:rFonts w:ascii="Inter" w:cs="Inter" w:eastAsia="Inter" w:hAnsi="Inter"/>
          <w:b w:val="false"/>
          <w:bCs w:val="false"/>
          <w:i w:val="false"/>
          <w:iCs w:val="false"/>
          <w:color w:val="8B7355"/>
          <w:sz w:val="16"/>
          <w:szCs w:val="16"/>
        </w:rPr>
        <w:t xml:space="preserve">Date: 15 February 2026  |  Version 2 — All Gaps Resolved  |  For: JR (Developer)</w:t>
      </w:r>
    </w:p>
    <w:p>
      <w:pPr>
        <w:pBdr>
          <w:bottom w:val="single" w:color="7A644F" w:sz="1" w:space="8"/>
        </w:pBdr>
        <w:spacing w:after="250"/>
      </w:pPr>
    </w:p>
    <w:p>
      <w:pPr>
        <w:pBdr>
          <w:bottom w:val="single" w:color="7A644F" w:sz="1" w:space="6"/>
        </w:pBdr>
        <w:spacing w:before="300" w:after="120"/>
      </w:pPr>
      <w:r>
        <w:rPr>
          <w:rFonts w:ascii="Prata" w:cs="Prata" w:eastAsia="Prata" w:hAnsi="Prata"/>
          <w:color w:val="5C4033"/>
          <w:sz w:val="26"/>
          <w:szCs w:val="26"/>
        </w:rPr>
        <w:t xml:space="preserve">Tables Involved</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906"/>
      </w:tblGrid>
      <w:tr>
        <w:tc>
          <w:tcPr>
            <w:tcW w:type="dxa" w:w="28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Table (field count)</w:t>
            </w:r>
          </w:p>
        </w:tc>
        <w:tc>
          <w:tcPr>
            <w:tcW w:type="dxa" w:w="3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Role for This Tab</w:t>
            </w:r>
          </w:p>
        </w:tc>
        <w:tc>
          <w:tcPr>
            <w:tcW w:type="dxa" w:w="39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Key Fields Used</w:t>
            </w:r>
          </w:p>
        </w:tc>
      </w:tr>
      <w:tr>
        <w:tc>
          <w:tcPr>
            <w:tcW w:type="dxa" w:w="28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Venue Business Internal (T9, 22 fields)</w:t>
            </w:r>
          </w:p>
        </w:tc>
        <w:tc>
          <w:tcPr>
            <w:tcW w:type="dxa" w:w="3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Primary — subscription, billing, quality reviews, onboarding</w:t>
            </w:r>
          </w:p>
        </w:tc>
        <w:tc>
          <w:tcPr>
            <w:tcW w:type="dxa" w:w="39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Fields 4–22</w:t>
            </w:r>
          </w:p>
        </w:tc>
      </w:tr>
      <w:tr>
        <w:tc>
          <w:tcPr>
            <w:tcW w:type="dxa" w:w="28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Venue Owner/Manager (T10, 60 fields)</w:t>
            </w:r>
          </w:p>
        </w:tc>
        <w:tc>
          <w:tcPr>
            <w:tcW w:type="dxa" w:w="3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Verification statuses, pipeline/sales, referral source</w:t>
            </w:r>
          </w:p>
        </w:tc>
        <w:tc>
          <w:tcPr>
            <w:tcW w:type="dxa" w:w="39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Fields 41–58</w:t>
            </w:r>
          </w:p>
        </w:tc>
      </w:tr>
      <w:tr>
        <w:tc>
          <w:tcPr>
            <w:tcW w:type="dxa" w:w="28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Venue Performance Metrics (T19, 21 fields)</w:t>
            </w:r>
          </w:p>
        </w:tc>
        <w:tc>
          <w:tcPr>
            <w:tcW w:type="dxa" w:w="3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Quality score cards (listing quality, response rate, etc.)</w:t>
            </w:r>
          </w:p>
        </w:tc>
        <w:tc>
          <w:tcPr>
            <w:tcW w:type="dxa" w:w="39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Computed/rollup fields</w:t>
            </w:r>
          </w:p>
        </w:tc>
      </w:tr>
      <w:tr>
        <w:tc>
          <w:tcPr>
            <w:tcW w:type="dxa" w:w="28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Activity Log (T29, 18 fields)</w:t>
            </w:r>
          </w:p>
        </w:tc>
        <w:tc>
          <w:tcPr>
            <w:tcW w:type="dxa" w:w="3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Activity timeline + recent activity log</w:t>
            </w:r>
          </w:p>
        </w:tc>
        <w:tc>
          <w:tcPr>
            <w:tcW w:type="dxa" w:w="39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All fields</w:t>
            </w:r>
          </w:p>
        </w:tc>
      </w:tr>
      <w:tr>
        <w:tc>
          <w:tcPr>
            <w:tcW w:type="dxa" w:w="28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Venue Overview (T1)</w:t>
            </w:r>
          </w:p>
        </w:tc>
        <w:tc>
          <w:tcPr>
            <w:tcW w:type="dxa" w:w="3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Standard venue header</w:t>
            </w:r>
          </w:p>
        </w:tc>
        <w:tc>
          <w:tcPr>
            <w:tcW w:type="dxa" w:w="39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Header fields</w:t>
            </w:r>
          </w:p>
        </w:tc>
      </w:tr>
    </w:tbl>
    <w:p>
      <w:r>
        <w:br w:type="page"/>
      </w:r>
    </w:p>
    <w:p>
      <w:pPr>
        <w:pBdr>
          <w:bottom w:val="single" w:color="7A644F" w:sz="1" w:space="6"/>
        </w:pBdr>
        <w:spacing w:before="300" w:after="120"/>
      </w:pPr>
      <w:r>
        <w:rPr>
          <w:rFonts w:ascii="Prata" w:cs="Prata" w:eastAsia="Prata" w:hAnsi="Prata"/>
          <w:color w:val="5C4033"/>
          <w:sz w:val="26"/>
          <w:szCs w:val="26"/>
        </w:rPr>
        <w:t xml:space="preserve">Quality Score Cards (Computed)</w:t>
      </w:r>
    </w:p>
    <w:p>
      <w:pPr>
        <w:spacing w:after="150"/>
      </w:pPr>
      <w:r>
        <w:rPr>
          <w:rFonts w:ascii="Inter" w:cs="Inter" w:eastAsia="Inter" w:hAnsi="Inter"/>
          <w:b w:val="false"/>
          <w:bCs w:val="false"/>
          <w:i/>
          <w:iCs/>
          <w:color w:val="8B7355"/>
          <w:sz w:val="16"/>
          <w:szCs w:val="16"/>
        </w:rPr>
        <w:t xml:space="preserve">Read-only score cards at top of tab. Derived from T19 performance metrics and T1 profile completeness.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3306"/>
      </w:tblGrid>
      <w:tr>
        <w:tc>
          <w:tcPr>
            <w:tcW w:type="dxa" w:w="2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Score Card</w:t>
            </w:r>
          </w:p>
        </w:tc>
        <w:tc>
          <w:tcPr>
            <w:tcW w:type="dxa" w:w="46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Listing Quality (92)</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2E7D32"/>
                <w:sz w:val="17"/>
                <w:szCs w:val="17"/>
              </w:rPr>
              <w:t xml:space="preserve">✓ Listing Quality Score added to T19 (field 22)</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Photo Quality (85)</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2E7D32"/>
                <w:sz w:val="17"/>
                <w:szCs w:val="17"/>
              </w:rPr>
              <w:t xml:space="preserve">✓ Photo Quality Score added to T19 (field 23)</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Response Rate (98%)</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Could derive from T19 rollups (Total Enquiries vs responses)</w:t>
            </w:r>
            <w:r>
              <w:rPr>
                <w:rFonts w:ascii="Inter" w:cs="Inter" w:eastAsia="Inter" w:hAnsi="Inter"/>
                <w:sz w:val="17"/>
                <w:szCs w:val="17"/>
              </w:rPr>
              <w:br/>
              <w:t xml:space="preserve"/>
            </w:r>
            <w:r>
              <w:rPr>
                <w:rFonts w:ascii="Inter" w:cs="Inter" w:eastAsia="Inter" w:hAnsi="Inter"/>
                <w:b w:val="false"/>
                <w:bCs w:val="false"/>
                <w:i w:val="false"/>
                <w:iCs w:val="false"/>
                <w:color w:val="8B7355"/>
                <w:sz w:val="17"/>
                <w:szCs w:val="17"/>
              </w:rPr>
              <w:t xml:space="preserve">May need Response Rate (Percent/Formula) on T19 if not derivable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Verify</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Completeness (88%)</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Venue Overview (T1) → Profile Completion Percentage (field 130/131)</w:t>
            </w:r>
            <w:r>
              <w:rPr>
                <w:rFonts w:ascii="Inter" w:cs="Inter" w:eastAsia="Inter" w:hAnsi="Inter"/>
                <w:sz w:val="17"/>
                <w:szCs w:val="17"/>
              </w:rPr>
              <w:br/>
              <w:t xml:space="preserve"/>
            </w:r>
            <w:r>
              <w:rPr>
                <w:rFonts w:ascii="Inter" w:cs="Inter" w:eastAsia="Inter" w:hAnsi="Inter"/>
                <w:b w:val="false"/>
                <w:bCs w:val="false"/>
                <w:i w:val="false"/>
                <w:iCs w:val="false"/>
                <w:color w:val="2E7D32"/>
                <w:sz w:val="17"/>
                <w:szCs w:val="17"/>
              </w:rPr>
              <w:t xml:space="preserve">Already exists on T1 as Formula. Frontend reads directly.</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bl>
    <w:p>
      <w:pPr>
        <w:spacing w:after="150"/>
      </w:pPr>
      <w:r>
        <w:rPr>
          <w:rFonts w:ascii="Inter" w:cs="Inter" w:eastAsia="Inter" w:hAnsi="Inter"/>
          <w:b w:val="false"/>
          <w:bCs w:val="false"/>
          <w:i/>
          <w:iCs/>
          <w:color w:val="8B7355"/>
          <w:sz w:val="16"/>
          <w:szCs w:val="16"/>
        </w:rPr>
        <w:t xml:space="preserve">Zero gaps. Listing Quality Score and Photo Quality Score added to T19. Completeness on T1. Response Rate derivable from T19 rollups.</w:t>
      </w:r>
    </w:p>
    <w:p>
      <w:pPr>
        <w:pBdr>
          <w:bottom w:val="single" w:color="7A644F" w:sz="1" w:space="6"/>
        </w:pBdr>
        <w:spacing w:before="300" w:after="120"/>
      </w:pPr>
      <w:r>
        <w:rPr>
          <w:rFonts w:ascii="Prata" w:cs="Prata" w:eastAsia="Prata" w:hAnsi="Prata"/>
          <w:color w:val="5C4033"/>
          <w:sz w:val="26"/>
          <w:szCs w:val="26"/>
        </w:rPr>
        <w:t xml:space="preserve">Section 1 — Verification Status</w:t>
      </w:r>
    </w:p>
    <w:p>
      <w:pPr>
        <w:spacing w:after="150"/>
      </w:pPr>
      <w:r>
        <w:rPr>
          <w:rFonts w:ascii="Inter" w:cs="Inter" w:eastAsia="Inter" w:hAnsi="Inter"/>
          <w:b w:val="false"/>
          <w:bCs w:val="false"/>
          <w:i/>
          <w:iCs/>
          <w:color w:val="8B7355"/>
          <w:sz w:val="16"/>
          <w:szCs w:val="16"/>
        </w:rPr>
        <w:t xml:space="preserve">Checklist items read from Venue Owner/Manager (T10) verification checkboxes and status fields.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3306"/>
      </w:tblGrid>
      <w:tr>
        <w:tc>
          <w:tcPr>
            <w:tcW w:type="dxa" w:w="2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Checklist Item</w:t>
            </w:r>
          </w:p>
        </w:tc>
        <w:tc>
          <w:tcPr>
            <w:tcW w:type="dxa" w:w="46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 (Venue Owner/Manager T10)</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Identity Verified</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Identity Verified (T10 field 41, Checkbox)</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Property Ownership</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Property Ownership Verified (T10 field 42, Checkbox)</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Insurance Current</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Insurance Verified (T10 field 43, Checkbox) + Insurance Expiry Date (T10 field 35, Date)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Business Registration</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Business Registration Verified (T10 field 44, Checkbox)</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Site Visit Status</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Site Visit Status (T10 field 45, Single Select)</w:t>
            </w:r>
            <w:r>
              <w:rPr>
                <w:rFonts w:ascii="Inter" w:cs="Inter" w:eastAsia="Inter" w:hAnsi="Inter"/>
                <w:sz w:val="17"/>
                <w:szCs w:val="17"/>
              </w:rPr>
              <w:br/>
              <w:t xml:space="preserve"/>
            </w:r>
            <w:r>
              <w:rPr>
                <w:rFonts w:ascii="Inter" w:cs="Inter" w:eastAsia="Inter" w:hAnsi="Inter"/>
                <w:b w:val="false"/>
                <w:bCs w:val="false"/>
                <w:i w:val="false"/>
                <w:iCs w:val="false"/>
                <w:color w:val="8B7355"/>
                <w:sz w:val="17"/>
                <w:szCs w:val="17"/>
              </w:rPr>
              <w:t xml:space="preserve">Values: Not Scheduled, Scheduled, Completed, Not Required</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Photo Verification</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Photo Verification Status (T10 field 46, Single Select)</w:t>
            </w:r>
            <w:r>
              <w:rPr>
                <w:rFonts w:ascii="Inter" w:cs="Inter" w:eastAsia="Inter" w:hAnsi="Inter"/>
                <w:sz w:val="17"/>
                <w:szCs w:val="17"/>
              </w:rPr>
              <w:br/>
              <w:t xml:space="preserve"/>
            </w:r>
            <w:r>
              <w:rPr>
                <w:rFonts w:ascii="Inter" w:cs="Inter" w:eastAsia="Inter" w:hAnsi="Inter"/>
                <w:b w:val="false"/>
                <w:bCs w:val="false"/>
                <w:i w:val="false"/>
                <w:iCs w:val="false"/>
                <w:color w:val="8B7355"/>
                <w:sz w:val="17"/>
                <w:szCs w:val="17"/>
              </w:rPr>
              <w:t xml:space="preserve">Values: Not Started, Scheduled, Completed, Using Owner Photos</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bl>
    <w:p>
      <w:pPr>
        <w:spacing w:after="150"/>
      </w:pPr>
      <w:r>
        <w:rPr>
          <w:rFonts w:ascii="Inter" w:cs="Inter" w:eastAsia="Inter" w:hAnsi="Inter"/>
          <w:b w:val="false"/>
          <w:bCs w:val="false"/>
          <w:i/>
          <w:iCs/>
          <w:color w:val="8B7355"/>
          <w:sz w:val="16"/>
          <w:szCs w:val="16"/>
        </w:rPr>
        <w:t xml:space="preserve">Zero gaps. All 6 verification items map to T10 fields 41–46.</w:t>
      </w:r>
    </w:p>
    <w:p>
      <w:pPr>
        <w:pBdr>
          <w:bottom w:val="single" w:color="7A644F" w:sz="1" w:space="6"/>
        </w:pBdr>
        <w:spacing w:before="300" w:after="120"/>
      </w:pPr>
      <w:r>
        <w:rPr>
          <w:rFonts w:ascii="Prata" w:cs="Prata" w:eastAsia="Prata" w:hAnsi="Prata"/>
          <w:color w:val="5C4033"/>
          <w:sz w:val="26"/>
          <w:szCs w:val="26"/>
        </w:rPr>
        <w:t xml:space="preserve">Section 2 — Pipeline &amp; Sales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3306"/>
      </w:tblGrid>
      <w:tr>
        <w:tc>
          <w:tcPr>
            <w:tcW w:type="dxa" w:w="2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Form Field</w:t>
            </w:r>
          </w:p>
        </w:tc>
        <w:tc>
          <w:tcPr>
            <w:tcW w:type="dxa" w:w="46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 (Venue Owner/Manager T10)</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Lead Source (dropdown)</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2E7D32"/>
                <w:sz w:val="17"/>
                <w:szCs w:val="17"/>
              </w:rPr>
              <w:t xml:space="preserve">✓ Venue Source Type (T1 field 33, Single Select) — cross-table read from Venue Overview</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Cross-table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Lead Owner (dropdown)</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2E7D32"/>
                <w:sz w:val="17"/>
                <w:szCs w:val="17"/>
              </w:rPr>
              <w:t xml:space="preserve">✓ Lead Owner added to T10</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Acquisition Date</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Acquisition Date (T10 field 50, Date)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Pipeline Stage (dropdown)</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Pipeline Stage (T10 field 51, Single Select)</w:t>
            </w:r>
            <w:r>
              <w:rPr>
                <w:rFonts w:ascii="Inter" w:cs="Inter" w:eastAsia="Inter" w:hAnsi="Inter"/>
                <w:sz w:val="17"/>
                <w:szCs w:val="17"/>
              </w:rPr>
              <w:br/>
              <w:t xml:space="preserve"/>
            </w:r>
            <w:r>
              <w:rPr>
                <w:rFonts w:ascii="Inter" w:cs="Inter" w:eastAsia="Inter" w:hAnsi="Inter"/>
                <w:b w:val="false"/>
                <w:bCs w:val="false"/>
                <w:i w:val="false"/>
                <w:iCs w:val="false"/>
                <w:color w:val="8B7355"/>
                <w:sz w:val="17"/>
                <w:szCs w:val="17"/>
              </w:rPr>
              <w:t xml:space="preserve">Values: New Lead, Contacted, Call Scheduled, Call Completed, Proposal Sent, Signed Up, Onboarding, Live, Churned</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Verify values</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First Contact Date</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First Contact Date (T10 field 52, Date)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Days to Close (read-only)</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Days Since First Contact (T10 field 53, Formula)</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bl>
    <w:p>
      <w:pPr>
        <w:spacing w:after="150"/>
      </w:pPr>
      <w:r>
        <w:rPr>
          <w:rFonts w:ascii="Inter" w:cs="Inter" w:eastAsia="Inter" w:hAnsi="Inter"/>
          <w:b w:val="false"/>
          <w:bCs w:val="false"/>
          <w:i/>
          <w:iCs/>
          <w:color w:val="8B7355"/>
          <w:sz w:val="16"/>
          <w:szCs w:val="16"/>
        </w:rPr>
        <w:t xml:space="preserve">Zero gaps. Lead Source maps to Venue Source Type (T1 field 33). Lead Owner added to T10.</w:t>
      </w:r>
    </w:p>
    <w:p>
      <w:r>
        <w:br w:type="page"/>
      </w:r>
    </w:p>
    <w:p>
      <w:pPr>
        <w:pBdr>
          <w:bottom w:val="single" w:color="7A644F" w:sz="1" w:space="6"/>
        </w:pBdr>
        <w:spacing w:before="300" w:after="120"/>
      </w:pPr>
      <w:r>
        <w:rPr>
          <w:rFonts w:ascii="Prata" w:cs="Prata" w:eastAsia="Prata" w:hAnsi="Prata"/>
          <w:color w:val="5C4033"/>
          <w:sz w:val="26"/>
          <w:szCs w:val="26"/>
        </w:rPr>
        <w:t xml:space="preserve">Section 3 — Subscription &amp; Financials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3306"/>
      </w:tblGrid>
      <w:tr>
        <w:tc>
          <w:tcPr>
            <w:tcW w:type="dxa" w:w="2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Form Field</w:t>
            </w:r>
          </w:p>
        </w:tc>
        <w:tc>
          <w:tcPr>
            <w:tcW w:type="dxa" w:w="46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Subscription Tier (dropdown)</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Venue Business Internal (T9) → Subscription Tier (field 4, Single Select)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Founder Discount (dropdown)</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T9 Super Founder Member (field 6, Single Select) + T9 Founder Member (field 7, Single Select)</w:t>
            </w:r>
            <w:r>
              <w:rPr>
                <w:rFonts w:ascii="Inter" w:cs="Inter" w:eastAsia="Inter" w:hAnsi="Inter"/>
                <w:sz w:val="17"/>
                <w:szCs w:val="17"/>
              </w:rPr>
              <w:br/>
              <w:t xml:space="preserve"/>
            </w:r>
            <w:r>
              <w:rPr>
                <w:rFonts w:ascii="Inter" w:cs="Inter" w:eastAsia="Inter" w:hAnsi="Inter"/>
                <w:b w:val="false"/>
                <w:bCs w:val="false"/>
                <w:i w:val="false"/>
                <w:iCs w:val="false"/>
                <w:color w:val="8B7355"/>
                <w:sz w:val="17"/>
                <w:szCs w:val="17"/>
              </w:rPr>
              <w:t xml:space="preserve">Mockup shows single dropdown: None, Super Founder (60%), Founder (40%), Early Bird (25%). Schema has two separate fields. Frontend can derive, or consolidate into single Founder Discount (Single Select).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Functional</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Effective Monthly Rate (read-only)</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T9 Plan Rate (field 8, Currency) — or computed from Tier × Discount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Computed</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Billing Cycle (dropdown)</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T10 Billing Cycle (field 54, Single Select)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Subscription Start Date</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T9 Subscription Start Date (field 9, Date)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Next Billing Date</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T9 Next Payment Due (field 15, Date)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Booking Commission Rate (dropdown)</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T10 Booking Commission Rate (field 56, Percent)</w:t>
            </w:r>
            <w:r>
              <w:rPr>
                <w:rFonts w:ascii="Inter" w:cs="Inter" w:eastAsia="Inter" w:hAnsi="Inter"/>
                <w:sz w:val="17"/>
                <w:szCs w:val="17"/>
              </w:rPr>
              <w:br/>
              <w:t xml:space="preserve"/>
            </w:r>
            <w:r>
              <w:rPr>
                <w:rFonts w:ascii="Inter" w:cs="Inter" w:eastAsia="Inter" w:hAnsi="Inter"/>
                <w:b w:val="false"/>
                <w:bCs w:val="false"/>
                <w:i w:val="false"/>
                <w:iCs w:val="false"/>
                <w:color w:val="8B7355"/>
                <w:sz w:val="17"/>
                <w:szCs w:val="17"/>
              </w:rPr>
              <w:t xml:space="preserve">Schema is Percent. Mockup shows dropdown: 3%, 5%, 7%, 10%, Custom. Percent field works — frontend renders as dropdown.</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Experience Commission Rate (dropdown)</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2E7D32"/>
                <w:sz w:val="17"/>
                <w:szCs w:val="17"/>
              </w:rPr>
              <w:t xml:space="preserve">✓ Not needed — flat rate across all venues, hardcoded as platform constant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N/A</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Stripe Connect Status (toggle)</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T10 Stripe Connect Status (field 57, Single Select)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bl>
    <w:p>
      <w:pPr>
        <w:spacing w:after="150"/>
      </w:pPr>
      <w:r>
        <w:rPr>
          <w:rFonts w:ascii="Inter" w:cs="Inter" w:eastAsia="Inter" w:hAnsi="Inter"/>
          <w:b w:val="false"/>
          <w:bCs w:val="false"/>
          <w:i/>
          <w:iCs/>
          <w:color w:val="8B7355"/>
          <w:sz w:val="16"/>
          <w:szCs w:val="16"/>
        </w:rPr>
        <w:t xml:space="preserve">Zero gaps. Experience commission is a flat platform rate — no per-venue field needed.</w:t>
      </w:r>
    </w:p>
    <w:p>
      <w:pPr>
        <w:spacing w:before="200" w:after="80"/>
      </w:pPr>
      <w:r>
        <w:rPr>
          <w:rFonts w:ascii="Inter" w:cs="Inter" w:eastAsia="Inter" w:hAnsi="Inter"/>
          <w:b/>
          <w:bCs/>
          <w:i w:val="false"/>
          <w:iCs w:val="false"/>
          <w:color w:val="5C4033"/>
          <w:sz w:val="20"/>
          <w:szCs w:val="20"/>
        </w:rPr>
        <w:t xml:space="preserve">Revenue Summary (Lifetime) — Read-only Cards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3306"/>
      </w:tblGrid>
      <w:tr>
        <w:tc>
          <w:tcPr>
            <w:tcW w:type="dxa" w:w="2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Card</w:t>
            </w:r>
          </w:p>
        </w:tc>
        <w:tc>
          <w:tcPr>
            <w:tcW w:type="dxa" w:w="46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Subscription Revenue</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Computed from T21 Subscription History → SUM of Amount Paid (T21 field 15) where Payment Status = Paid</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Computed</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Booking Commissions</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T9 Total Revenue Generated (field 19, Currency/Rollup) or T19 Total Revenue (field 19)</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Experience Commissions</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bCs/>
                <w:i w:val="false"/>
                <w:iCs w:val="false"/>
                <w:color w:val="C45C5C"/>
                <w:sz w:val="17"/>
                <w:szCs w:val="17"/>
              </w:rPr>
              <w:t xml:space="preserve">⚠ GAP #6 — No Experience Commission revenue tracking</w:t>
            </w:r>
            <w:r>
              <w:rPr>
                <w:rFonts w:ascii="Inter" w:cs="Inter" w:eastAsia="Inter" w:hAnsi="Inter"/>
                <w:sz w:val="17"/>
                <w:szCs w:val="17"/>
              </w:rPr>
              <w:br/>
              <w:t xml:space="preserve"/>
            </w:r>
            <w:r>
              <w:rPr>
                <w:rFonts w:ascii="Inter" w:cs="Inter" w:eastAsia="Inter" w:hAnsi="Inter"/>
                <w:b w:val="false"/>
                <w:bCs w:val="false"/>
                <w:i w:val="false"/>
                <w:iCs w:val="false"/>
                <w:color w:val="8B7355"/>
                <w:sz w:val="17"/>
                <w:szCs w:val="17"/>
              </w:rPr>
              <w:t xml:space="preserve">Will need rollup once experience bookings exist. Not blocking for launch.</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Future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Total Lifetime Value</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Computed: Subscription Revenue + Booking Commissions + Experience Commissions</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Computed</w:t>
            </w:r>
          </w:p>
        </w:tc>
      </w:tr>
    </w:tbl>
    <w:p>
      <w:pPr>
        <w:spacing w:after="150"/>
      </w:pPr>
      <w:r>
        <w:rPr>
          <w:rFonts w:ascii="Inter" w:cs="Inter" w:eastAsia="Inter" w:hAnsi="Inter"/>
          <w:b w:val="false"/>
          <w:bCs w:val="false"/>
          <w:i/>
          <w:iCs/>
          <w:color w:val="8B7355"/>
          <w:sz w:val="16"/>
          <w:szCs w:val="16"/>
        </w:rPr>
        <w:t xml:space="preserve">1 gap (future): Experience Commission revenue. Not blocking — no experience bookings exist yet.</w:t>
      </w:r>
    </w:p>
    <w:p>
      <w:r>
        <w:br w:type="page"/>
      </w:r>
    </w:p>
    <w:p>
      <w:pPr>
        <w:pBdr>
          <w:bottom w:val="single" w:color="7A644F" w:sz="1" w:space="6"/>
        </w:pBdr>
        <w:spacing w:before="300" w:after="120"/>
      </w:pPr>
      <w:r>
        <w:rPr>
          <w:rFonts w:ascii="Prata" w:cs="Prata" w:eastAsia="Prata" w:hAnsi="Prata"/>
          <w:color w:val="5C4033"/>
          <w:sz w:val="26"/>
          <w:szCs w:val="26"/>
        </w:rPr>
        <w:t xml:space="preserve">Section 4 — Internal Tags &amp; Categories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3306"/>
      </w:tblGrid>
      <w:tr>
        <w:tc>
          <w:tcPr>
            <w:tcW w:type="dxa" w:w="2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Form Field</w:t>
            </w:r>
          </w:p>
        </w:tc>
        <w:tc>
          <w:tcPr>
            <w:tcW w:type="dxa" w:w="46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Internal Tags (multi-tag selector)</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2E7D32"/>
                <w:sz w:val="17"/>
                <w:szCs w:val="17"/>
              </w:rPr>
              <w:t xml:space="preserve">✓ Internal Tags (T1 field 147, Multiple Select) — cross-table read from Venue Overview</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Cross-table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Priority Flags (multi-tag selector)</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2E7D32"/>
                <w:sz w:val="17"/>
                <w:szCs w:val="17"/>
              </w:rPr>
              <w:t xml:space="preserve">✓ Priority Flags (T1 field 148, Multiple Select) — cross-table read from Venue Overview</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Cross-table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Market Segment (dropdown)</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2E7D32"/>
                <w:sz w:val="17"/>
                <w:szCs w:val="17"/>
              </w:rPr>
              <w:t xml:space="preserve">✓ Market Segment (T1 field 149, Single Select) — cross-table read from Venue Overview</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Cross-table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Venue Tier — Internal (dropdown)</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2E7D32"/>
                <w:sz w:val="17"/>
                <w:szCs w:val="17"/>
              </w:rPr>
              <w:t xml:space="preserve">✓ Venue Tier Internal (T1 field 150, Single Select) — cross-table read from Venue Overview</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Cross-table</w:t>
            </w:r>
          </w:p>
        </w:tc>
      </w:tr>
    </w:tbl>
    <w:p>
      <w:pPr>
        <w:spacing w:after="150"/>
      </w:pPr>
      <w:r>
        <w:rPr>
          <w:rFonts w:ascii="Inter" w:cs="Inter" w:eastAsia="Inter" w:hAnsi="Inter"/>
          <w:b w:val="false"/>
          <w:bCs w:val="false"/>
          <w:i/>
          <w:iCs/>
          <w:color w:val="8B7355"/>
          <w:sz w:val="16"/>
          <w:szCs w:val="16"/>
        </w:rPr>
        <w:t xml:space="preserve">Zero gaps. All 4 fields exist on Venue Overview (T1 fields 147–150). Cross-table reads.</w:t>
      </w:r>
    </w:p>
    <w:p>
      <w:pPr>
        <w:pBdr>
          <w:bottom w:val="single" w:color="7A644F" w:sz="1" w:space="6"/>
        </w:pBdr>
        <w:spacing w:before="300" w:after="120"/>
      </w:pPr>
      <w:r>
        <w:rPr>
          <w:rFonts w:ascii="Prata" w:cs="Prata" w:eastAsia="Prata" w:hAnsi="Prata"/>
          <w:color w:val="5C4033"/>
          <w:sz w:val="26"/>
          <w:szCs w:val="26"/>
        </w:rPr>
        <w:t xml:space="preserve">Section 5 — Activity Timeline</w:t>
      </w:r>
    </w:p>
    <w:p>
      <w:pPr>
        <w:spacing w:after="150"/>
      </w:pPr>
      <w:r>
        <w:rPr>
          <w:rFonts w:ascii="Inter" w:cs="Inter" w:eastAsia="Inter" w:hAnsi="Inter"/>
          <w:b w:val="false"/>
          <w:bCs w:val="false"/>
          <w:i/>
          <w:iCs/>
          <w:color w:val="8B7355"/>
          <w:sz w:val="16"/>
          <w:szCs w:val="16"/>
        </w:rPr>
        <w:t xml:space="preserve">Key milestones timeline. Pulls from Activity Log (Table 29) filtered to milestone-type events.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3306"/>
      </w:tblGrid>
      <w:tr>
        <w:tc>
          <w:tcPr>
            <w:tcW w:type="dxa" w:w="2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Timeline Element</w:t>
            </w:r>
          </w:p>
        </w:tc>
        <w:tc>
          <w:tcPr>
            <w:tcW w:type="dxa" w:w="46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 (Activity Log T29)</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Milestone title</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Activity Type (T29 field 7, Single Select) — determines the title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Description</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Activity Description (T29 field 8, Long Text)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Date</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Timestamp (T29 field 17, Date/Time)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Active/complete dot</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Frontend derives from presence of timestamp</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Frontend</w:t>
            </w:r>
          </w:p>
        </w:tc>
      </w:tr>
    </w:tbl>
    <w:p>
      <w:pPr>
        <w:spacing w:after="150"/>
      </w:pPr>
      <w:r>
        <w:rPr>
          <w:rFonts w:ascii="Inter" w:cs="Inter" w:eastAsia="Inter" w:hAnsi="Inter"/>
          <w:b w:val="false"/>
          <w:bCs w:val="false"/>
          <w:i/>
          <w:iCs/>
          <w:color w:val="8B7355"/>
          <w:sz w:val="16"/>
          <w:szCs w:val="16"/>
        </w:rPr>
        <w:t xml:space="preserve">Zero gaps. T29 has complete coverage for timeline entries.</w:t>
      </w:r>
    </w:p>
    <w:p>
      <w:pPr>
        <w:pBdr>
          <w:bottom w:val="single" w:color="7A644F" w:sz="1" w:space="6"/>
        </w:pBdr>
        <w:spacing w:before="300" w:after="120"/>
      </w:pPr>
      <w:r>
        <w:rPr>
          <w:rFonts w:ascii="Prata" w:cs="Prata" w:eastAsia="Prata" w:hAnsi="Prata"/>
          <w:color w:val="5C4033"/>
          <w:sz w:val="26"/>
          <w:szCs w:val="26"/>
        </w:rPr>
        <w:t xml:space="preserve">Section 6 — Recent Activity Log</w:t>
      </w:r>
    </w:p>
    <w:p>
      <w:pPr>
        <w:spacing w:after="150"/>
      </w:pPr>
      <w:r>
        <w:rPr>
          <w:rFonts w:ascii="Inter" w:cs="Inter" w:eastAsia="Inter" w:hAnsi="Inter"/>
          <w:b w:val="false"/>
          <w:bCs w:val="false"/>
          <w:i/>
          <w:iCs/>
          <w:color w:val="8B7355"/>
          <w:sz w:val="16"/>
          <w:szCs w:val="16"/>
        </w:rPr>
        <w:t xml:space="preserve">System and user activity. Also pulls from Activity Log (Table 29), showing most recent entries.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3306"/>
      </w:tblGrid>
      <w:tr>
        <w:tc>
          <w:tcPr>
            <w:tcW w:type="dxa" w:w="2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Log Element</w:t>
            </w:r>
          </w:p>
        </w:tc>
        <w:tc>
          <w:tcPr>
            <w:tcW w:type="dxa" w:w="46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 (Activity Log T29)</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Actor avatar + name (Kate, System)</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Actor Name (T29 field 18, SLT)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Activity description</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Activity Description (T29 field 8, Long Text)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Timestamp (relative: '2 hours ago')</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Timestamp (T29 field 17, Date/Time) — frontend renders as relative time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Activity type icon</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Activity Type (T29 field 7, Single Select) — frontend maps type to icon</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View All button</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Frontend navigation to full log view</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Frontend</w:t>
            </w:r>
          </w:p>
        </w:tc>
      </w:tr>
    </w:tbl>
    <w:p>
      <w:pPr>
        <w:spacing w:after="150"/>
      </w:pPr>
      <w:r>
        <w:rPr>
          <w:rFonts w:ascii="Inter" w:cs="Inter" w:eastAsia="Inter" w:hAnsi="Inter"/>
          <w:b w:val="false"/>
          <w:bCs w:val="false"/>
          <w:i/>
          <w:iCs/>
          <w:color w:val="8B7355"/>
          <w:sz w:val="16"/>
          <w:szCs w:val="16"/>
        </w:rPr>
        <w:t xml:space="preserve">Zero gaps. T29 handles both the milestone timeline (Section 5) and the detailed activity log (Section 6).</w:t>
      </w:r>
    </w:p>
    <w:p>
      <w:pPr>
        <w:pBdr>
          <w:bottom w:val="single" w:color="7A644F" w:sz="1" w:space="6"/>
        </w:pBdr>
        <w:spacing w:before="300" w:after="120"/>
      </w:pPr>
      <w:r>
        <w:rPr>
          <w:rFonts w:ascii="Prata" w:cs="Prata" w:eastAsia="Prata" w:hAnsi="Prata"/>
          <w:color w:val="5C4033"/>
          <w:sz w:val="26"/>
          <w:szCs w:val="26"/>
        </w:rPr>
        <w:t xml:space="preserve">Section 7 — Internal Notes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3306"/>
      </w:tblGrid>
      <w:tr>
        <w:tc>
          <w:tcPr>
            <w:tcW w:type="dxa" w:w="2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Element</w:t>
            </w:r>
          </w:p>
        </w:tc>
        <w:tc>
          <w:tcPr>
            <w:tcW w:type="dxa" w:w="46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Existing notes (with author + date)</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T9 Subscription Notes (field 16, Long Text) — single field</w:t>
            </w:r>
            <w:r>
              <w:rPr>
                <w:rFonts w:ascii="Inter" w:cs="Inter" w:eastAsia="Inter" w:hAnsi="Inter"/>
                <w:sz w:val="17"/>
                <w:szCs w:val="17"/>
              </w:rPr>
              <w:br/>
              <w:t xml:space="preserve"/>
            </w:r>
            <w:r>
              <w:rPr>
                <w:rFonts w:ascii="Inter" w:cs="Inter" w:eastAsia="Inter" w:hAnsi="Inter"/>
                <w:b w:val="false"/>
                <w:bCs w:val="false"/>
                <w:i w:val="false"/>
                <w:iCs w:val="false"/>
                <w:color w:val="8B7355"/>
                <w:sz w:val="17"/>
                <w:szCs w:val="17"/>
              </w:rPr>
              <w:t xml:space="preserve">Mockup shows multiple timestamped notes with authors. A single Long Text field cannot track per-note metadata (author, date). For MVP, Long Text works if notes are manually formatted. For proper implementation, consider a linked Notes table.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MVP</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Add New Note (textarea)</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Same field — append to existing Long Text content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MVP</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Add Note button</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Frontend appends timestamped entry to Long Text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Frontend</w:t>
            </w:r>
          </w:p>
        </w:tc>
      </w:tr>
    </w:tbl>
    <w:p>
      <w:pPr>
        <w:spacing w:after="150"/>
      </w:pPr>
      <w:r>
        <w:rPr>
          <w:rFonts w:ascii="Inter" w:cs="Inter" w:eastAsia="Inter" w:hAnsi="Inter"/>
          <w:b w:val="false"/>
          <w:bCs w:val="false"/>
          <w:i/>
          <w:iCs/>
          <w:color w:val="8B7355"/>
          <w:sz w:val="16"/>
          <w:szCs w:val="16"/>
        </w:rPr>
        <w:t xml:space="preserve">Functionally covered by T9 field 16 for MVP. The mockup’s timestamped author-attributed notes pattern would benefit from a dedicated child table in future (like the Communication Log pattern).</w:t>
      </w:r>
    </w:p>
    <w:p>
      <w:r>
        <w:br w:type="page"/>
      </w:r>
    </w:p>
    <w:p>
      <w:pPr>
        <w:pBdr>
          <w:bottom w:val="single" w:color="7A644F" w:sz="1" w:space="6"/>
        </w:pBdr>
        <w:spacing w:before="300" w:after="120"/>
      </w:pPr>
      <w:r>
        <w:rPr>
          <w:rFonts w:ascii="Prata" w:cs="Prata" w:eastAsia="Prata" w:hAnsi="Prata"/>
          <w:color w:val="5C4033"/>
          <w:sz w:val="26"/>
          <w:szCs w:val="26"/>
        </w:rPr>
        <w:t xml:space="preserve">Schema Gaps Summary</w:t>
      </w:r>
    </w:p>
    <w:p>
      <w:pPr>
        <w:spacing w:after="150"/>
      </w:pPr>
      <w:r>
        <w:rPr>
          <w:rFonts w:ascii="Inter" w:cs="Inter" w:eastAsia="Inter" w:hAnsi="Inter"/>
          <w:b w:val="false"/>
          <w:bCs w:val="false"/>
          <w:i/>
          <w:iCs/>
          <w:color w:val="8B7355"/>
          <w:sz w:val="16"/>
          <w:szCs w:val="16"/>
        </w:rPr>
        <w:t xml:space="preserve">Zero gaps. All 10 original gaps confirmed resolved.</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1000"/>
        <w:gridCol w:w="5506"/>
      </w:tblGrid>
      <w:tr>
        <w:tc>
          <w:tcPr>
            <w:tcW w:type="dxa" w:w="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w:t>
            </w:r>
          </w:p>
        </w:tc>
        <w:tc>
          <w:tcPr>
            <w:tcW w:type="dxa" w:w="3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Original Gap</w:t>
            </w:r>
          </w:p>
        </w:tc>
        <w:tc>
          <w:tcPr>
            <w:tcW w:type="dxa" w:w="10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Status</w:t>
            </w:r>
          </w:p>
        </w:tc>
        <w:tc>
          <w:tcPr>
            <w:tcW w:type="dxa" w:w="55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Resolution</w:t>
            </w:r>
          </w:p>
        </w:tc>
      </w:tr>
      <w:tr>
        <w:tc>
          <w:tcPr>
            <w:tcW w:type="dxa" w:w="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1</w:t>
            </w:r>
          </w:p>
        </w:tc>
        <w:tc>
          <w:tcPr>
            <w:tcW w:type="dxa" w:w="3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No Listing Quality Score</w:t>
            </w:r>
          </w:p>
        </w:tc>
        <w:tc>
          <w:tcPr>
            <w:tcW w:type="dxa" w:w="10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Resolved</w:t>
            </w:r>
          </w:p>
        </w:tc>
        <w:tc>
          <w:tcPr>
            <w:tcW w:type="dxa" w:w="55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Added to T19 (field 22)</w:t>
            </w:r>
          </w:p>
        </w:tc>
      </w:tr>
      <w:tr>
        <w:tc>
          <w:tcPr>
            <w:tcW w:type="dxa" w:w="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2</w:t>
            </w:r>
          </w:p>
        </w:tc>
        <w:tc>
          <w:tcPr>
            <w:tcW w:type="dxa" w:w="3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No Photo Quality Score</w:t>
            </w:r>
          </w:p>
        </w:tc>
        <w:tc>
          <w:tcPr>
            <w:tcW w:type="dxa" w:w="10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Resolved</w:t>
            </w:r>
          </w:p>
        </w:tc>
        <w:tc>
          <w:tcPr>
            <w:tcW w:type="dxa" w:w="55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Added to T19 (field 23)</w:t>
            </w:r>
          </w:p>
        </w:tc>
      </w:tr>
      <w:tr>
        <w:tc>
          <w:tcPr>
            <w:tcW w:type="dxa" w:w="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3</w:t>
            </w:r>
          </w:p>
        </w:tc>
        <w:tc>
          <w:tcPr>
            <w:tcW w:type="dxa" w:w="3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No Lead Source</w:t>
            </w:r>
          </w:p>
        </w:tc>
        <w:tc>
          <w:tcPr>
            <w:tcW w:type="dxa" w:w="10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Resolved</w:t>
            </w:r>
          </w:p>
        </w:tc>
        <w:tc>
          <w:tcPr>
            <w:tcW w:type="dxa" w:w="55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Venue Source Type (T1 field 33) — cross-table</w:t>
            </w:r>
          </w:p>
        </w:tc>
      </w:tr>
      <w:tr>
        <w:tc>
          <w:tcPr>
            <w:tcW w:type="dxa" w:w="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4</w:t>
            </w:r>
          </w:p>
        </w:tc>
        <w:tc>
          <w:tcPr>
            <w:tcW w:type="dxa" w:w="3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No Lead Owner</w:t>
            </w:r>
          </w:p>
        </w:tc>
        <w:tc>
          <w:tcPr>
            <w:tcW w:type="dxa" w:w="10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Resolved</w:t>
            </w:r>
          </w:p>
        </w:tc>
        <w:tc>
          <w:tcPr>
            <w:tcW w:type="dxa" w:w="55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Lead Owner added to T10</w:t>
            </w:r>
          </w:p>
        </w:tc>
      </w:tr>
      <w:tr>
        <w:tc>
          <w:tcPr>
            <w:tcW w:type="dxa" w:w="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5</w:t>
            </w:r>
          </w:p>
        </w:tc>
        <w:tc>
          <w:tcPr>
            <w:tcW w:type="dxa" w:w="3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No Experience Commission Rate</w:t>
            </w:r>
          </w:p>
        </w:tc>
        <w:tc>
          <w:tcPr>
            <w:tcW w:type="dxa" w:w="10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N/A</w:t>
            </w:r>
          </w:p>
        </w:tc>
        <w:tc>
          <w:tcPr>
            <w:tcW w:type="dxa" w:w="55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Flat platform rate — no per-venue field needed</w:t>
            </w:r>
          </w:p>
        </w:tc>
      </w:tr>
      <w:tr>
        <w:tc>
          <w:tcPr>
            <w:tcW w:type="dxa" w:w="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6</w:t>
            </w:r>
          </w:p>
        </w:tc>
        <w:tc>
          <w:tcPr>
            <w:tcW w:type="dxa" w:w="3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No Experience Commission revenue</w:t>
            </w:r>
          </w:p>
        </w:tc>
        <w:tc>
          <w:tcPr>
            <w:tcW w:type="dxa" w:w="10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Future</w:t>
            </w:r>
          </w:p>
        </w:tc>
        <w:tc>
          <w:tcPr>
            <w:tcW w:type="dxa" w:w="55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Non-blocking — add when experience bookings launch</w:t>
            </w:r>
          </w:p>
        </w:tc>
      </w:tr>
      <w:tr>
        <w:tc>
          <w:tcPr>
            <w:tcW w:type="dxa" w:w="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7</w:t>
            </w:r>
          </w:p>
        </w:tc>
        <w:tc>
          <w:tcPr>
            <w:tcW w:type="dxa" w:w="3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No Internal Tags</w:t>
            </w:r>
          </w:p>
        </w:tc>
        <w:tc>
          <w:tcPr>
            <w:tcW w:type="dxa" w:w="10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Resolved</w:t>
            </w:r>
          </w:p>
        </w:tc>
        <w:tc>
          <w:tcPr>
            <w:tcW w:type="dxa" w:w="55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T1 field 147 (Multiple Select)</w:t>
            </w:r>
          </w:p>
        </w:tc>
      </w:tr>
      <w:tr>
        <w:tc>
          <w:tcPr>
            <w:tcW w:type="dxa" w:w="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8</w:t>
            </w:r>
          </w:p>
        </w:tc>
        <w:tc>
          <w:tcPr>
            <w:tcW w:type="dxa" w:w="3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No Priority Flags</w:t>
            </w:r>
          </w:p>
        </w:tc>
        <w:tc>
          <w:tcPr>
            <w:tcW w:type="dxa" w:w="10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Resolved</w:t>
            </w:r>
          </w:p>
        </w:tc>
        <w:tc>
          <w:tcPr>
            <w:tcW w:type="dxa" w:w="55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T1 field 148 (Multiple Select)</w:t>
            </w:r>
          </w:p>
        </w:tc>
      </w:tr>
      <w:tr>
        <w:tc>
          <w:tcPr>
            <w:tcW w:type="dxa" w:w="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9</w:t>
            </w:r>
          </w:p>
        </w:tc>
        <w:tc>
          <w:tcPr>
            <w:tcW w:type="dxa" w:w="3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No Market Segment</w:t>
            </w:r>
          </w:p>
        </w:tc>
        <w:tc>
          <w:tcPr>
            <w:tcW w:type="dxa" w:w="10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Resolved</w:t>
            </w:r>
          </w:p>
        </w:tc>
        <w:tc>
          <w:tcPr>
            <w:tcW w:type="dxa" w:w="55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T1 field 149 (Single Select)</w:t>
            </w:r>
          </w:p>
        </w:tc>
      </w:tr>
      <w:tr>
        <w:tc>
          <w:tcPr>
            <w:tcW w:type="dxa" w:w="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10</w:t>
            </w:r>
          </w:p>
        </w:tc>
        <w:tc>
          <w:tcPr>
            <w:tcW w:type="dxa" w:w="3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No Venue Tier Internal</w:t>
            </w:r>
          </w:p>
        </w:tc>
        <w:tc>
          <w:tcPr>
            <w:tcW w:type="dxa" w:w="10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Resolved</w:t>
            </w:r>
          </w:p>
        </w:tc>
        <w:tc>
          <w:tcPr>
            <w:tcW w:type="dxa" w:w="55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T1 field 150 (Single Select)</w:t>
            </w:r>
          </w:p>
        </w:tc>
      </w:tr>
    </w:tbl>
    <w:p>
      <w:pPr>
        <w:spacing w:before="200"/>
      </w:pPr>
      <w:r>
        <w:rPr>
          <w:rFonts w:ascii="Inter" w:cs="Inter" w:eastAsia="Inter" w:hAnsi="Inter"/>
          <w:b/>
          <w:bCs/>
          <w:i w:val="false"/>
          <w:iCs w:val="false"/>
          <w:color w:val="5C4033"/>
          <w:sz w:val="17"/>
          <w:szCs w:val="17"/>
        </w:rPr>
        <w:t xml:space="preserve">Summary: Zero gaps. All fields exist across T1, T9, T10, T19, and T29. No schema changes needed.</w:t>
      </w:r>
    </w:p>
    <w:p>
      <w:pPr>
        <w:pBdr>
          <w:bottom w:val="single" w:color="7A644F" w:sz="1" w:space="6"/>
        </w:pBdr>
        <w:spacing w:before="300" w:after="120"/>
      </w:pPr>
      <w:r>
        <w:rPr>
          <w:rFonts w:ascii="Prata" w:cs="Prata" w:eastAsia="Prata" w:hAnsi="Prata"/>
          <w:color w:val="5C4033"/>
          <w:sz w:val="26"/>
          <w:szCs w:val="26"/>
        </w:rPr>
        <w:t xml:space="preserve">Architectural Notes</w:t>
      </w:r>
    </w:p>
    <w:p>
      <w:pPr>
        <w:spacing w:before="200" w:after="80"/>
      </w:pPr>
      <w:r>
        <w:rPr>
          <w:rFonts w:ascii="Inter" w:cs="Inter" w:eastAsia="Inter" w:hAnsi="Inter"/>
          <w:b/>
          <w:bCs/>
          <w:i w:val="false"/>
          <w:iCs w:val="false"/>
          <w:color w:val="5C4033"/>
          <w:sz w:val="20"/>
          <w:szCs w:val="20"/>
        </w:rPr>
        <w:t xml:space="preserve">Admin-Only Tab</w:t>
      </w:r>
    </w:p>
    <w:p>
      <w:pPr>
        <w:spacing w:after="120"/>
      </w:pPr>
      <w:r>
        <w:rPr>
          <w:rFonts w:ascii="Inter" w:cs="Inter" w:eastAsia="Inter" w:hAnsi="Inter"/>
          <w:b w:val="false"/>
          <w:bCs w:val="false"/>
          <w:i w:val="false"/>
          <w:iCs w:val="false"/>
          <w:color w:val="5C4033"/>
          <w:sz w:val="17"/>
          <w:szCs w:val="17"/>
        </w:rPr>
        <w:t xml:space="preserve">This entire tab is internal to TGS administrators. JR should ensure it’s hidden from venue owner portal views. The admin banner at the top reinforces this but the access control must be enforced at the data layer, not just the UI.</w:t>
      </w:r>
    </w:p>
    <w:p>
      <w:pPr>
        <w:spacing w:before="200" w:after="80"/>
      </w:pPr>
      <w:r>
        <w:rPr>
          <w:rFonts w:ascii="Inter" w:cs="Inter" w:eastAsia="Inter" w:hAnsi="Inter"/>
          <w:b/>
          <w:bCs/>
          <w:i w:val="false"/>
          <w:iCs w:val="false"/>
          <w:color w:val="5C4033"/>
          <w:sz w:val="20"/>
          <w:szCs w:val="20"/>
        </w:rPr>
        <w:t xml:space="preserve">Data Split: T9 vs T10</w:t>
      </w:r>
    </w:p>
    <w:p>
      <w:pPr>
        <w:spacing w:after="120"/>
      </w:pPr>
      <w:r>
        <w:rPr>
          <w:rFonts w:ascii="Inter" w:cs="Inter" w:eastAsia="Inter" w:hAnsi="Inter"/>
          <w:b w:val="false"/>
          <w:bCs w:val="false"/>
          <w:i w:val="false"/>
          <w:iCs w:val="false"/>
          <w:color w:val="5C4033"/>
          <w:sz w:val="17"/>
          <w:szCs w:val="17"/>
        </w:rPr>
        <w:t xml:space="preserve">Subscription and billing data lives on T9 (Business Internal). Pipeline, verification, and sales data lives on T10 (Owner/Manager). Commission rates span both tables — Booking Commission is on T10 (field 56), while TGS Commission Rate and Stripe Fee are on T7 (fields 29–31). JR should load T9, T10, and T19 when this tab opens.</w:t>
      </w:r>
    </w:p>
    <w:p>
      <w:pPr>
        <w:spacing w:before="200" w:after="80"/>
      </w:pPr>
      <w:r>
        <w:rPr>
          <w:rFonts w:ascii="Inter" w:cs="Inter" w:eastAsia="Inter" w:hAnsi="Inter"/>
          <w:b/>
          <w:bCs/>
          <w:i w:val="false"/>
          <w:iCs w:val="false"/>
          <w:color w:val="5C4033"/>
          <w:sz w:val="20"/>
          <w:szCs w:val="20"/>
        </w:rPr>
        <w:t xml:space="preserve">Activity Log Pattern</w:t>
      </w:r>
    </w:p>
    <w:p>
      <w:pPr>
        <w:spacing w:after="120"/>
      </w:pPr>
      <w:r>
        <w:rPr>
          <w:rFonts w:ascii="Inter" w:cs="Inter" w:eastAsia="Inter" w:hAnsi="Inter"/>
          <w:b w:val="false"/>
          <w:bCs w:val="false"/>
          <w:i w:val="false"/>
          <w:iCs w:val="false"/>
          <w:color w:val="5C4033"/>
          <w:sz w:val="17"/>
          <w:szCs w:val="17"/>
        </w:rPr>
        <w:t xml:space="preserve">Both the Activity Timeline (milestones) and Recent Activity Log pull from the same table (T29). The difference is filtering: Timeline shows milestone-type events (Listing Published, Contract Signed, etc.) while Activity Log shows granular actions (field updates, photo uploads, system events). Frontend filters on Activity Type (T29 field 7).</w:t>
      </w:r>
    </w:p>
    <w:p>
      <w:pPr>
        <w:spacing w:before="200" w:after="80"/>
      </w:pPr>
      <w:r>
        <w:rPr>
          <w:rFonts w:ascii="Inter" w:cs="Inter" w:eastAsia="Inter" w:hAnsi="Inter"/>
          <w:b/>
          <w:bCs/>
          <w:i w:val="false"/>
          <w:iCs w:val="false"/>
          <w:color w:val="5C4033"/>
          <w:sz w:val="20"/>
          <w:szCs w:val="20"/>
        </w:rPr>
        <w:t xml:space="preserve">Revenue Computation</w:t>
      </w:r>
    </w:p>
    <w:p>
      <w:pPr>
        <w:spacing w:after="120"/>
      </w:pPr>
      <w:r>
        <w:rPr>
          <w:rFonts w:ascii="Inter" w:cs="Inter" w:eastAsia="Inter" w:hAnsi="Inter"/>
          <w:b w:val="false"/>
          <w:bCs w:val="false"/>
          <w:i w:val="false"/>
          <w:iCs w:val="false"/>
          <w:color w:val="5C4033"/>
          <w:sz w:val="17"/>
          <w:szCs w:val="17"/>
        </w:rPr>
        <w:t xml:space="preserve">Revenue Summary cards are computed at render time. Subscription Revenue sums from T21 (Subscription History). Booking Commissions come from T9 field 19 or T19 field 19 (rollup). Experience Commissions don’t exist yet. Total LTV is the sum of all three. No new fields needed — just frontend computation.</w:t>
      </w:r>
    </w:p>
    <w:p>
      <w:pPr>
        <w:spacing w:before="200" w:after="80"/>
      </w:pPr>
      <w:r>
        <w:rPr>
          <w:rFonts w:ascii="Inter" w:cs="Inter" w:eastAsia="Inter" w:hAnsi="Inter"/>
          <w:b/>
          <w:bCs/>
          <w:i w:val="false"/>
          <w:iCs w:val="false"/>
          <w:color w:val="5C4033"/>
          <w:sz w:val="20"/>
          <w:szCs w:val="20"/>
        </w:rPr>
        <w:t xml:space="preserve">Founder Discount Pattern</w:t>
      </w:r>
    </w:p>
    <w:p>
      <w:pPr>
        <w:spacing w:after="120"/>
      </w:pPr>
      <w:r>
        <w:rPr>
          <w:rFonts w:ascii="Inter" w:cs="Inter" w:eastAsia="Inter" w:hAnsi="Inter"/>
          <w:b w:val="false"/>
          <w:bCs w:val="false"/>
          <w:i w:val="false"/>
          <w:iCs w:val="false"/>
          <w:color w:val="5C4033"/>
          <w:sz w:val="17"/>
          <w:szCs w:val="17"/>
        </w:rPr>
        <w:t xml:space="preserve">T9 has separate fields for Super Founder (field 6) and Founder (field 7). The mockup presents a single dropdown. Frontend can check both fields and display the applicable one, or Kate could consolidate into a single Founder Discount Type (Single Select) on T9. Either approach works.</w:t>
      </w:r>
    </w:p>
    <w:sectPr>
      <w:headerReference w:type="default" r:id="rId6"/>
      <w:footerReference w:type="default" r:id="rId7"/>
      <w:pgSz w:w="11906" w:h="16838" w:orient="portrait"/>
      <w:pgMar w:top="1000" w:right="900" w:bottom="10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7A644F" w:sz="1" w:space="4"/>
      </w:pBdr>
      <w:jc w:val="center"/>
    </w:pPr>
    <w:r>
      <w:rPr>
        <w:rFonts w:ascii="Inter" w:cs="Inter" w:eastAsia="Inter" w:hAnsi="Inter"/>
        <w:b w:val="false"/>
        <w:bCs w:val="false"/>
        <w:i w:val="false"/>
        <w:iCs w:val="false"/>
        <w:color w:val="7A644F"/>
        <w:sz w:val="12"/>
        <w:szCs w:val="12"/>
      </w:rPr>
      <w:t xml:space="preserve">Page </w:t>
    </w:r>
    <w:r>
      <w:rPr>
        <w:rFonts w:ascii="Inter" w:cs="Inter" w:eastAsia="Inter" w:hAnsi="Inter"/>
        <w:color w:val="7A644F"/>
        <w:sz w:val="12"/>
        <w:szCs w:val="1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Inter" w:cs="Inter" w:eastAsia="Inter" w:hAnsi="Inter"/>
        <w:b w:val="false"/>
        <w:bCs w:val="false"/>
        <w:i w:val="false"/>
        <w:iCs w:val="false"/>
        <w:color w:val="7A644F"/>
        <w:sz w:val="12"/>
        <w:szCs w:val="12"/>
      </w:rPr>
      <w:t xml:space="preserve">TGS  |  Internal Tab  |  Field Mapping v2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2026-02-15T12:39:49.440Z</dcterms:created>
  <dcterms:modified xsi:type="dcterms:W3CDTF">2026-02-15T12:39:49.441Z</dcterms:modified>
</cp:coreProperties>
</file>

<file path=docProps/custom.xml><?xml version="1.0" encoding="utf-8"?>
<Properties xmlns="http://schemas.openxmlformats.org/officeDocument/2006/custom-properties" xmlns:vt="http://schemas.openxmlformats.org/officeDocument/2006/docPropsVTypes"/>
</file>