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Montserrat" w:cs="Montserrat" w:eastAsia="Montserrat" w:hAnsi="Montserrat"/>
          <w:b/>
          <w:bCs/>
          <w:color w:val="7A644F"/>
          <w:spacing w:val="80"/>
          <w:sz w:val="16"/>
          <w:szCs w:val="16"/>
        </w:rPr>
        <w:t xml:space="preserve">DEVELOPER WIRING REFERENCE</w:t>
      </w:r>
    </w:p>
    <w:p>
      <w:pPr>
        <w:spacing w:after="240" w:before="0"/>
      </w:pPr>
      <w:r>
        <w:rPr>
          <w:rFonts w:ascii="Cormorant Garamond" w:cs="Cormorant Garamond" w:eastAsia="Cormorant Garamond" w:hAnsi="Cormorant Garamond"/>
          <w:color w:val="313131"/>
          <w:sz w:val="48"/>
          <w:szCs w:val="48"/>
        </w:rPr>
        <w:t xml:space="preserve">Overview Tab v3 Additions</w:t>
      </w:r>
    </w:p>
    <w:p>
      <w:pPr>
        <w:spacing w:after="360" w:before="0" w:line="280"/>
        <w:jc w:val="left"/>
      </w:pPr>
      <w:r>
        <w:rPr>
          <w:rFonts w:ascii="Montserrat" w:cs="Montserrat" w:eastAsia="Montserrat" w:hAnsi="Montserrat"/>
          <w:b w:val="false"/>
          <w:bCs w:val="false"/>
          <w:i/>
          <w:iCs/>
          <w:color w:val="7A644F"/>
          <w:sz w:val="22"/>
          <w:szCs w:val="22"/>
        </w:rPr>
        <w:t xml:space="preserve">Card upgrade additions — what to wire and where</w:t>
      </w:r>
    </w:p>
    <w:p>
      <w:pPr>
        <w:spacing w:after="240" w:before="0" w:line="280"/>
        <w:jc w:val="left"/>
      </w:pPr>
      <w:r>
        <w:rPr>
          <w:rFonts w:ascii="Montserrat" w:cs="Montserrat" w:eastAsia="Montserrat" w:hAnsi="Montserrat"/>
          <w:b w:val="false"/>
          <w:bCs w:val="false"/>
          <w:i w:val="false"/>
          <w:iCs w:val="false"/>
          <w:color w:val="313131"/>
          <w:sz w:val="20"/>
          <w:szCs w:val="20"/>
        </w:rPr>
        <w:t xml:space="preserve">This document covers the wiring for the v3 Overview tab additions only. All other tabs and existing fields are already wired per the previous handoff and remain unchanged. Treat this as an additive spec.</w:t>
      </w:r>
    </w:p>
    <w:p>
      <w:pPr>
        <w:spacing w:after="120" w:before="0" w:line="280"/>
        <w:jc w:val="left"/>
      </w:pPr>
      <w:r>
        <w:rPr>
          <w:rFonts w:ascii="Montserrat" w:cs="Montserrat" w:eastAsia="Montserrat" w:hAnsi="Montserrat"/>
          <w:b/>
          <w:bCs/>
          <w:i w:val="false"/>
          <w:iCs w:val="false"/>
          <w:color w:val="313131"/>
          <w:sz w:val="20"/>
          <w:szCs w:val="20"/>
        </w:rPr>
        <w:t xml:space="preserve">Three principles to keep in mind throughout:</w:t>
      </w:r>
    </w:p>
    <w:p>
      <w:pPr>
        <w:spacing w:after="80" w:before="0" w:line="280"/>
        <w:jc w:val="left"/>
      </w:pPr>
      <w:r>
        <w:rPr>
          <w:rFonts w:ascii="Montserrat" w:cs="Montserrat" w:eastAsia="Montserrat" w:hAnsi="Montserrat"/>
          <w:b w:val="false"/>
          <w:bCs w:val="false"/>
          <w:i w:val="false"/>
          <w:iCs w:val="false"/>
          <w:color w:val="313131"/>
          <w:sz w:val="20"/>
          <w:szCs w:val="20"/>
        </w:rPr>
        <w:t xml:space="preserve">1.  Backend stays normalized.  Each new field lives in its semantically correct Airtable table (per the v4 schema doc). The portal UI just surfaces them all in one tab for human convenience.</w:t>
      </w:r>
    </w:p>
    <w:p>
      <w:pPr>
        <w:spacing w:after="80" w:before="0" w:line="280"/>
        <w:jc w:val="left"/>
      </w:pPr>
      <w:r>
        <w:rPr>
          <w:rFonts w:ascii="Montserrat" w:cs="Montserrat" w:eastAsia="Montserrat" w:hAnsi="Montserrat"/>
          <w:b w:val="false"/>
          <w:bCs w:val="false"/>
          <w:i w:val="false"/>
          <w:iCs w:val="false"/>
          <w:color w:val="313131"/>
          <w:sz w:val="20"/>
          <w:szCs w:val="20"/>
        </w:rPr>
        <w:t xml:space="preserve">2.  Lookups and rollups are read-only.  Review Count, Average Rating, Price Currency, and Price Unit all render as read-only with the warm-cream background. They auto-compute from their source tables.</w:t>
      </w:r>
    </w:p>
    <w:p>
      <w:pPr>
        <w:spacing w:after="240" w:before="0" w:line="280"/>
        <w:jc w:val="left"/>
      </w:pPr>
      <w:r>
        <w:rPr>
          <w:rFonts w:ascii="Montserrat" w:cs="Montserrat" w:eastAsia="Montserrat" w:hAnsi="Montserrat"/>
          <w:b w:val="false"/>
          <w:bCs w:val="false"/>
          <w:i w:val="false"/>
          <w:iCs w:val="false"/>
          <w:color w:val="313131"/>
          <w:sz w:val="20"/>
          <w:szCs w:val="20"/>
        </w:rPr>
        <w:t xml:space="preserve">3.  Tier-aware rendering.  Card display logic should check the venue tier (after Tier Override resolution) before deciding what to render. Editor Note only shows on Premium; Featured Highlights only on Featured; Highlight Amenities only on Premium chips. See the Tier Logic table on page 3.</w:t>
      </w:r>
    </w:p>
    <w:p>
      <w:pPr>
        <w:spacing w:after="60" w:before="240"/>
      </w:pPr>
      <w:r>
        <w:rPr>
          <w:rFonts w:ascii="Montserrat" w:cs="Montserrat" w:eastAsia="Montserrat" w:hAnsi="Montserrat"/>
          <w:b/>
          <w:bCs/>
          <w:color w:val="7A644F"/>
          <w:spacing w:val="80"/>
          <w:sz w:val="16"/>
          <w:szCs w:val="16"/>
        </w:rPr>
        <w:t xml:space="preserve">SECTION A</w:t>
      </w:r>
    </w:p>
    <w:p>
      <w:pPr>
        <w:spacing w:after="180" w:before="360"/>
      </w:pPr>
      <w:r>
        <w:rPr>
          <w:rFonts w:ascii="Cormorant Garamond" w:cs="Cormorant Garamond" w:eastAsia="Cormorant Garamond" w:hAnsi="Cormorant Garamond"/>
          <w:color w:val="313131"/>
          <w:sz w:val="32"/>
          <w:szCs w:val="32"/>
        </w:rPr>
        <w:t xml:space="preserve">Field-by-field wiring</w:t>
      </w:r>
    </w:p>
    <w:p>
      <w:pPr>
        <w:spacing w:after="240" w:before="0" w:line="280"/>
        <w:jc w:val="left"/>
      </w:pPr>
      <w:r>
        <w:rPr>
          <w:rFonts w:ascii="Montserrat" w:cs="Montserrat" w:eastAsia="Montserrat" w:hAnsi="Montserrat"/>
          <w:b w:val="false"/>
          <w:bCs w:val="false"/>
          <w:i/>
          <w:iCs/>
          <w:color w:val="7A644F"/>
          <w:sz w:val="18"/>
          <w:szCs w:val="18"/>
        </w:rPr>
        <w:t xml:space="preserve">Each row is a single field added to the v3 Overview tab. The Behavior column tells you whether the portal should render an editable input or a read-only display.</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1980"/>
        <w:gridCol w:w="2160"/>
        <w:gridCol w:w="4140"/>
      </w:tblGrid>
      <w:tr>
        <w:trPr>
          <w:tblHeader/>
        </w:trPr>
        <w:tc>
          <w:tcPr>
            <w:tcW w:type="dxa" w:w="162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Portal Label</w:t>
            </w:r>
          </w:p>
        </w:tc>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Airtable Source</w:t>
            </w:r>
          </w:p>
        </w:tc>
        <w:tc>
          <w:tcPr>
            <w:tcW w:type="dxa" w:w="198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Type</w:t>
            </w:r>
          </w:p>
        </w:tc>
        <w:tc>
          <w:tcPr>
            <w:tcW w:type="dxa" w:w="216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Behavior</w:t>
            </w:r>
          </w:p>
        </w:tc>
        <w:tc>
          <w:tcPr>
            <w:tcW w:type="dxa" w:w="414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Card Destination · Notes</w:t>
            </w:r>
          </w:p>
        </w:tc>
      </w:tr>
      <w:tr>
        <w:tc>
          <w:tcPr>
            <w:tcW w:type="dxa" w:w="12600"/>
            <w:gridSpan w:val="5"/>
            <w:tcBorders>
              <w:top w:val="single" w:color="E0D8CC" w:sz="4"/>
              <w:left w:val="none" w:color="FFFFFF" w:sz="0"/>
              <w:bottom w:val="single" w:color="E0D8CC" w:sz="4"/>
              <w:right w:val="none" w:color="FFFFFF" w:sz="0"/>
            </w:tcBorders>
            <w:shd w:fill="F7F5F1" w:val="clear"/>
            <w:tcMar>
              <w:top w:type="dxa" w:w="100"/>
              <w:left w:type="dxa" w:w="120"/>
              <w:bottom w:type="dxa" w:w="100"/>
              <w:right w:type="dxa" w:w="120"/>
            </w:tcMar>
          </w:tcPr>
          <w:p>
            <w:r>
              <w:rPr>
                <w:rFonts w:ascii="Montserrat" w:cs="Montserrat" w:eastAsia="Montserrat" w:hAnsi="Montserrat"/>
                <w:b/>
                <w:bCs/>
                <w:color w:val="7A644F"/>
                <w:spacing w:val="80"/>
                <w:sz w:val="16"/>
                <w:szCs w:val="16"/>
              </w:rPr>
              <w:t xml:space="preserve">EDITORIAL CONTENT</w:t>
            </w:r>
          </w:p>
        </w:tc>
      </w:tr>
      <w:tr>
        <w:tc>
          <w:tcPr>
            <w:tcW w:type="dxa" w:w="162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Editor Note</w:t>
            </w:r>
          </w:p>
        </w:tc>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Marketing Media (T8) #68</w:t>
            </w:r>
          </w:p>
        </w:tc>
        <w:tc>
          <w:tcPr>
            <w:tcW w:type="dxa" w:w="198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Long Text · 600 char max</w:t>
            </w:r>
          </w:p>
        </w:tc>
        <w:tc>
          <w:tcPr>
            <w:tcW w:type="dxa" w:w="216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 + Write</w:t>
            </w:r>
          </w:p>
        </w:tc>
        <w:tc>
          <w:tcPr>
            <w:tcW w:type="dxa" w:w="414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Premium tier · gold italic editor note (between location and tag chips)  ·  Empty for non-Premium tiers. Front-end checks tier before rendering.</w:t>
            </w:r>
          </w:p>
        </w:tc>
      </w:tr>
      <w:tr>
        <w:tc>
          <w:tcPr>
            <w:tcW w:type="dxa" w:w="12600"/>
            <w:gridSpan w:val="5"/>
            <w:tcBorders>
              <w:top w:val="single" w:color="E0D8CC" w:sz="4"/>
              <w:left w:val="none" w:color="FFFFFF" w:sz="0"/>
              <w:bottom w:val="single" w:color="E0D8CC" w:sz="4"/>
              <w:right w:val="none" w:color="FFFFFF" w:sz="0"/>
            </w:tcBorders>
            <w:shd w:fill="F7F5F1" w:val="clear"/>
            <w:tcMar>
              <w:top w:type="dxa" w:w="100"/>
              <w:left w:type="dxa" w:w="120"/>
              <w:bottom w:type="dxa" w:w="100"/>
              <w:right w:type="dxa" w:w="120"/>
            </w:tcMar>
          </w:tcPr>
          <w:p>
            <w:r>
              <w:rPr>
                <w:rFonts w:ascii="Montserrat" w:cs="Montserrat" w:eastAsia="Montserrat" w:hAnsi="Montserrat"/>
                <w:b/>
                <w:bCs/>
                <w:color w:val="7A644F"/>
                <w:spacing w:val="80"/>
                <w:sz w:val="16"/>
                <w:szCs w:val="16"/>
              </w:rPr>
              <w:t xml:space="preserve">EDITORIAL CURATION</w:t>
            </w:r>
          </w:p>
        </w:tc>
      </w:tr>
      <w:tr>
        <w:tc>
          <w:tcPr>
            <w:tcW w:type="dxa" w:w="162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Editorial Feature</w:t>
            </w:r>
          </w:p>
        </w:tc>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Overview (T1) #163 Featured Listing (existing checkbox — REUSED)</w:t>
            </w:r>
          </w:p>
        </w:tc>
        <w:tc>
          <w:tcPr>
            <w:tcW w:type="dxa" w:w="198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Checkbox</w:t>
            </w:r>
          </w:p>
        </w:tc>
        <w:tc>
          <w:tcPr>
            <w:tcW w:type="dxa" w:w="216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 + Write</w:t>
            </w:r>
          </w:p>
        </w:tc>
        <w:tc>
          <w:tcPr>
            <w:tcW w:type="dxa" w:w="414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All tiers · controls whether the Editor's Pick / Trending badge displays  ·  Reuses existing field rather than creating new one. When false, the other Editorial Curation fields are ignored.</w:t>
            </w:r>
          </w:p>
        </w:tc>
      </w:tr>
      <w:tr>
        <w:tc>
          <w:tcPr>
            <w:tcW w:type="dxa" w:w="162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Editorial Feature Reason</w:t>
            </w:r>
          </w:p>
        </w:tc>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Marketing Media (T8) #65</w:t>
            </w:r>
          </w:p>
        </w:tc>
        <w:tc>
          <w:tcPr>
            <w:tcW w:type="dxa" w:w="198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Single Select</w:t>
            </w:r>
          </w:p>
        </w:tc>
        <w:tc>
          <w:tcPr>
            <w:tcW w:type="dxa" w:w="216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 + Write</w:t>
            </w:r>
          </w:p>
        </w:tc>
        <w:tc>
          <w:tcPr>
            <w:tcW w:type="dxa" w:w="414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Internal only · used for sorting and reporting; not displayed publicly  ·  Options: Curator's Pick / Seasonal / Trend / New / Popular / Press</w:t>
            </w:r>
          </w:p>
        </w:tc>
      </w:tr>
      <w:tr>
        <w:tc>
          <w:tcPr>
            <w:tcW w:type="dxa" w:w="162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Editorial Feature Title</w:t>
            </w:r>
          </w:p>
        </w:tc>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Marketing Media (T8) #67</w:t>
            </w:r>
          </w:p>
        </w:tc>
        <w:tc>
          <w:tcPr>
            <w:tcW w:type="dxa" w:w="198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Single Line Text · 30 char max</w:t>
            </w:r>
          </w:p>
        </w:tc>
        <w:tc>
          <w:tcPr>
            <w:tcW w:type="dxa" w:w="216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 + Write</w:t>
            </w:r>
          </w:p>
        </w:tc>
        <w:tc>
          <w:tcPr>
            <w:tcW w:type="dxa" w:w="414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All tiers · the actual badge text on the card  ·  Examples: Editor's Pick · Trending Now · Just Listed · Press Featured</w:t>
            </w:r>
          </w:p>
        </w:tc>
      </w:tr>
      <w:tr>
        <w:tc>
          <w:tcPr>
            <w:tcW w:type="dxa" w:w="162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Editorial Feature Until</w:t>
            </w:r>
          </w:p>
        </w:tc>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Marketing Media (T8) #66</w:t>
            </w:r>
          </w:p>
        </w:tc>
        <w:tc>
          <w:tcPr>
            <w:tcW w:type="dxa" w:w="198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Date</w:t>
            </w:r>
          </w:p>
        </w:tc>
        <w:tc>
          <w:tcPr>
            <w:tcW w:type="dxa" w:w="216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 + Write</w:t>
            </w:r>
          </w:p>
        </w:tc>
        <w:tc>
          <w:tcPr>
            <w:tcW w:type="dxa" w:w="414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Front-end check: hide badge after this date (auto-removal)  ·  If empty, badge displays indefinitely. Recommend always setting a date to keep curation fresh.</w:t>
            </w:r>
          </w:p>
        </w:tc>
      </w:tr>
      <w:tr>
        <w:tc>
          <w:tcPr>
            <w:tcW w:type="dxa" w:w="12600"/>
            <w:gridSpan w:val="5"/>
            <w:tcBorders>
              <w:top w:val="single" w:color="E0D8CC" w:sz="4"/>
              <w:left w:val="none" w:color="FFFFFF" w:sz="0"/>
              <w:bottom w:val="single" w:color="E0D8CC" w:sz="4"/>
              <w:right w:val="none" w:color="FFFFFF" w:sz="0"/>
            </w:tcBorders>
            <w:shd w:fill="F7F5F1" w:val="clear"/>
            <w:tcMar>
              <w:top w:type="dxa" w:w="100"/>
              <w:left w:type="dxa" w:w="120"/>
              <w:bottom w:type="dxa" w:w="100"/>
              <w:right w:type="dxa" w:w="120"/>
            </w:tcMar>
          </w:tcPr>
          <w:p>
            <w:r>
              <w:rPr>
                <w:rFonts w:ascii="Montserrat" w:cs="Montserrat" w:eastAsia="Montserrat" w:hAnsi="Montserrat"/>
                <w:b/>
                <w:bCs/>
                <w:color w:val="7A644F"/>
                <w:spacing w:val="80"/>
                <w:sz w:val="16"/>
                <w:szCs w:val="16"/>
              </w:rPr>
              <w:t xml:space="preserve">CARD DISPLAY SETTINGS</w:t>
            </w:r>
          </w:p>
        </w:tc>
      </w:tr>
      <w:tr>
        <w:tc>
          <w:tcPr>
            <w:tcW w:type="dxa" w:w="162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Tier Override</w:t>
            </w:r>
          </w:p>
        </w:tc>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Overview (T1) #178</w:t>
            </w:r>
          </w:p>
        </w:tc>
        <w:tc>
          <w:tcPr>
            <w:tcW w:type="dxa" w:w="198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Single Select</w:t>
            </w:r>
          </w:p>
        </w:tc>
        <w:tc>
          <w:tcPr>
            <w:tcW w:type="dxa" w:w="216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 + Write</w:t>
            </w:r>
          </w:p>
        </w:tc>
        <w:tc>
          <w:tcPr>
            <w:tcW w:type="dxa" w:w="414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All tiers · overrides auto-tier from Subscription Level  ·  Options: None / Force Featured / Force Premium. Front-end logic: read Tier Override first; if None, fall back to Subscription Level.</w:t>
            </w:r>
          </w:p>
        </w:tc>
      </w:tr>
      <w:tr>
        <w:tc>
          <w:tcPr>
            <w:tcW w:type="dxa" w:w="162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Highlight Amenities</w:t>
            </w:r>
          </w:p>
        </w:tc>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Amenities (T3) #116</w:t>
            </w:r>
          </w:p>
        </w:tc>
        <w:tc>
          <w:tcPr>
            <w:tcW w:type="dxa" w:w="198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Multiple Select · 5-item discipline</w:t>
            </w:r>
          </w:p>
        </w:tc>
        <w:tc>
          <w:tcPr>
            <w:tcW w:type="dxa" w:w="216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 + Write</w:t>
            </w:r>
          </w:p>
        </w:tc>
        <w:tc>
          <w:tcPr>
            <w:tcW w:type="dxa" w:w="414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Premium tier · chip tag list (5 tags below editor note)  ·  Multiple Select doesn't enforce 5-item limit at DB level — front-end should warn if more than 5 selected. Empty for non-Premium tiers.</w:t>
            </w:r>
          </w:p>
        </w:tc>
      </w:tr>
      <w:tr>
        <w:tc>
          <w:tcPr>
            <w:tcW w:type="dxa" w:w="162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Featured Highlights</w:t>
            </w:r>
          </w:p>
        </w:tc>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Marketing Media (T8) #69</w:t>
            </w:r>
          </w:p>
        </w:tc>
        <w:tc>
          <w:tcPr>
            <w:tcW w:type="dxa" w:w="198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Long Text · 200 char max</w:t>
            </w:r>
          </w:p>
        </w:tc>
        <w:tc>
          <w:tcPr>
            <w:tcW w:type="dxa" w:w="216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 + Write</w:t>
            </w:r>
          </w:p>
        </w:tc>
        <w:tc>
          <w:tcPr>
            <w:tcW w:type="dxa" w:w="414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Featured tier · 2–3 line copy (between location and rating)  ·  Format convention: short phrases separated by " · " (middle dot with spaces). Empty for non-Featured tiers.</w:t>
            </w:r>
          </w:p>
        </w:tc>
      </w:tr>
      <w:tr>
        <w:tc>
          <w:tcPr>
            <w:tcW w:type="dxa" w:w="12600"/>
            <w:gridSpan w:val="5"/>
            <w:tcBorders>
              <w:top w:val="single" w:color="E0D8CC" w:sz="4"/>
              <w:left w:val="none" w:color="FFFFFF" w:sz="0"/>
              <w:bottom w:val="single" w:color="E0D8CC" w:sz="4"/>
              <w:right w:val="none" w:color="FFFFFF" w:sz="0"/>
            </w:tcBorders>
            <w:shd w:fill="F7F5F1" w:val="clear"/>
            <w:tcMar>
              <w:top w:type="dxa" w:w="100"/>
              <w:left w:type="dxa" w:w="120"/>
              <w:bottom w:type="dxa" w:w="100"/>
              <w:right w:type="dxa" w:w="120"/>
            </w:tcMar>
          </w:tcPr>
          <w:p>
            <w:r>
              <w:rPr>
                <w:rFonts w:ascii="Montserrat" w:cs="Montserrat" w:eastAsia="Montserrat" w:hAnsi="Montserrat"/>
                <w:b/>
                <w:bCs/>
                <w:color w:val="7A644F"/>
                <w:spacing w:val="80"/>
                <w:sz w:val="16"/>
                <w:szCs w:val="16"/>
              </w:rPr>
              <w:t xml:space="preserve">REVIEWS &amp; PERFORMANCE</w:t>
            </w:r>
          </w:p>
        </w:tc>
      </w:tr>
      <w:tr>
        <w:tc>
          <w:tcPr>
            <w:tcW w:type="dxa" w:w="162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Review Count</w:t>
            </w:r>
          </w:p>
        </w:tc>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Overview (T1) #181</w:t>
            </w:r>
          </w:p>
        </w:tc>
        <w:tc>
          <w:tcPr>
            <w:tcW w:type="dxa" w:w="198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Count (rollup)</w:t>
            </w:r>
          </w:p>
        </w:tc>
        <w:tc>
          <w:tcPr>
            <w:tcW w:type="dxa" w:w="216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Read-only · auto-computed by Airtable</w:t>
            </w:r>
          </w:p>
        </w:tc>
        <w:tc>
          <w:tcPr>
            <w:tcW w:type="dxa" w:w="414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All tiers · "(N reviews)" in card meta row  ·  Counts Reviews where Is Published = TRUE AND Approval Status = Approved. Blank if zero — front-end shows "No reviews yet".</w:t>
            </w:r>
          </w:p>
        </w:tc>
      </w:tr>
      <w:tr>
        <w:tc>
          <w:tcPr>
            <w:tcW w:type="dxa" w:w="162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Average Rating</w:t>
            </w:r>
          </w:p>
        </w:tc>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Overview (T1) #182</w:t>
            </w:r>
          </w:p>
        </w:tc>
        <w:tc>
          <w:tcPr>
            <w:tcW w:type="dxa" w:w="198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Rollup · AVERAGE() · 1 decimal</w:t>
            </w:r>
          </w:p>
        </w:tc>
        <w:tc>
          <w:tcPr>
            <w:tcW w:type="dxa" w:w="216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Read-only · auto-computed by Airtable</w:t>
            </w:r>
          </w:p>
        </w:tc>
        <w:tc>
          <w:tcPr>
            <w:tcW w:type="dxa" w:w="414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All tiers · "★ 4.9" in card meta row (paired with Review Count)  ·  AVERAGE of Reviews #8 Overall Rating with same conditions. Blank if zero reviews — front-end hides the rating block entirely until first review approved.</w:t>
            </w:r>
          </w:p>
        </w:tc>
      </w:tr>
      <w:tr>
        <w:tc>
          <w:tcPr>
            <w:tcW w:type="dxa" w:w="12600"/>
            <w:gridSpan w:val="5"/>
            <w:tcBorders>
              <w:top w:val="single" w:color="E0D8CC" w:sz="4"/>
              <w:left w:val="none" w:color="FFFFFF" w:sz="0"/>
              <w:bottom w:val="single" w:color="E0D8CC" w:sz="4"/>
              <w:right w:val="none" w:color="FFFFFF" w:sz="0"/>
            </w:tcBorders>
            <w:shd w:fill="F7F5F1" w:val="clear"/>
            <w:tcMar>
              <w:top w:type="dxa" w:w="100"/>
              <w:left w:type="dxa" w:w="120"/>
              <w:bottom w:type="dxa" w:w="100"/>
              <w:right w:type="dxa" w:w="120"/>
            </w:tcMar>
          </w:tcPr>
          <w:p>
            <w:r>
              <w:rPr>
                <w:rFonts w:ascii="Montserrat" w:cs="Montserrat" w:eastAsia="Montserrat" w:hAnsi="Montserrat"/>
                <w:b/>
                <w:bCs/>
                <w:color w:val="7A644F"/>
                <w:spacing w:val="80"/>
                <w:sz w:val="16"/>
                <w:szCs w:val="16"/>
              </w:rPr>
              <w:t xml:space="preserve">(ALREADY ON VENUE OVERVIEW)</w:t>
            </w:r>
          </w:p>
        </w:tc>
      </w:tr>
      <w:tr>
        <w:tc>
          <w:tcPr>
            <w:tcW w:type="dxa" w:w="162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Price Currency</w:t>
            </w:r>
          </w:p>
        </w:tc>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Overview (T1) #179 (Lookup)</w:t>
            </w:r>
          </w:p>
        </w:tc>
        <w:tc>
          <w:tcPr>
            <w:tcW w:type="dxa" w:w="198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Lookup from Pricing &amp; Booking (T7) #48</w:t>
            </w:r>
          </w:p>
        </w:tc>
        <w:tc>
          <w:tcPr>
            <w:tcW w:type="dxa" w:w="216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Read-only · auto from Pricing tab</w:t>
            </w:r>
          </w:p>
        </w:tc>
        <w:tc>
          <w:tcPr>
            <w:tcW w:type="dxa" w:w="414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All tiers · currency symbol prefix in price ($ / € / £ / CHF / AUD)  ·  Already lookup-wired in v4 schema. No portal UI change needed — surfaces automatically when Pricing &amp; Booking record is linked.</w:t>
            </w:r>
          </w:p>
        </w:tc>
      </w:tr>
      <w:tr>
        <w:tc>
          <w:tcPr>
            <w:tcW w:type="dxa" w:w="162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8"/>
                <w:szCs w:val="18"/>
              </w:rPr>
              <w:t xml:space="preserve">Price Unit</w:t>
            </w:r>
          </w:p>
        </w:tc>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Courier New" w:cs="Courier New" w:eastAsia="Courier New" w:hAnsi="Courier New"/>
                <w:b w:val="false"/>
                <w:bCs w:val="false"/>
                <w:i w:val="false"/>
                <w:iCs w:val="false"/>
                <w:color w:val="313131"/>
                <w:sz w:val="16"/>
                <w:szCs w:val="16"/>
              </w:rPr>
              <w:t xml:space="preserve">Venue Overview (T1) #180 (Lookup)</w:t>
            </w:r>
          </w:p>
        </w:tc>
        <w:tc>
          <w:tcPr>
            <w:tcW w:type="dxa" w:w="198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Lookup from Pricing &amp; Booking (T7) #4</w:t>
            </w:r>
          </w:p>
        </w:tc>
        <w:tc>
          <w:tcPr>
            <w:tcW w:type="dxa" w:w="216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Read-only · auto from Pricing tab</w:t>
            </w:r>
          </w:p>
        </w:tc>
        <w:tc>
          <w:tcPr>
            <w:tcW w:type="dxa" w:w="414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All tiers · unit suffix on price ("/per night" or "/per session" or "/entry")  ·  Already lookup-wired. Combined with Price Currency + Price From for full card price string.</w:t>
            </w:r>
          </w:p>
        </w:tc>
      </w:tr>
    </w:tbl>
    <w:p>
      <w:r>
        <w:br w:type="page"/>
      </w:r>
    </w:p>
    <w:p>
      <w:pPr>
        <w:spacing w:after="60" w:before="240"/>
      </w:pPr>
      <w:r>
        <w:rPr>
          <w:rFonts w:ascii="Montserrat" w:cs="Montserrat" w:eastAsia="Montserrat" w:hAnsi="Montserrat"/>
          <w:b/>
          <w:bCs/>
          <w:color w:val="7A644F"/>
          <w:spacing w:val="80"/>
          <w:sz w:val="16"/>
          <w:szCs w:val="16"/>
        </w:rPr>
        <w:t xml:space="preserve">SECTION B</w:t>
      </w:r>
    </w:p>
    <w:p>
      <w:pPr>
        <w:spacing w:after="180" w:before="360"/>
      </w:pPr>
      <w:r>
        <w:rPr>
          <w:rFonts w:ascii="Cormorant Garamond" w:cs="Cormorant Garamond" w:eastAsia="Cormorant Garamond" w:hAnsi="Cormorant Garamond"/>
          <w:color w:val="313131"/>
          <w:sz w:val="32"/>
          <w:szCs w:val="32"/>
        </w:rPr>
        <w:t xml:space="preserve">Public card tier logic</w:t>
      </w:r>
    </w:p>
    <w:p>
      <w:pPr>
        <w:spacing w:after="240" w:before="0" w:line="280"/>
        <w:jc w:val="left"/>
      </w:pPr>
      <w:r>
        <w:rPr>
          <w:rFonts w:ascii="Montserrat" w:cs="Montserrat" w:eastAsia="Montserrat" w:hAnsi="Montserrat"/>
          <w:b w:val="false"/>
          <w:bCs w:val="false"/>
          <w:i/>
          <w:iCs/>
          <w:color w:val="7A644F"/>
          <w:sz w:val="18"/>
          <w:szCs w:val="18"/>
        </w:rPr>
        <w:t xml:space="preserve">What renders on each card tier when the venue page is built. Use this to gate field rendering — most fields conditionally render based on tier.</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700"/>
        <w:gridCol w:w="2475"/>
        <w:gridCol w:w="2475"/>
        <w:gridCol w:w="2475"/>
        <w:gridCol w:w="2475"/>
      </w:tblGrid>
      <w:tr>
        <w:trPr>
          <w:tblHeader/>
        </w:trPr>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Card Element</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Premium</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Featured</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Standard</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Essentials</w:t>
            </w:r>
          </w:p>
        </w:tc>
      </w:tr>
      <w:tr>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Hero photo</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Required (16:9)</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Required</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Required</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Required</w:t>
            </w:r>
          </w:p>
        </w:tc>
      </w:tr>
      <w:tr>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Editorial badge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If feat. on</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If feat. on</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If feat. on</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If feat. on</w:t>
            </w:r>
          </w:p>
        </w:tc>
      </w:tr>
      <w:tr>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Type eyebrow</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r>
      <w:tr>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Venue name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r>
      <w:tr>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Location</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r>
      <w:tr>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Editor Note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 (gold italic)</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r>
      <w:tr>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Excerpt</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r>
      <w:tr>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Highlight amenities (chips)</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 (5 chips)</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r>
      <w:tr>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Featured Highlights (line)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r>
      <w:tr>
        <w:tc>
          <w:tcPr>
            <w:tcW w:type="dxa" w:w="2700"/>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Rating + count</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shd w:fill="FDFCF9" w:val="clear"/>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r>
      <w:tr>
        <w:tc>
          <w:tcPr>
            <w:tcW w:type="dxa" w:w="2700"/>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bCs/>
                <w:i w:val="false"/>
                <w:iCs w:val="false"/>
                <w:color w:val="313131"/>
                <w:sz w:val="16"/>
                <w:szCs w:val="16"/>
              </w:rPr>
              <w:t xml:space="preserve">Price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c>
          <w:tcPr>
            <w:tcW w:type="dxa" w:w="2475"/>
            <w:tcBorders>
              <w:top w:val="none" w:color="FFFFFF" w:sz="0"/>
              <w:left w:val="none" w:color="FFFFFF" w:sz="0"/>
              <w:bottom w:val="single" w:color="E0D8CC" w:sz="4"/>
              <w:right w:val="none" w:color="FFFFFF" w:sz="0"/>
            </w:tcBorders>
            <w:tcMar>
              <w:top w:type="dxa" w:w="80"/>
              <w:left w:type="dxa" w:w="100"/>
              <w:bottom w:type="dxa" w:w="80"/>
              <w:right w:type="dxa" w:w="100"/>
            </w:tcMar>
          </w:tcPr>
          <w:p>
            <w:pPr>
              <w:spacing w:line="260"/>
            </w:pPr>
            <w:r>
              <w:rPr>
                <w:rFonts w:ascii="Montserrat" w:cs="Montserrat" w:eastAsia="Montserrat" w:hAnsi="Montserrat"/>
                <w:b w:val="false"/>
                <w:bCs w:val="false"/>
                <w:i w:val="false"/>
                <w:iCs w:val="false"/>
                <w:color w:val="313131"/>
                <w:sz w:val="16"/>
                <w:szCs w:val="16"/>
              </w:rPr>
              <w:t xml:space="preserve">✓</w:t>
            </w:r>
          </w:p>
        </w:tc>
      </w:tr>
    </w:tbl>
    <w:p>
      <w:pPr>
        <w:spacing w:after="120" w:before="240"/>
      </w:pPr>
      <w:r>
        <w:rPr>
          <w:rFonts w:ascii="Montserrat" w:cs="Montserrat" w:eastAsia="Montserrat" w:hAnsi="Montserrat"/>
          <w:b/>
          <w:bCs/>
          <w:color w:val="313131"/>
          <w:sz w:val="22"/>
          <w:szCs w:val="22"/>
        </w:rPr>
        <w:t xml:space="preserve">Tier resolution order</w:t>
      </w:r>
    </w:p>
    <w:p>
      <w:pPr>
        <w:spacing w:after="80" w:before="0" w:line="280"/>
        <w:jc w:val="left"/>
      </w:pPr>
      <w:r>
        <w:rPr>
          <w:rFonts w:ascii="Montserrat" w:cs="Montserrat" w:eastAsia="Montserrat" w:hAnsi="Montserrat"/>
          <w:b w:val="false"/>
          <w:bCs w:val="false"/>
          <w:i w:val="false"/>
          <w:iCs w:val="false"/>
          <w:color w:val="313131"/>
          <w:sz w:val="20"/>
          <w:szCs w:val="20"/>
        </w:rPr>
        <w:t xml:space="preserve">When the front-end queries a venue, resolve the effective display tier in this order:</w:t>
      </w:r>
    </w:p>
    <w:p>
      <w:pPr>
        <w:spacing w:after="60" w:before="0" w:line="280"/>
        <w:jc w:val="left"/>
      </w:pPr>
      <w:r>
        <w:rPr>
          <w:rFonts w:ascii="Montserrat" w:cs="Montserrat" w:eastAsia="Montserrat" w:hAnsi="Montserrat"/>
          <w:b w:val="false"/>
          <w:bCs w:val="false"/>
          <w:i w:val="false"/>
          <w:iCs w:val="false"/>
          <w:color w:val="313131"/>
          <w:sz w:val="20"/>
          <w:szCs w:val="20"/>
        </w:rPr>
        <w:t xml:space="preserve">1.  Read Tier Override (Venue Overview #178). If "Force Featured" or "Force Premium", that's the effective tier — stop.</w:t>
      </w:r>
    </w:p>
    <w:p>
      <w:pPr>
        <w:spacing w:after="60" w:before="0" w:line="280"/>
        <w:jc w:val="left"/>
      </w:pPr>
      <w:r>
        <w:rPr>
          <w:rFonts w:ascii="Montserrat" w:cs="Montserrat" w:eastAsia="Montserrat" w:hAnsi="Montserrat"/>
          <w:b w:val="false"/>
          <w:bCs w:val="false"/>
          <w:i w:val="false"/>
          <w:iCs w:val="false"/>
          <w:color w:val="313131"/>
          <w:sz w:val="20"/>
          <w:szCs w:val="20"/>
        </w:rPr>
        <w:t xml:space="preserve">2.  Otherwise read Subscription Level (Venue Overview #36). That's the effective tier.</w:t>
      </w:r>
    </w:p>
    <w:p>
      <w:pPr>
        <w:spacing w:after="240" w:before="0" w:line="280"/>
        <w:jc w:val="left"/>
      </w:pPr>
      <w:r>
        <w:rPr>
          <w:rFonts w:ascii="Montserrat" w:cs="Montserrat" w:eastAsia="Montserrat" w:hAnsi="Montserrat"/>
          <w:b w:val="false"/>
          <w:bCs w:val="false"/>
          <w:i w:val="false"/>
          <w:iCs w:val="false"/>
          <w:color w:val="313131"/>
          <w:sz w:val="20"/>
          <w:szCs w:val="20"/>
        </w:rPr>
        <w:t xml:space="preserve">3.  If both are unset (data error), fall back to "Essentials" and log a warning.</w:t>
      </w:r>
    </w:p>
    <w:p>
      <w:pPr>
        <w:spacing w:after="120" w:before="240"/>
      </w:pPr>
      <w:r>
        <w:rPr>
          <w:rFonts w:ascii="Montserrat" w:cs="Montserrat" w:eastAsia="Montserrat" w:hAnsi="Montserrat"/>
          <w:b/>
          <w:bCs/>
          <w:color w:val="313131"/>
          <w:sz w:val="22"/>
          <w:szCs w:val="22"/>
        </w:rPr>
        <w:t xml:space="preserve">Editorial badge resolution</w:t>
      </w:r>
    </w:p>
    <w:p>
      <w:pPr>
        <w:spacing w:after="80" w:before="0" w:line="280"/>
        <w:jc w:val="left"/>
      </w:pPr>
      <w:r>
        <w:rPr>
          <w:rFonts w:ascii="Montserrat" w:cs="Montserrat" w:eastAsia="Montserrat" w:hAnsi="Montserrat"/>
          <w:b w:val="false"/>
          <w:bCs w:val="false"/>
          <w:i w:val="false"/>
          <w:iCs w:val="false"/>
          <w:color w:val="313131"/>
          <w:sz w:val="20"/>
          <w:szCs w:val="20"/>
        </w:rPr>
        <w:t xml:space="preserve">When deciding whether to show the editorial badge:</w:t>
      </w:r>
    </w:p>
    <w:p>
      <w:pPr>
        <w:spacing w:after="60" w:before="0" w:line="280"/>
        <w:jc w:val="left"/>
      </w:pPr>
      <w:r>
        <w:rPr>
          <w:rFonts w:ascii="Montserrat" w:cs="Montserrat" w:eastAsia="Montserrat" w:hAnsi="Montserrat"/>
          <w:b w:val="false"/>
          <w:bCs w:val="false"/>
          <w:i w:val="false"/>
          <w:iCs w:val="false"/>
          <w:color w:val="313131"/>
          <w:sz w:val="20"/>
          <w:szCs w:val="20"/>
        </w:rPr>
        <w:t xml:space="preserve">1.  Check Editorial Feature (Venue Overview #163 Featured Listing). If false, hide badge — stop.</w:t>
      </w:r>
    </w:p>
    <w:p>
      <w:pPr>
        <w:spacing w:after="60" w:before="0" w:line="280"/>
        <w:jc w:val="left"/>
      </w:pPr>
      <w:r>
        <w:rPr>
          <w:rFonts w:ascii="Montserrat" w:cs="Montserrat" w:eastAsia="Montserrat" w:hAnsi="Montserrat"/>
          <w:b w:val="false"/>
          <w:bCs w:val="false"/>
          <w:i w:val="false"/>
          <w:iCs w:val="false"/>
          <w:color w:val="313131"/>
          <w:sz w:val="20"/>
          <w:szCs w:val="20"/>
        </w:rPr>
        <w:t xml:space="preserve">2.  Check Editorial Feature Until (Venue Marketing Media #66). If set and in the past, hide badge — stop.</w:t>
      </w:r>
    </w:p>
    <w:p>
      <w:pPr>
        <w:spacing w:after="240" w:before="0" w:line="280"/>
        <w:jc w:val="left"/>
      </w:pPr>
      <w:r>
        <w:rPr>
          <w:rFonts w:ascii="Montserrat" w:cs="Montserrat" w:eastAsia="Montserrat" w:hAnsi="Montserrat"/>
          <w:b w:val="false"/>
          <w:bCs w:val="false"/>
          <w:i w:val="false"/>
          <w:iCs w:val="false"/>
          <w:color w:val="313131"/>
          <w:sz w:val="20"/>
          <w:szCs w:val="20"/>
        </w:rPr>
        <w:t xml:space="preserve">3.  Render Editorial Feature Title (Venue Marketing Media #67) as the badge text.</w:t>
      </w:r>
    </w:p>
    <w:p>
      <w:pPr>
        <w:spacing w:after="60" w:before="240"/>
      </w:pPr>
      <w:r>
        <w:rPr>
          <w:rFonts w:ascii="Montserrat" w:cs="Montserrat" w:eastAsia="Montserrat" w:hAnsi="Montserrat"/>
          <w:b/>
          <w:bCs/>
          <w:color w:val="7A644F"/>
          <w:spacing w:val="80"/>
          <w:sz w:val="16"/>
          <w:szCs w:val="16"/>
        </w:rPr>
        <w:t xml:space="preserve">SECTION C</w:t>
      </w:r>
    </w:p>
    <w:p>
      <w:pPr>
        <w:spacing w:after="180" w:before="360"/>
      </w:pPr>
      <w:r>
        <w:rPr>
          <w:rFonts w:ascii="Cormorant Garamond" w:cs="Cormorant Garamond" w:eastAsia="Cormorant Garamond" w:hAnsi="Cormorant Garamond"/>
          <w:color w:val="313131"/>
          <w:sz w:val="32"/>
          <w:szCs w:val="32"/>
        </w:rPr>
        <w:t xml:space="preserve">What's NOT changing</w:t>
      </w:r>
    </w:p>
    <w:p>
      <w:pPr>
        <w:spacing w:after="120" w:before="0" w:line="280"/>
        <w:jc w:val="left"/>
      </w:pPr>
      <w:r>
        <w:rPr>
          <w:rFonts w:ascii="Montserrat" w:cs="Montserrat" w:eastAsia="Montserrat" w:hAnsi="Montserrat"/>
          <w:b w:val="false"/>
          <w:bCs w:val="false"/>
          <w:i w:val="false"/>
          <w:iCs w:val="false"/>
          <w:color w:val="313131"/>
          <w:sz w:val="20"/>
          <w:szCs w:val="20"/>
        </w:rPr>
        <w:t xml:space="preserve">The following remain untouched and should not be modified as part of this v3 work:</w:t>
      </w:r>
    </w:p>
    <w:p>
      <w:pPr>
        <w:spacing w:after="60" w:before="0" w:line="280"/>
        <w:jc w:val="left"/>
      </w:pPr>
      <w:r>
        <w:rPr>
          <w:rFonts w:ascii="Montserrat" w:cs="Montserrat" w:eastAsia="Montserrat" w:hAnsi="Montserrat"/>
          <w:b w:val="false"/>
          <w:bCs w:val="false"/>
          <w:i w:val="false"/>
          <w:iCs w:val="false"/>
          <w:color w:val="313131"/>
          <w:sz w:val="20"/>
          <w:szCs w:val="20"/>
        </w:rPr>
        <w:t xml:space="preserve">•  All other Overview tab sections and fields not listed above</w:t>
      </w:r>
    </w:p>
    <w:p>
      <w:pPr>
        <w:spacing w:after="60" w:before="0" w:line="280"/>
        <w:jc w:val="left"/>
      </w:pPr>
      <w:r>
        <w:rPr>
          <w:rFonts w:ascii="Montserrat" w:cs="Montserrat" w:eastAsia="Montserrat" w:hAnsi="Montserrat"/>
          <w:b w:val="false"/>
          <w:bCs w:val="false"/>
          <w:i w:val="false"/>
          <w:iCs w:val="false"/>
          <w:color w:val="313131"/>
          <w:sz w:val="20"/>
          <w:szCs w:val="20"/>
        </w:rPr>
        <w:t xml:space="preserve">•  All other portal tabs (Accommodation, Amenities, Wellness Services, Wellness Facilities, Retreat Spaces, Pricing &amp; Booking, Marketing Media, Business Internal, Owner/Manager, Values &amp; Impact, Bookings, Booking FAQ, Availability, Add-On Fees, Seasonal Rates, Accommodation Rooms, Team Members, Performance Metrics, Subscription, Reviews, Communication Logs, Locations)</w:t>
      </w:r>
    </w:p>
    <w:p>
      <w:pPr>
        <w:spacing w:after="60" w:before="0" w:line="280"/>
        <w:jc w:val="left"/>
      </w:pPr>
      <w:r>
        <w:rPr>
          <w:rFonts w:ascii="Montserrat" w:cs="Montserrat" w:eastAsia="Montserrat" w:hAnsi="Montserrat"/>
          <w:b w:val="false"/>
          <w:bCs w:val="false"/>
          <w:i w:val="false"/>
          <w:iCs w:val="false"/>
          <w:color w:val="313131"/>
          <w:sz w:val="20"/>
          <w:szCs w:val="20"/>
        </w:rPr>
        <w:t xml:space="preserve">•  All API endpoints and data flows other than the new fields covered above</w:t>
      </w:r>
    </w:p>
    <w:p>
      <w:pPr>
        <w:spacing w:after="240" w:before="0" w:line="280"/>
        <w:jc w:val="left"/>
      </w:pPr>
      <w:r>
        <w:rPr>
          <w:rFonts w:ascii="Montserrat" w:cs="Montserrat" w:eastAsia="Montserrat" w:hAnsi="Montserrat"/>
          <w:b w:val="false"/>
          <w:bCs w:val="false"/>
          <w:i w:val="false"/>
          <w:iCs w:val="false"/>
          <w:color w:val="313131"/>
          <w:sz w:val="20"/>
          <w:szCs w:val="20"/>
        </w:rPr>
        <w:t xml:space="preserve">•  The public venue card layout itself (already designed in tgs_venues_v3.html — this doc only covers data wiring to those existing card slots)</w:t>
      </w:r>
    </w:p>
    <w:p>
      <w:pPr>
        <w:spacing w:after="60" w:before="240"/>
      </w:pPr>
      <w:r>
        <w:rPr>
          <w:rFonts w:ascii="Montserrat" w:cs="Montserrat" w:eastAsia="Montserrat" w:hAnsi="Montserrat"/>
          <w:b/>
          <w:bCs/>
          <w:color w:val="7A644F"/>
          <w:spacing w:val="80"/>
          <w:sz w:val="16"/>
          <w:szCs w:val="16"/>
        </w:rPr>
        <w:t xml:space="preserve">REFERENCE</w:t>
      </w:r>
    </w:p>
    <w:p>
      <w:pPr>
        <w:spacing w:after="180" w:before="360"/>
      </w:pPr>
      <w:r>
        <w:rPr>
          <w:rFonts w:ascii="Cormorant Garamond" w:cs="Cormorant Garamond" w:eastAsia="Cormorant Garamond" w:hAnsi="Cormorant Garamond"/>
          <w:color w:val="313131"/>
          <w:sz w:val="32"/>
          <w:szCs w:val="32"/>
        </w:rPr>
        <w:t xml:space="preserve">Source documents</w:t>
      </w:r>
    </w:p>
    <w:p>
      <w:pPr>
        <w:spacing w:after="60" w:before="0" w:line="280"/>
        <w:jc w:val="left"/>
      </w:pPr>
      <w:r>
        <w:rPr>
          <w:rFonts w:ascii="Montserrat" w:cs="Montserrat" w:eastAsia="Montserrat" w:hAnsi="Montserrat"/>
          <w:b w:val="false"/>
          <w:bCs w:val="false"/>
          <w:i w:val="false"/>
          <w:iCs w:val="false"/>
          <w:color w:val="313131"/>
          <w:sz w:val="20"/>
          <w:szCs w:val="20"/>
        </w:rPr>
        <w:t xml:space="preserve">•  TGS_Complete_Airtable_Schema_v4.docx  ·  field locations and types</w:t>
      </w:r>
    </w:p>
    <w:p>
      <w:pPr>
        <w:spacing w:after="60" w:before="0" w:line="280"/>
        <w:jc w:val="left"/>
      </w:pPr>
      <w:r>
        <w:rPr>
          <w:rFonts w:ascii="Montserrat" w:cs="Montserrat" w:eastAsia="Montserrat" w:hAnsi="Montserrat"/>
          <w:b w:val="false"/>
          <w:bCs w:val="false"/>
          <w:i w:val="false"/>
          <w:iCs w:val="false"/>
          <w:color w:val="313131"/>
          <w:sz w:val="20"/>
          <w:szCs w:val="20"/>
        </w:rPr>
        <w:t xml:space="preserve">•  TGS_Internal_Portal_-_Retreat_Venue_Overview_Tab_V3.html  ·  retreat portal mockup with new fields</w:t>
      </w:r>
    </w:p>
    <w:p>
      <w:pPr>
        <w:spacing w:after="60" w:before="0" w:line="280"/>
        <w:jc w:val="left"/>
      </w:pPr>
      <w:r>
        <w:rPr>
          <w:rFonts w:ascii="Montserrat" w:cs="Montserrat" w:eastAsia="Montserrat" w:hAnsi="Montserrat"/>
          <w:b w:val="false"/>
          <w:bCs w:val="false"/>
          <w:i w:val="false"/>
          <w:iCs w:val="false"/>
          <w:color w:val="313131"/>
          <w:sz w:val="20"/>
          <w:szCs w:val="20"/>
        </w:rPr>
        <w:t xml:space="preserve">•  TGS_Internal_Portal_-_Wellness_Venue_Overview_V3.html  ·  wellness portal mockup with new fields</w:t>
      </w:r>
    </w:p>
    <w:p>
      <w:pPr>
        <w:spacing w:after="240" w:before="0" w:line="280"/>
        <w:jc w:val="left"/>
      </w:pPr>
      <w:r>
        <w:rPr>
          <w:rFonts w:ascii="Montserrat" w:cs="Montserrat" w:eastAsia="Montserrat" w:hAnsi="Montserrat"/>
          <w:b w:val="false"/>
          <w:bCs w:val="false"/>
          <w:i w:val="false"/>
          <w:iCs w:val="false"/>
          <w:color w:val="313131"/>
          <w:sz w:val="20"/>
          <w:szCs w:val="20"/>
        </w:rPr>
        <w:t xml:space="preserve">•  tgs_venues_v3.html  ·  public card layout (reference only — no changes)</w:t>
      </w:r>
    </w:p>
    <w:sectPr>
      <w:headerReference w:type="default" r:id="rId7"/>
      <w:footerReference w:type="default" r:id="rId8"/>
      <w:pgSz w:w="12240" w:h="158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7A644F"/>
        <w:sz w:val="14"/>
        <w:szCs w:val="14"/>
      </w:rPr>
      <w:t xml:space="preserve">Confidential · For Internal Development Use Only · v3 · 07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Montserrat" w:cs="Montserrat" w:eastAsia="Montserrat" w:hAnsi="Montserrat"/>
        <w:b/>
        <w:bCs/>
        <w:color w:val="7A644F"/>
        <w:spacing w:val="80"/>
        <w:sz w:val="14"/>
        <w:szCs w:val="14"/>
      </w:rPr>
      <w:t xml:space="preserve">THE GLOBAL SANCTUM</w:t>
    </w:r>
  </w:p>
  <w:p>
    <w:pPr>
      <w:pBdr>
        <w:bottom w:val="single" w:color="E0D8CC" w:sz="4" w:space="4"/>
      </w:pBdr>
      <w:spacing w:after="120"/>
      <w:jc w:val="left"/>
    </w:pPr>
    <w:r>
      <w:rPr>
        <w:rFonts w:ascii="Montserrat" w:cs="Montserrat" w:eastAsia="Montserrat" w:hAnsi="Montserrat"/>
        <w:color w:val="313131"/>
        <w:sz w:val="14"/>
        <w:szCs w:val="14"/>
      </w:rPr>
      <w:t xml:space="preserve">Internal Portal · Overview Tab v3 Wiring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31313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TGS Internal Portal — Overview Tab v3 Wiring</dc:title>
  <dc:creator>The Global Sanctum</dc:creator>
  <cp:lastModifiedBy>Un-named</cp:lastModifiedBy>
  <cp:revision>1</cp:revision>
  <dcterms:created xsi:type="dcterms:W3CDTF">2026-05-07T00:31:37.311Z</dcterms:created>
  <dcterms:modified xsi:type="dcterms:W3CDTF">2026-05-07T00:31:37.328Z</dcterms:modified>
</cp:coreProperties>
</file>

<file path=docProps/custom.xml><?xml version="1.0" encoding="utf-8"?>
<Properties xmlns="http://schemas.openxmlformats.org/officeDocument/2006/custom-properties" xmlns:vt="http://schemas.openxmlformats.org/officeDocument/2006/docPropsVTypes"/>
</file>