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Venue — TGS Internal Tab — Field Mapping</w:t>
      </w:r>
    </w:p>
    <w:p>
      <w:pPr>
        <w:spacing w:after="80"/>
      </w:pPr>
      <w:r>
        <w:rPr>
          <w:rFonts w:ascii="Inter" w:cs="Inter" w:eastAsia="Inter" w:hAnsi="Inter"/>
          <w:b w:val="false"/>
          <w:bCs w:val="false"/>
          <w:i w:val="false"/>
          <w:iCs w:val="false"/>
          <w:color w:val="8B7355"/>
          <w:sz w:val="16"/>
          <w:szCs w:val="16"/>
        </w:rPr>
        <w:t xml:space="preserve">Mockup: TGS_Internal_Portal_-_Wellness_Venue_TGS_Internal_V2.html (1,660 lines)</w:t>
      </w:r>
    </w:p>
    <w:p>
      <w:pPr>
        <w:spacing w:after="80"/>
      </w:pPr>
      <w:r>
        <w:rPr>
          <w:rFonts w:ascii="Inter" w:cs="Inter" w:eastAsia="Inter" w:hAnsi="Inter"/>
          <w:b w:val="false"/>
          <w:bCs w:val="false"/>
          <w:i w:val="false"/>
          <w:iCs w:val="false"/>
          <w:color w:val="8B7355"/>
          <w:sz w:val="16"/>
          <w:szCs w:val="16"/>
        </w:rPr>
        <w:t xml:space="preserve">Primary Tables: Venue Overview (T1), Venue Business Internal (T9), Venue Owner/Manager (T10)</w:t>
      </w:r>
    </w:p>
    <w:p>
      <w:pPr>
        <w:spacing w:after="80"/>
      </w:pPr>
      <w:r>
        <w:rPr>
          <w:rFonts w:ascii="Inter" w:cs="Inter" w:eastAsia="Inter" w:hAnsi="Inter"/>
          <w:b w:val="false"/>
          <w:bCs w:val="false"/>
          <w:i w:val="false"/>
          <w:iCs w:val="false"/>
          <w:color w:val="8B7355"/>
          <w:sz w:val="16"/>
          <w:szCs w:val="16"/>
        </w:rPr>
        <w:t xml:space="preserve">Date: 16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 175)</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Scores, tags, flags, segments, internal notes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143-151</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Business Internal (T9, 22)</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billing, commission, revenue</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4-22</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 61)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Verification, pipeline, sales, Stripe</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41-58</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Owner Communication Log</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timeline entries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Via T10 field 40</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Quality Scores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Score Card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Quality (92)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Quality Score (field 143,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Quality (85)</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Quality Score (field 144,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Rate (98%)</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Rate (field 145, Number/Percent)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Completeness (88%)</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Completeness Score (field 146,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4 scores on T1.</w:t>
      </w:r>
    </w:p>
    <w:p>
      <w:pPr>
        <w:pBdr>
          <w:bottom w:val="single" w:color="7A644F" w:sz="1" w:space="6"/>
        </w:pBdr>
        <w:spacing w:before="300" w:after="120"/>
      </w:pPr>
      <w:r>
        <w:rPr>
          <w:rFonts w:ascii="Prata" w:cs="Prata" w:eastAsia="Prata" w:hAnsi="Prata"/>
          <w:color w:val="5C4033"/>
          <w:sz w:val="26"/>
          <w:szCs w:val="26"/>
        </w:rPr>
        <w:t xml:space="preserve">Section 2 — Verification Status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Checklist Item</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 (field 41,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 Verified (field 42,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Insurance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Verified (field 43,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 Verified (field 44,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Site Visit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Site Visit Status (field 45,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Verification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Verification Status (field 46,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verification items on T10.</w:t>
      </w:r>
    </w:p>
    <w:p>
      <w:pPr>
        <w:pBdr>
          <w:bottom w:val="single" w:color="7A644F" w:sz="1" w:space="6"/>
        </w:pBdr>
        <w:spacing w:before="300" w:after="120"/>
      </w:pPr>
      <w:r>
        <w:rPr>
          <w:rFonts w:ascii="Prata" w:cs="Prata" w:eastAsia="Prata" w:hAnsi="Prata"/>
          <w:color w:val="5C4033"/>
          <w:sz w:val="26"/>
          <w:szCs w:val="26"/>
        </w:rPr>
        <w:t xml:space="preserve">Section 3 — Pipeline &amp; Sales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Source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Source Type (field 33,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Owner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Lead Owner field exists (confirmed in live Airtable)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Acquisition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Acquisition Date (field 50,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Pipeline Stage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Pipeline Stage (field 51,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Contact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First Contact Date (field 52,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Days to Close (computed)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Days Since First Contact (field 53, 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50"/>
      </w:pPr>
      <w:r>
        <w:rPr>
          <w:rFonts w:ascii="Inter" w:cs="Inter" w:eastAsia="Inter" w:hAnsi="Inter"/>
          <w:b w:val="false"/>
          <w:bCs w:val="false"/>
          <w:i/>
          <w:iCs/>
          <w:color w:val="8B7355"/>
          <w:sz w:val="16"/>
          <w:szCs w:val="16"/>
        </w:rPr>
        <w:t xml:space="preserve">Zero gaps. All 6 fields exist.</w:t>
      </w:r>
    </w:p>
    <w:p>
      <w:pPr>
        <w:pBdr>
          <w:bottom w:val="single" w:color="7A644F" w:sz="1" w:space="6"/>
        </w:pBdr>
        <w:spacing w:before="300" w:after="120"/>
      </w:pPr>
      <w:r>
        <w:rPr>
          <w:rFonts w:ascii="Prata" w:cs="Prata" w:eastAsia="Prata" w:hAnsi="Prata"/>
          <w:color w:val="5C4033"/>
          <w:sz w:val="26"/>
          <w:szCs w:val="26"/>
        </w:rPr>
        <w:t xml:space="preserve">Section 4 — Subscription &amp; Financials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Tier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Subscription Tier (field 4,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Founder Discount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Super Founder Member (field 6, SS) + Founder Member (field 7, SS)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Two separate fields cover discount tiers. JR renders as single dropdown — if field 6 has value use it, else check field 7, else 'None'.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Effective Monthly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Plan Rate (field 8,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Billing Cycle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Billing Cycle (field 54,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Start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Subscription Start Date (field 9,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Next Billing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Next Payment Due (field 15,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Commission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Booking Commission Rate (field 56, Percent)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Commission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Experience Commission Rate exists (confirmed in live Airtable)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Connect Status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Stripe Connect Status (field 57,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9 fields exist.</w:t>
      </w:r>
    </w:p>
    <w:p>
      <w:pPr>
        <w:spacing w:before="200" w:after="80"/>
      </w:pPr>
      <w:r>
        <w:rPr>
          <w:rFonts w:ascii="Inter" w:cs="Inter" w:eastAsia="Inter" w:hAnsi="Inter"/>
          <w:b/>
          <w:bCs/>
          <w:i w:val="false"/>
          <w:iCs w:val="false"/>
          <w:color w:val="5C4033"/>
          <w:sz w:val="20"/>
          <w:szCs w:val="20"/>
        </w:rPr>
        <w:t xml:space="preserve">Revenue Summary (Computed)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Revenue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T9 Plan Rate × months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Commissions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T13 Payments (booking commissions)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Rollup/Frontend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Commissions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T13 Payments (experience commissions)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Rollup/Frontend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Lifetime Value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Total Revenue Generated (field 19, Currency/Rollup)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Revenue metrics are computed/rollup values.</w:t>
      </w:r>
    </w:p>
    <w:p>
      <w:r>
        <w:br w:type="page"/>
      </w:r>
    </w:p>
    <w:p>
      <w:pPr>
        <w:pBdr>
          <w:bottom w:val="single" w:color="7A644F" w:sz="1" w:space="6"/>
        </w:pBdr>
        <w:spacing w:before="300" w:after="120"/>
      </w:pPr>
      <w:r>
        <w:rPr>
          <w:rFonts w:ascii="Prata" w:cs="Prata" w:eastAsia="Prata" w:hAnsi="Prata"/>
          <w:color w:val="5C4033"/>
          <w:sz w:val="26"/>
          <w:szCs w:val="26"/>
        </w:rPr>
        <w:t xml:space="preserve">Section 5 — Internal Tags &amp; Categories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Tags (field 147, 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Priority Flags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Priority Flags (field 148, 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 Segment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 Segment (field 149,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Tier (Internal)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Tier Internal (field 150,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4 fields on T1.</w:t>
      </w:r>
    </w:p>
    <w:p>
      <w:pPr>
        <w:pBdr>
          <w:bottom w:val="single" w:color="7A644F" w:sz="1" w:space="6"/>
        </w:pBdr>
        <w:spacing w:before="300" w:after="120"/>
      </w:pPr>
      <w:r>
        <w:rPr>
          <w:rFonts w:ascii="Prata" w:cs="Prata" w:eastAsia="Prata" w:hAnsi="Prata"/>
          <w:color w:val="5C4033"/>
          <w:sz w:val="26"/>
          <w:szCs w:val="26"/>
        </w:rPr>
        <w:t xml:space="preserve">Section 6 — Activity Timeline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Timeline entries (milestones)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Owner Communication Log (field 40,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Shared with Owner/Manager tab</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Entry title + description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fields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Entry date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Log table — Date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Linked table</w:t>
            </w:r>
          </w:p>
        </w:tc>
      </w:tr>
    </w:tbl>
    <w:p>
      <w:pPr>
        <w:spacing w:after="150"/>
      </w:pPr>
      <w:r>
        <w:rPr>
          <w:rFonts w:ascii="Inter" w:cs="Inter" w:eastAsia="Inter" w:hAnsi="Inter"/>
          <w:b w:val="false"/>
          <w:bCs w:val="false"/>
          <w:i/>
          <w:iCs/>
          <w:color w:val="8B7355"/>
          <w:sz w:val="16"/>
          <w:szCs w:val="16"/>
        </w:rPr>
        <w:t xml:space="preserve">Zero gaps. Timeline reads from same Communication Log as Owner/Manager tab.</w:t>
      </w:r>
    </w:p>
    <w:p>
      <w:pPr>
        <w:pBdr>
          <w:bottom w:val="single" w:color="7A644F" w:sz="1" w:space="6"/>
        </w:pBdr>
        <w:spacing w:before="300" w:after="120"/>
      </w:pPr>
      <w:r>
        <w:rPr>
          <w:rFonts w:ascii="Prata" w:cs="Prata" w:eastAsia="Prata" w:hAnsi="Prata"/>
          <w:color w:val="5C4033"/>
          <w:sz w:val="26"/>
          <w:szCs w:val="26"/>
        </w:rPr>
        <w:t xml:space="preserve">Section 7 — Recent Activity Log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System activity entries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Frontend/application-level event logging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actions (edits, uploads)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Airtable Last Modified (T1 field 45) + audit trail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field gaps. Activity log is system-generated, not stored in Airtable fields.</w:t>
      </w:r>
    </w:p>
    <w:p>
      <w:pPr>
        <w:pBdr>
          <w:bottom w:val="single" w:color="7A644F" w:sz="1" w:space="6"/>
        </w:pBdr>
        <w:spacing w:before="300" w:after="120"/>
      </w:pPr>
      <w:r>
        <w:rPr>
          <w:rFonts w:ascii="Prata" w:cs="Prata" w:eastAsia="Prata" w:hAnsi="Prata"/>
          <w:color w:val="5C4033"/>
          <w:sz w:val="26"/>
          <w:szCs w:val="26"/>
        </w:rPr>
        <w:t xml:space="preserve">Section 8 — Internal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(T1)</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notes (threaded)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Notes (field 151,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New Note (textarea)</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Appends to field 151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Mockup shows threaded notes with author+date. For MVP, single LT field with JR parsing timestamps. Post-MVP, dedicated Internal Notes sub-table for per-note CRUD.</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500"/>
        <w:gridCol w:w="40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40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Owner</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Exists in live Airtable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Commission Rate</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Exists in live Airtable</w:t>
            </w:r>
          </w:p>
        </w:tc>
      </w:tr>
    </w:tbl>
    <w:p>
      <w:pPr>
        <w:spacing w:before="200"/>
      </w:pPr>
      <w:r>
        <w:rPr>
          <w:rFonts w:ascii="Inter" w:cs="Inter" w:eastAsia="Inter" w:hAnsi="Inter"/>
          <w:b/>
          <w:bCs/>
          <w:i w:val="false"/>
          <w:iCs w:val="false"/>
          <w:color w:val="5C4033"/>
          <w:sz w:val="17"/>
          <w:szCs w:val="17"/>
        </w:rPr>
        <w:t xml:space="preserve">Summary: Zero gaps. All fields confirmed in live Airtable.</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Multi-Table Tab</w:t>
      </w:r>
    </w:p>
    <w:p>
      <w:pPr>
        <w:spacing w:after="120"/>
      </w:pPr>
      <w:r>
        <w:rPr>
          <w:rFonts w:ascii="Inter" w:cs="Inter" w:eastAsia="Inter" w:hAnsi="Inter"/>
          <w:b w:val="false"/>
          <w:bCs w:val="false"/>
          <w:i w:val="false"/>
          <w:iCs w:val="false"/>
          <w:color w:val="5C4033"/>
          <w:sz w:val="17"/>
          <w:szCs w:val="17"/>
        </w:rPr>
        <w:t xml:space="preserve">This tab reads from 3 tables: T1 (quality scores, tags, flags, notes), T9 (subscription, billing, revenue), and T10 (verification, pipeline, commission, Stripe). JR loads all three via T1 linked record fields 54 (T9) and 56 (T10). Writes go back to the correct source table.</w:t>
      </w:r>
    </w:p>
    <w:p>
      <w:pPr>
        <w:spacing w:before="200" w:after="80"/>
      </w:pPr>
      <w:r>
        <w:rPr>
          <w:rFonts w:ascii="Inter" w:cs="Inter" w:eastAsia="Inter" w:hAnsi="Inter"/>
          <w:b/>
          <w:bCs/>
          <w:i w:val="false"/>
          <w:iCs w:val="false"/>
          <w:color w:val="5C4033"/>
          <w:sz w:val="20"/>
          <w:szCs w:val="20"/>
        </w:rPr>
        <w:t xml:space="preserve">Admin-Only Visibility</w:t>
      </w:r>
    </w:p>
    <w:p>
      <w:pPr>
        <w:spacing w:after="120"/>
      </w:pPr>
      <w:r>
        <w:rPr>
          <w:rFonts w:ascii="Inter" w:cs="Inter" w:eastAsia="Inter" w:hAnsi="Inter"/>
          <w:b w:val="false"/>
          <w:bCs w:val="false"/>
          <w:i w:val="false"/>
          <w:iCs w:val="false"/>
          <w:color w:val="5C4033"/>
          <w:sz w:val="17"/>
          <w:szCs w:val="17"/>
        </w:rPr>
        <w:t xml:space="preserve">All content on this tab is admin-only. JR should enforce access control — venue owners never see this tab. The admin banner at the top is a visual reminder but access must be enforced at the application level.</w:t>
      </w:r>
    </w:p>
    <w:p>
      <w:pPr>
        <w:spacing w:before="200" w:after="80"/>
      </w:pPr>
      <w:r>
        <w:rPr>
          <w:rFonts w:ascii="Inter" w:cs="Inter" w:eastAsia="Inter" w:hAnsi="Inter"/>
          <w:b/>
          <w:bCs/>
          <w:i w:val="false"/>
          <w:iCs w:val="false"/>
          <w:color w:val="5C4033"/>
          <w:sz w:val="20"/>
          <w:szCs w:val="20"/>
        </w:rPr>
        <w:t xml:space="preserve">Dual Commission Rates</w:t>
      </w:r>
    </w:p>
    <w:p>
      <w:pPr>
        <w:spacing w:after="120"/>
      </w:pPr>
      <w:r>
        <w:rPr>
          <w:rFonts w:ascii="Inter" w:cs="Inter" w:eastAsia="Inter" w:hAnsi="Inter"/>
          <w:b w:val="false"/>
          <w:bCs w:val="false"/>
          <w:i w:val="false"/>
          <w:iCs w:val="false"/>
          <w:color w:val="5C4033"/>
          <w:sz w:val="17"/>
          <w:szCs w:val="17"/>
        </w:rPr>
        <w:t xml:space="preserve">Wellness venues need two commission rates: Booking Commission (for accommodation/venue bookings, typically 5-7%) and Experience Commission (for treatment/experience bookings, typically 10-20%). T10 field 56 covers Booking Commission. The new Experience Commission Rate goes on T9 alongside other financial data.</w:t>
      </w:r>
    </w:p>
    <w:p>
      <w:pPr>
        <w:spacing w:before="200" w:after="80"/>
      </w:pPr>
      <w:r>
        <w:rPr>
          <w:rFonts w:ascii="Inter" w:cs="Inter" w:eastAsia="Inter" w:hAnsi="Inter"/>
          <w:b/>
          <w:bCs/>
          <w:i w:val="false"/>
          <w:iCs w:val="false"/>
          <w:color w:val="5C4033"/>
          <w:sz w:val="20"/>
          <w:szCs w:val="20"/>
        </w:rPr>
        <w:t xml:space="preserve">Founder Discount — Compound Fields</w:t>
      </w:r>
    </w:p>
    <w:p>
      <w:pPr>
        <w:spacing w:after="120"/>
      </w:pPr>
      <w:r>
        <w:rPr>
          <w:rFonts w:ascii="Inter" w:cs="Inter" w:eastAsia="Inter" w:hAnsi="Inter"/>
          <w:b w:val="false"/>
          <w:bCs w:val="false"/>
          <w:i w:val="false"/>
          <w:iCs w:val="false"/>
          <w:color w:val="5C4033"/>
          <w:sz w:val="17"/>
          <w:szCs w:val="17"/>
        </w:rPr>
        <w:t xml:space="preserve">T9 has two separate fields for discount tiers: Super Founder (field 6) and Founder (field 7). For the mockup's single dropdown, JR should render whichever field has a value. If Super Founder has a value, show 'Super Founder (60% off)'. If Founder has a value, show 'Founder (40% off)'. If neither, show 'None'. Writing back sets the appropriate field and clears the other.</w:t>
      </w:r>
    </w:p>
    <w:p>
      <w:pPr>
        <w:spacing w:before="200" w:after="80"/>
      </w:pPr>
      <w:r>
        <w:rPr>
          <w:rFonts w:ascii="Inter" w:cs="Inter" w:eastAsia="Inter" w:hAnsi="Inter"/>
          <w:b/>
          <w:bCs/>
          <w:i w:val="false"/>
          <w:iCs w:val="false"/>
          <w:color w:val="5C4033"/>
          <w:sz w:val="20"/>
          <w:szCs w:val="20"/>
        </w:rPr>
        <w:t xml:space="preserve">Threaded Notes — MVP Approach</w:t>
      </w:r>
    </w:p>
    <w:p>
      <w:pPr>
        <w:spacing w:after="120"/>
      </w:pPr>
      <w:r>
        <w:rPr>
          <w:rFonts w:ascii="Inter" w:cs="Inter" w:eastAsia="Inter" w:hAnsi="Inter"/>
          <w:b w:val="false"/>
          <w:bCs w:val="false"/>
          <w:i w:val="false"/>
          <w:iCs w:val="false"/>
          <w:color w:val="5C4033"/>
          <w:sz w:val="17"/>
          <w:szCs w:val="17"/>
        </w:rPr>
        <w:t xml:space="preserve">The mockup shows threaded notes with author names and dates. T1 field 151 (Internal Notes, LT) is a single text field. For MVP, JR can prepend new notes with '[Author] — [Date]\n' format and render the full text with visual separation. Post-MVP, a dedicated Internal Notes sub-table linked to T1 would enable per-note CRUD with proper author, date, and edit/delete per entry.</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Venue Internal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2026-02-16T00:34:56.683Z</dcterms:created>
  <dcterms:modified xsi:type="dcterms:W3CDTF">2026-02-16T00:34:56.684Z</dcterms:modified>
</cp:coreProperties>
</file>

<file path=docProps/custom.xml><?xml version="1.0" encoding="utf-8"?>
<Properties xmlns="http://schemas.openxmlformats.org/officeDocument/2006/custom-properties" xmlns:vt="http://schemas.openxmlformats.org/officeDocument/2006/docPropsVTypes"/>
</file>