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protocol_page1.png"/>
                    <pic:cNvPicPr/>
                  </pic:nvPicPr>
                  <pic:blipFill>
                    <a:blip r:embed="rId10"/>
                    <a:stretch>
                      <a:fillRect/>
                    </a:stretch>
                  </pic:blipFill>
                  <pic:spPr>
                    <a:xfrm>
                      <a:off x="0" y="0"/>
                      <a:ext cx="7560000" cy="10692000"/>
                    </a:xfrm>
                    <a:prstGeom prst="rect"/>
                  </pic:spPr>
                </pic:pic>
              </a:graphicData>
            </a:graphic>
          </wp:inline>
        </w:drawing>
        <w:br w:type="page"/>
      </w:r>
    </w:p>
    <w:p>
      <w:pP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7560000" cy="10692000"/>
            <wp:docPr id="2" name="Picture 2"/>
            <wp:cNvGraphicFramePr>
              <a:graphicFrameLocks noChangeAspect="1"/>
            </wp:cNvGraphicFramePr>
            <a:graphic>
              <a:graphicData uri="http://schemas.openxmlformats.org/drawingml/2006/picture">
                <pic:pic>
                  <pic:nvPicPr>
                    <pic:cNvPr id="0" name="protocol_page2.png"/>
                    <pic:cNvPicPr/>
                  </pic:nvPicPr>
                  <pic:blipFill>
                    <a:blip r:embed="rId11"/>
                    <a:stretch>
                      <a:fillRect/>
                    </a:stretch>
                  </pic:blipFill>
                  <pic:spPr>
                    <a:xfrm>
                      <a:off x="0" y="0"/>
                      <a:ext cx="7560000" cy="10692000"/>
                    </a:xfrm>
                    <a:prstGeom prst="rect"/>
                  </pic:spPr>
                </pic:pic>
              </a:graphicData>
            </a:graphic>
          </wp:inline>
        </w:drawing>
      </w:r>
    </w:p>
    <w:p>
      <w:pPr>
        <w:sectPr>
          <w:footerReference w:type="default" r:id="rId9"/>
          <w:pgSz w:w="11906" w:h="16838"/>
          <w:pgMar w:top="0" w:right="0" w:bottom="0" w:left="0" w:header="0" w:footer="0" w:gutter="0"/>
          <w:cols w:space="720"/>
          <w:titlePg/>
          <w:docGrid w:linePitch="360"/>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SUPERVISION COMMITTEE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This thesis was carried out under the supervision of:</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1. Prof. Wegdan M. Abdel-Fattah</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Professor of Conservative Dentistry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Conceptualization and design of the study. Analysis and interpretation of the results. Supervision of execution and of the writing.</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2. Asst. Prof. Emad M. El-Sayed</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Assistant Professor of Conservative Dentistry</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(Main supervisor)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Supervision of the experimental procedures. Conceptualization and design of the study. Supervision of execution and of the writing. Revision of the thesis.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Faculty of Dentistry, Pharos University in Alexandria.</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DECLARATION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 declare that this thesis is my own work. It has not been submitted, in whole or in part, for any other degree or qualification. The experimental data are those of the laboratory study described herein. Sources used in the text are cited in the list of references.</w:t>
      </w:r>
    </w:p>
    <w:p>
      <w:pPr>
        <w:keepNext w:val="0"/>
        <w:pageBreakBefore w:val="0"/>
        <w:widowControl/>
        <w:spacing w:before="480" w:after="0" w:line="480" w:lineRule="auto"/>
        <w:ind w:firstLine="0"/>
        <w:jc w:val="center"/>
      </w:pPr>
      <w:r>
        <w:rPr>
          <w:rFonts w:ascii="Times New Roman" w:hAnsi="Times New Roman" w:eastAsia="Times New Roman"/>
          <w:b/>
          <w:i w:val="0"/>
          <w:color w:val="000000"/>
          <w:sz w:val="24"/>
        </w:rPr>
        <w:t>Mohamed Talaat Mohamed AbdelMoaty ElAbd</w:t>
      </w:r>
    </w:p>
    <w:p>
      <w:pPr>
        <w:keepNext w:val="0"/>
        <w:pageBreakBefore w:val="0"/>
        <w:widowControl/>
        <w:spacing w:before="240" w:after="0" w:line="480" w:lineRule="auto"/>
        <w:ind w:firstLine="0"/>
        <w:jc w:val="center"/>
      </w:pPr>
      <w:r>
        <w:rPr>
          <w:rFonts w:ascii="Times New Roman" w:hAnsi="Times New Roman" w:eastAsia="Times New Roman"/>
          <w:b w:val="0"/>
          <w:i w:val="0"/>
          <w:color w:val="000000"/>
          <w:sz w:val="24"/>
        </w:rPr>
        <w:t>Signature: …………………………     Date: …………………………</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ACKNOWLEDGEMENTS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 thank Prof. Wegdan M. Abdel-Fattah and Asst. Prof. Emad M. El-Sayed for the plan, the laboratory work and the reading of the text.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Disc preparation was done in the Faculty of Dentistry, Pharos University in Alexandria. The toothbrushing run and the measurements were done in the Conservative Dentistry laboratory, Faculty of Dentistry, Alexandria University. I thank the staff of the Dental Biomaterial Department there for the use of the custom brushing machine.</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DEDICATION</w:t>
      </w:r>
    </w:p>
    <w:p>
      <w:pPr>
        <w:keepNext w:val="0"/>
        <w:pageBreakBefore w:val="0"/>
        <w:widowControl/>
        <w:spacing w:before="1440" w:after="0" w:line="480" w:lineRule="auto"/>
        <w:ind w:firstLine="0"/>
        <w:jc w:val="center"/>
      </w:pPr>
      <w:r>
        <w:rPr>
          <w:rFonts w:ascii="Times New Roman" w:hAnsi="Times New Roman" w:eastAsia="Times New Roman"/>
          <w:b w:val="0"/>
          <w:i/>
          <w:color w:val="000000"/>
          <w:sz w:val="24"/>
        </w:rPr>
        <w:t>To my family.</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ABSTRACT</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Background. </w:t>
      </w:r>
      <w:r>
        <w:rPr>
          <w:rFonts w:ascii="Times New Roman" w:hAnsi="Times New Roman" w:eastAsia="Times New Roman"/>
          <w:b w:val="0"/>
          <w:i w:val="0"/>
          <w:color w:val="000000"/>
          <w:sz w:val="24"/>
        </w:rPr>
        <w:t>Highly filled injectable composites are sold for load-bearing use. Their loss of mass and change in surface roughness after toothbrush abrasion still need a direct comparison with a conventional nanohybrid resin under the same laboratory conditions.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Aim. </w:t>
      </w:r>
      <w:r>
        <w:rPr>
          <w:rFonts w:ascii="Times New Roman" w:hAnsi="Times New Roman" w:eastAsia="Times New Roman"/>
          <w:b w:val="0"/>
          <w:i w:val="0"/>
          <w:color w:val="000000"/>
          <w:sz w:val="24"/>
        </w:rPr>
        <w:t>To compare percentage weight loss and arithmetic mean roughness (Ra) of Beautifil Flow Plus X F00, G-ænial Universal Injectable and Beautifil II LS after 10 000 toothbrushing cycles.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Methods. </w:t>
      </w:r>
      <w:r>
        <w:rPr>
          <w:rFonts w:ascii="Times New Roman" w:hAnsi="Times New Roman" w:eastAsia="Times New Roman"/>
          <w:b w:val="0"/>
          <w:i w:val="0"/>
          <w:color w:val="000000"/>
          <w:sz w:val="24"/>
        </w:rPr>
        <w:t>Thirty-six discs (10 mm diameter × 1 mm thick; n = 12; shade A2) were packed in a CAD/CAM Teflon mould, cured through a Mylar strip and stored in water at 37 °C for 24 h. They were brushed at 2 N for 10 000 cycles in a Colgate Total slurry (RDA 70; 250 g/L). Mass was recorded on a RADWAG AS 220-R2. Ra was the mean of five MarSurf PS10 traces. Percentage weight loss was compared by one-way ANOVA. Ra after brushing was compared by the Kruskal–Wallis test (α = 0.05).</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Results. </w:t>
      </w:r>
      <w:r>
        <w:rPr>
          <w:rFonts w:ascii="Times New Roman" w:hAnsi="Times New Roman" w:eastAsia="Times New Roman"/>
          <w:b w:val="0"/>
          <w:i w:val="0"/>
          <w:color w:val="000000"/>
          <w:sz w:val="24"/>
        </w:rPr>
        <w:t>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smoother than Beautifil II LS. The two injectables did not differ from each other. One Beautifil Flow Plus X F00 disc lost about 11.4 % of its mass and accounts for that group’s large standard deviation.</w:t>
      </w:r>
    </w:p>
    <w:p>
      <w:pPr>
        <w:keepNext/>
        <w:pageBreakBefore w:val="0"/>
        <w:widowControl/>
        <w:spacing w:before="0" w:after="0" w:line="480" w:lineRule="auto"/>
        <w:ind w:firstLine="720"/>
        <w:jc w:val="both"/>
      </w:pPr>
      <w:r>
        <w:rPr>
          <w:rFonts w:ascii="Times New Roman" w:hAnsi="Times New Roman" w:eastAsia="Times New Roman"/>
          <w:b/>
          <w:i w:val="0"/>
          <w:color w:val="000000"/>
          <w:sz w:val="24"/>
        </w:rPr>
        <w:t xml:space="preserve">Conclusions. </w:t>
      </w:r>
      <w:r>
        <w:rPr>
          <w:rFonts w:ascii="Times New Roman" w:hAnsi="Times New Roman" w:eastAsia="Times New Roman"/>
          <w:b w:val="0"/>
          <w:i w:val="0"/>
          <w:color w:val="000000"/>
          <w:sz w:val="24"/>
        </w:rPr>
        <w:t>Under this toothbrushing protocol, gravimetric wear did not differ significantly among the three resins. Both injectable materials remained significantly smoother than the conventional nanohybrid. The injectable means stayed below the 0.2 µm plaque threshold. The nanohybrid mean sat on that line.</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Injectable composite; nanohybrid composite; toothbrush abrasion; wear; surface roughness; giomer.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الملخص</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الخلفية. تُسوَّق الراتينجات المركبة القابلة للحقن عالية الملء للاستخدام تحت الحمل. ما زال فقد الكتلة وتغيّر خشونة السطح بعد سحل فرشاة الأسنان يحتاجان إلى مقارنة مباشرة مع راتينج نانوهجين تقليدي تحت الشروط المختبرية نفسها.</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الهدف. مقارنة النسبة المئوية لفقد الوزن وخشونة السطح المتوسطة (Ra) لكل من Beautifil Flow Plus X F00 وG-ænial Universal Injectable وBeautifil II LS بعد عشرة آلاف دورة تفريش.</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الطريقة. أُعدّ ستة وثلاثون قرصاً (قطر 10 مم × سمك 1 مم؛ ن = 12؛ الدرجة A2) في قالب تفلون، ثم فُرشت بحمولة 2 نيوتن في معلق Colgate Total وفق إرشاد ISO. سُجّلت الكتلة قبل السحل وبعده. قيس Ra بجهاز تماسي (خمس قراءات لكل قرص). قورن فقد الوزن بتحليل التباين الأحادي، وقورن Ra بعد التفريش باختبار كروسكال–واليس (α = 0.05).</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النتائج. كان متوسط فقد الوزن 1.49 ± 3.14٪ لـ Beautifil Flow Plus X F00، و0.65 ± 0.37٪ لـ G-ænial Universal Injectable، و0.41 ± 0.25٪ لـ Beautifil II LS (p = 0.329). وكان متوسط Ra بعد التفريش 0.104 ± 0.017 ميكرومتر، و0.100 ± 0.023 ميكرومتر، و0.194 ± 0.050 ميكرومتر على الترتيب (p &lt; 0.001). كان كل راتينج قابل للحقن أنعم من Beautifil II LS، ولم يختلف القابلان للحقن أحدهما عن الآخر. فقد قرص واحد من Beautifil Flow Plus X F00 نحو 11.4٪ من كتلته وهو مصدر الانحراف المعياري الكبير في تلك المجموعة.</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الاستنتاجات. تحت بروتوكول التفريش هذا لم يختلف السحل الوزني بين الراتينجات الثلاثة اختلافاً يعتد به إحصائياً. بقي القابلان للحقن أنعم من النانوهجين التقليدي. بقيت متوسطات القابلين للحقن دون عتبة اللويحة 0.2 ميكرومتر. وقع متوسط النانوهجين على تلك العتبة.</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الكلمات المفتاحية. الراتينج المركب القابل للحقن؛ الراتينج النانوهجين؛ سحل فرشاة الأسنان؛ التآكل؛ خشونة السطح؛ الجايومر.</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CONTENTS</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Supervision Committee</w:t>
        <w:tab/>
        <w:t>i</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Declaration</w:t>
        <w:tab/>
        <w:t>ii</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Acknowledgements</w:t>
        <w:tab/>
        <w:t>iii</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Dedication</w:t>
        <w:tab/>
        <w:t>iv</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Abstract</w:t>
        <w:tab/>
        <w:t>v</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Arabic Abstract</w:t>
        <w:tab/>
        <w:t>vi</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Contents</w:t>
        <w:tab/>
        <w:t>vii</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List of Tables</w:t>
        <w:tab/>
        <w:t>ix</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List of Abbreviations</w:t>
        <w:tab/>
        <w:t>x</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1  Introduction</w:t>
        <w:tab/>
        <w:t>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1.1 Aim of the Study</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1.2 Objectives</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1.3 Null Hypotheses</w:t>
        <w:tab/>
        <w:t>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2  Review of Literature</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2.1 Wear of Restorative Resins</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2.2 Surface Roughness</w:t>
        <w:tab/>
        <w:t>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2.3 Injectable Composite Resins</w:t>
        <w:tab/>
        <w:t>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2.4 Conventional Nanohybrid Resins and Giomers</w:t>
        <w:tab/>
        <w:t>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2.5 Statement of the Problem</w:t>
        <w:tab/>
        <w:t>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3  Materials and Methods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3.1 Study Design and Setting</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3.2 Sample Size</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3.3 Materials</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3.4 Equipment</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3.5 Specimen Preparation</w:t>
        <w:tab/>
        <w:t>9</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3.6 Baseline Measurements</w:t>
        <w:tab/>
        <w:t>9</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3.7 Toothbrushing Protocol</w:t>
        <w:tab/>
        <w:t>9</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3.8 Post-test Evaluation</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3.9 Statistical Analysis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3.10 Ethical Considerations</w:t>
        <w:tab/>
        <w:t>10</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4  Results</w:t>
        <w:tab/>
        <w:t>11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4.1 Weight Loss</w:t>
        <w:tab/>
        <w:t>11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4.2 Surface Roughness</w:t>
        <w:tab/>
        <w:t>12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4.3 Summary of Results</w:t>
        <w:tab/>
        <w:t>14</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5  Discussion</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5.1 Weight Loss</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5.2 Surface Roughness</w:t>
        <w:tab/>
        <w:t>16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5.3 Clinical Implications</w:t>
        <w:tab/>
        <w:t>18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5.4 Strengths of the Study</w:t>
        <w:tab/>
        <w:t>18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5.5 Limitations of the Study</w:t>
        <w:tab/>
        <w:t>19</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5.6 Concluding Remarks</w:t>
        <w:tab/>
        <w:t>19</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6  Conclusions and Recommendations</w:t>
        <w:tab/>
        <w:t>20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6.1 Summary</w:t>
        <w:tab/>
        <w:t>20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6.2 Conclusions</w:t>
        <w:tab/>
        <w:t>20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6.3 Recommendations</w:t>
        <w:tab/>
        <w:t>21</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7  References</w:t>
        <w:tab/>
        <w:t>22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Arabic Summary</w:t>
        <w:tab/>
        <w:t>24</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TABLES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3.1  Brand, type, matrix, filler and load of the resin composites used in the study (protocol listing)</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4.1  Mean weight before and after simulated toothbrushing and percentage weight loss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4.2  Mean surface roughness (Ra) before and after simulated toothbrushing and ΔRa</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4.3  Absolute weight loss after 10 000 brushing cycles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ABBREVIATIONS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ANOVA</w:t>
      </w:r>
      <w:r>
        <w:rPr>
          <w:rFonts w:ascii="Times New Roman" w:hAnsi="Times New Roman" w:eastAsia="Times New Roman"/>
          <w:b w:val="0"/>
          <w:i w:val="0"/>
          <w:color w:val="000000"/>
          <w:sz w:val="24"/>
        </w:rPr>
        <w:t xml:space="preserve">    Analysis of variance</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CAD/CAM</w:t>
      </w:r>
      <w:r>
        <w:rPr>
          <w:rFonts w:ascii="Times New Roman" w:hAnsi="Times New Roman" w:eastAsia="Times New Roman"/>
          <w:b w:val="0"/>
          <w:i w:val="0"/>
          <w:color w:val="000000"/>
          <w:sz w:val="24"/>
        </w:rPr>
        <w:t xml:space="preserve">    Computer-aided design / computer-aided manufacture</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ISO</w:t>
      </w:r>
      <w:r>
        <w:rPr>
          <w:rFonts w:ascii="Times New Roman" w:hAnsi="Times New Roman" w:eastAsia="Times New Roman"/>
          <w:b w:val="0"/>
          <w:i w:val="0"/>
          <w:color w:val="000000"/>
          <w:sz w:val="24"/>
        </w:rPr>
        <w:t xml:space="preserve">    International Organization for Standardization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LED</w:t>
      </w:r>
      <w:r>
        <w:rPr>
          <w:rFonts w:ascii="Times New Roman" w:hAnsi="Times New Roman" w:eastAsia="Times New Roman"/>
          <w:b w:val="0"/>
          <w:i w:val="0"/>
          <w:color w:val="000000"/>
          <w:sz w:val="24"/>
        </w:rPr>
        <w:t xml:space="preserve">    Light-emitting diode</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Ra</w:t>
      </w:r>
      <w:r>
        <w:rPr>
          <w:rFonts w:ascii="Times New Roman" w:hAnsi="Times New Roman" w:eastAsia="Times New Roman"/>
          <w:b w:val="0"/>
          <w:i w:val="0"/>
          <w:color w:val="000000"/>
          <w:sz w:val="24"/>
        </w:rPr>
        <w:t xml:space="preserve">    Arithmetic mean roughness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RDA</w:t>
      </w:r>
      <w:r>
        <w:rPr>
          <w:rFonts w:ascii="Times New Roman" w:hAnsi="Times New Roman" w:eastAsia="Times New Roman"/>
          <w:b w:val="0"/>
          <w:i w:val="0"/>
          <w:color w:val="000000"/>
          <w:sz w:val="24"/>
        </w:rPr>
        <w:t xml:space="preserve">    Relative dentine abrasivity</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SD</w:t>
      </w:r>
      <w:r>
        <w:rPr>
          <w:rFonts w:ascii="Times New Roman" w:hAnsi="Times New Roman" w:eastAsia="Times New Roman"/>
          <w:b w:val="0"/>
          <w:i w:val="0"/>
          <w:color w:val="000000"/>
          <w:sz w:val="24"/>
        </w:rPr>
        <w:t xml:space="preserve">    Standard deviation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S-PRG</w:t>
      </w:r>
      <w:r>
        <w:rPr>
          <w:rFonts w:ascii="Times New Roman" w:hAnsi="Times New Roman" w:eastAsia="Times New Roman"/>
          <w:b w:val="0"/>
          <w:i w:val="0"/>
          <w:color w:val="000000"/>
          <w:sz w:val="24"/>
        </w:rPr>
        <w:t xml:space="preserve">    Surface pre-reacted glass-ionomer</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ΔRa</w:t>
      </w:r>
      <w:r>
        <w:rPr>
          <w:rFonts w:ascii="Times New Roman" w:hAnsi="Times New Roman" w:eastAsia="Times New Roman"/>
          <w:b w:val="0"/>
          <w:i w:val="0"/>
          <w:color w:val="000000"/>
          <w:sz w:val="24"/>
        </w:rPr>
        <w:t xml:space="preserve">    Change in Ra (after − before)</w:t>
      </w:r>
    </w:p>
    <w:p>
      <w:pPr>
        <w:sectPr>
          <w:footerReference w:type="default" r:id="rId12"/>
          <w:pgSz w:w="11906" w:h="16838"/>
          <w:pgMar w:top="1417" w:right="1417" w:bottom="1417" w:left="1701" w:header="0" w:footer="0" w:gutter="0"/>
          <w:cols w:space="720"/>
          <w:titlePg/>
          <w:docGrid w:linePitch="360"/>
          <w:pgNumType w:fmt="lowerRoman" w:start="1"/>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CHAPTER 1</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INTRODUCTION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Resin composites fail when the surface wears away or when what is left is rough. Wear flattens anatomy and can shorten the vertical dimension. Roughness holds plaque, takes stain and favours caries at the margin (1,2). Toothbrushing is a daily source of both. Dentifrice abrasive works as a third body. The resin-rich skin is removed first. Filler then stands proud or is pulled out. Mass falls. Ra rises (3,4).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On free surfaces of anterior restorations that wear is largely three-body. The brush and the paste sit between the bristle and the resin. Two-body contact wear is a different problem. It needs an antagonist and a much higher load. The two tests answer different questions (3,6,10).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Highly filled injectable resins were made so that a syringeable paste could be used in cavities that used to be reserved for packable composites. Filler load is raised, particle size is reduced, and silane treatment is improved until the paste still flows but no longer behaves like a classical low-filled flowable (5,6). G-ænial Universal Injectable (GC Corporation, Tokyo, Japan) and Beautifil Flow Plus X F00 (Shofu Inc., Kyoto, Japan) are sold on that claim. Beautifil II LS (Shofu Inc.) is a sculptable low-shrinkage nanohybrid giomer and is the conventional control in this work. All three were used in shade A2.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Independent data on these three products, tested together, under three-body toothbrush abrasion, are thin. Two-body chewing-simulator studies are not a substitute. They load a steatite antagonist at about 49 N. They measure volume, not toothbrush slurry (6). Some highly filled flowables have been reported as weaker than a paste; others have not (6,20). The present test is the other wear mode: ISO toothbrushing guidance, 2 N, 10 000 strokes, taken as about one year of twice-daily brushing (3,7,8).</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An Ra of 0.2 µm is the usual threshold above which plaque retention rises (1). Surfaces smoother than that do not keep less plaque in a way that matters clinically. A restoration rougher than about 0.5 µm can be felt by the tongue (2). Those two numbers are the clinical frame for the roughness results.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1.1 Aim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 compare wear resistance, as percentage weight loss, and surface roughness (Ra) of two highly filled injectable composites with a conventional nanohybrid composite after standardised toothbrushing.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1.2 Objectives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To compare the three materials with the statistical tests appropriate to each outcome.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1.3 Null Hypotheses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2</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REVIEW OF LITERATURE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2.1 Wear of Restorative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is progressive loss of substance from two surfaces in relative motion (9). In the mouth the process is mixed. Attrition is two-body contact. Abrasion at non-contact sites is usually three-body, with food or toothpaste as the loose agent. Corrosion and fatigue run beside both (9,10). Laboratory ranking is useful. It is not a clinical lifetime.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Filler volume, size, shape, inter-particle spacing, the resin, the degree of conversion and the silane layer all matter (11,12). Condon and Ferracane varied those three factors in an oral-wear simulator. Wear rose once filler volume fell below 48 vol%. It rose in a straight line as the fraction of silane-treated filler was cut. Degree of cure moved wear in the expected direction; the step was smaller (12). Smaller particles and a tighter, well-coupled filler bed protect the matrix. Classical flowables, filled at about 40–55 wt%, wear faster than packable hybrids for that reason (5,13). Raising filler load and cutting particle size was the route to the newer injectables. G-ænial Universal Injectable is listed at 50 vol%. That sits just above Condon’s 48 vol% step. Beautifil II LS is listed at 83 wt%.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tests follow ISO/TR 14569-1. The brush load should lie between 0.5 N and 2.5 N. The slurry is made from a dentifrice that meets ISO 11609 (3,14). Ten thousand strokes are widely treated as one year if a patient makes about fifteen strokes a surface, twice a day (7,8). The conversion is an estimate. It is still the figure most toothbrushing papers use.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may be read as volume, profile depth or mass. Gravimetric loss is simple and repeatable if the balance is fine enough and the specimen is dry. It does not describe the shape of the worn surface. Volume from a scan does. The two numbers answer different questions (10,15).</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 is the mean absolute deviation of the profile from the centre line. It is the parameter almost every dental paper reports. Contact stylus profilometry remains a standard method. Optical methods add a map but are not required to rank Ra (4,16).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Bollen, Lambrechts and Quirynen set 0.2 µm as the plaque threshold (1). Quirynen and Bollen had already shown that roughness and surface-free energy govern plaque on restorations (17). Jones, Billington and Pearson later asked volunteers to rank composite discs with the tongue. Discrimination sat between 0.25 µm and 0.50 µm. They advised finishing to no more than 0.50 µm if the patient is not to feel the surface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raises Ra. Heintze and co-workers showed that the rise depends on material, time and load (4). Nanofilled resins, with small particles that wear with the matrix, usually stay smoother than nanohybrids, in which larger fillers are uncovered or lost (8,18). The toothpaste matters. A higher relative dentine abrasivity cuts gloss faster and leaves a rougher track (8).</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2.3 Injectable Composite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Early flowables were not intended for occlusal load (13). The current injectables are a different paste. G-ænial Universal Injectable is filled to about 69 wt% (50 vol%) with ultrafine barium glass and silica, mean size about 150 nm, in a UDMA / Bis-MEPP / TEGDMA matrix (6,18). Beautifil Flow Plus X F00 is a zero-flow giomer injectable with nano S-PRG filler (19). It is not the same product as Beautifil Flow Plus F00 used in several earlier papers (6).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compared G-ænial Universal Injectable and Beautifil Flow Plus F00 with a conventional flowable and a nanohybrid paste in two-body wear (200 000 cycles, 49 N, steatite). The two injectables lost less volume than the paste and the classical flowable. Flexural strength was also higher. The two injectables did not differ from each other (6). That is occlusal contact wear, dry, measured as volume. It cannot be read as toothbrush mass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Hasan, Eltoukhy and Zaghloul brushed G-ænial Universal Injectable, a nanofilled paste and a nanohybrid. After times taken as six months and one year, the injectable had the lowest Ra. The nanohybrid was the roughest. The two nanofilled resins did not differ (18). That design is closer to the present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Tzimas and co-workers reviewed highly filled flowables used as sole restoratives. Ra values were often statistically comparable to nanohybrid pastes, and sometimes lower, depending on filler packing and polish (20). Material-to-material scatter remains the rule.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2.4 Conventional Nanohybrid Resins and Giomers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Nanohybrid pastes mix nano-sized particles with larger submicron or micron fillers. Total inorganic load commonly exceeds 70–80 wt% (11). Beautifil II LS is such a paste. Filler load is 83 wt%. The resin uses an SRS monomer aimed at low shrinkage. The filler includes S-PRG glass (19). S-PRG releases ions, including fluoride. The same ion exchange can roughen the surface in acid (21). Larger and irregular fillers, once the matrix is brushed off, leave a higher Ra than a uniform nano-filled injectable (18). An eight-year clinical series of a giomer paste (Beautifil with a self-etch primer) showed acceptable retention and little secondary caries in the teeth that were still available for recall (22). That is clinical behaviour of an earlier giomer, not toothbrush Ra of Beautifil II LS. It only shows that S-PRG pastes have been used as definitive restoratives for years.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Packable nanohybrids remain the clinical reference for posterior direct work. They are harder to adapt in a narrow box and more likely to trap voids. The injectable products were written to close that handling gap without giving up wear resistance. Whether they do so under toothbrush abrasion is the question of this thesis.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2.5 Statement of the Problem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Ra of G-ænial Universal Injectable is favourable against a nanohybrid in another (18). Beautifil Flow Plus X F00 and Beautifil II LS have not been placed beside G-ænial Universal Injectable in the same 10 000-cycle, 2 N, gravimetric-plus-Ra protocol. That is the gap the experiment fills.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3</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MATERIALS AND METHODS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3.1 Study Design and Setting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study was an in-vitro comparison of three resin composites. Disc preparation was done in the laboratory of the Faculty of Dentistry, Pharos University in Alexandria. The toothbrushing run and the measurements were done in the Conservative Dentistry laboratory of the Faculty of Dentistry, Alexandria University.</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3.2 Sample Size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prepared, 10 mm in diameter and 1 mm thick. The discs were allocated at random to three groups of twelve.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first sample-size estimate used G*Power version 3.1.9.2. It was based on a two-body wear comparison of highly filled injectables with a conventional paste (6). With 80 % power and α = 0.05 the calculation gave ten discs a group (thirty in all). Twelve were used. Lost or damaged discs were to be replaced so that each group stayed at twelve. None had to be replaced.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3.3 Materials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G-ænial Universal Injectable, shade A2, a highly filled injectable composite (GC Corporation, Tokyo,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Beautifil Flow Plus X F00, shade A2, a highly filled injectable giomer, zero-flow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Beautifil II LS, shade A2, a conventional nanohybrid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Colgate Total toothpaste (relative dentine abrasivity 70).</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Distilled water.</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approved grouping was: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Group I.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Group II. Beautifil Flow Plus X F00.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Group III. Beautifil II 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composition of the three resin composites, as listed in the approved protocol, is given in Table 3.1.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type, matrix, filler and load of the resin composites used in the study</w:t>
      </w:r>
    </w:p>
    <w:tbl>
      <w:tblPr>
        <w:tblW w:type="auto" w:w="0"/>
        <w:jc w:val="center"/>
        <w:tblLayout w:type="autofit"/>
        <w:tblLook w:firstColumn="1" w:firstRow="1" w:lastColumn="0" w:lastRow="0" w:noHBand="0" w:noVBand="1" w:val="04A0"/>
      </w:tblPr>
      <w:tblGrid>
        <w:gridCol w:w="2197"/>
        <w:gridCol w:w="2197"/>
        <w:gridCol w:w="2197"/>
        <w:gridCol w:w="2197"/>
      </w:tblGrid>
      <w:tr>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Type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Matrix and filler</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Load</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 (A2)</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Nanofilled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Dimethacrylate monomers; barium glass and silica</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50 vol%</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 (A2)</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Giomer injectable, F00</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Bis-GMA, TEGDMA; multifunctional glass and S-PRG</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47 vol%</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 (A2)</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Nanohybrid giomer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Bis-GMA, UDMA, Bis-EMA, PEGMA, TEGDMA; multifunctional glass and S-PRG</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68 vol%</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Manufacturers: GC Corporation, Tokyo, Japan; Shofu Inc., Kyoto, Japan. Filler loads are those recorded in the approved protocol (volume percent).</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3.4 Equipment</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Custom-made toothbrushing simulator, Dental Biomaterial Department, Faculty of Dentistry, Alexandria University.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Blender computer-aided design software (Blender Institute B.V., Amsterdam, the Netherlands), used to mill the Teflon mould.</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MarSurf PS10 contact profilometer (Mahr GmbH, Göttingen, Germany).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RADWAG AS 220-R2 analytical balance (RADWAG Wagi Elektroniczne, Warsaw, Poland).</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LED curing light, MiniS (Woodpecker, Guilin, China), 800 mW/cm².</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6. Digital caliper.</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3.5 Specimen Preparation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packed, one increment each, in a CAD/CAM-milled Teflon mould, 10 mm in diameter and 1 mm deep. A Mylar strip and a transparent microscope slide were placed over the paste so that the face was flat and free of air. The light tip was held against the slide. Each disc was cured for 20 s at 800 mW/cm². Three further 20 s exposures were given from different directions so that the disc was polymerised through its thickness. Flash was trimmed with a no. 12 scalpel blade (Suzhou Kyuan Medical Co., Jiangsu, China).</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After removal from the mould the diameter of each disc was checked with the digital caliper. The discs were stored in distilled water in a closed glass container at 37 °C for 24 h. Before each weighing or roughness run a disc was taken out and dried with a sterile disposable sponge.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3.6 Baseline Measurements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dried disc was weighed on the RADWAG AS 220-R2. The recorded masses run to 0.0001 g; the balance therefore read to 0.1 mg.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 was measured on the test face with the MarSurf PS10. Five traces were taken at different sites on each disc. The value used for analysis was the mean of those five traces.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3.7 Toothbrushing Protocol</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Discs were mounted in the custom brushing machine. The vertical load was 2.0 N, inside the ISO range of 0.5–2.5 N (3). The slurry was 250 g of Colgate Total in 1 L of distilled water, after ISO/TR 14569-1 and ISO 11609 (3,14). Relative dentine abrasivity of that paste is 70. The slurry was replaced every 5 000 cycles. Each disc received 10 000 cycles. That count is the conventional laboratory equivalent of one year of twice-daily brushing (7,8). After the run each disc was washed with a stream of tap water and dried with a disposable sponge.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3.8 Post-test Evaluation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the same drying habit and, for Ra, five traces a disc.</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was calculated as: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 [(W₁ − W₂) / W₁] × 100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where W₁ and W₂ are mass before and after brushing.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(mg) = (W₁ − W₂) × 1000.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ΔRa (µm) = Ra after − Ra before.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3.9 Statistical Analysis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Descriptive values are presented as mean ± standard deviation. Percentage weight loss was compared among groups by one-way analysis of variance (ANOVA). Ra after brushing was compared by the Kruskal–Wallis test, followed by pairwise post-hoc comparisons. The level of significance was set at α = 0.05.</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3.10 Ethical Considerations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work used commercial restorative pastes and laboratory discs. No patient, extracted tooth or identifiable human tissue was used. Ethical approval for human subjects was not required.</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4</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All discs completed 10 000 cycles at 2 N. None was lost in processing. Wear is reported as mass, as percentage of the baseline mass and as milligrams shed. Roughness is reported as Ra, as the mean of five traces a disc, before and after the same abrasion.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three pastes did not start at the same mass or at the same Ra. Those baseline differences are part of the result. They are not adjusted away.</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4.1 Weight Loss</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before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after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loss (%)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0.1602 ± 0.0074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0.1576 ± 0.0031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1.49 ± 3.14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0.1630 ± 0.0102</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0.1619 ± 0.0106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0.65 ± 0.37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0.329†</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0.2313 ± 0.0154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0.2303 ± 0.0156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0.41 ± 0.25</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One-way ANOVA.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The mould was the same. The difference is filler load and density. Beautifil II LS is listed at 68 vol%. The injectables are listed at 47 vol% and 50 vol%. A heavier disc of the same diameter and thickness is the expected finding, not a fault in allocation.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not rejected. Numerically, Beautifil II LS lost the least (0.41 ± 0.25 %), then G-ænial Universal Injectable (0.65 ± 0.37 %), then Beautifil Flow Plus X F00 (1.49 ± 3.14 %). The last standard deviation is an order larger than the other two.</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 non-significant p-value does not make the three means equal. It says that, with twelve discs a group and with the variance that was observed, the test could not separate them. Most of that variance sits in one group.</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is given in Table 4.3, after the roughness data, because percentage loss on a lighter disc can exaggerate a small mass change. The two numbers should be read together.</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4.2.</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before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after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ΔRa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0.038 ± 0.011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0.104 ± 0.017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0.066 ± 0.021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0.054 ± 0.010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0.100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0.046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&lt; 0.001‡</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0.119 ± 0.054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0.194 ± 0.050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0.075 ± 0.066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Kruskal–Wallis test. Pairwise tests: each injectable versus Beautifil II LS, p &lt; 0.001; the two injectables, not significant.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 The finishing step was the same for every disc: a Mylar strip under a glass slide and a scalpel for flash. No further polish sequence was used. The baseline gap is therefore a material difference on an as-cured, strip-finished face, not a difference in grit.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Every group roughened. ΔRa was 0.066 ± 0.021 µm for Beautifil Flow Plus X F00, 0.046 ± 0.023 µm for G-ænial Universal Injectable and 0.075 ± 0.066 µm for Beautifil II LS. After 10 000 cycles the means were 0.104 ± 0.017 µm, 0.100 ± 0.023 µm and 0.194 ± 0.050 µm.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rejected. Pairwise tests separated Beautifil II LS from each injectable. They did not separate the two injectables.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order of the groups did not change. The nanohybrid was the roughest before and the roughest after. G-ænial Universal Injectable changed the least. Beautifil Flow Plus X F00 started lowest and finished with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Relative to the 0.2 µm plaque line (1), both injectable means were below it. The Beautifil II LS mean was 0.194 µm, on the line. Its standard deviation of 0.050 µm means some discs in that group crossed 0.2 µm. All three means were well below 0.50 µm (2). A patient would not be expected to feel these surfaces after this brushing model. Plaque retention is the sharper distinction, and it applies to the nanohybrid group.</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weight loss is set out in Table 4.3.</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2929"/>
        <w:gridCol w:w="2929"/>
        <w:gridCol w:w="2929"/>
      </w:tblGrid>
      <w:tr>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Absolute weight loss (mg) Mean ± SD</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Range (mg)</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2.58 ± 5.91</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20.7</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1.07 ± 0.62</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1.9</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0.95 ± 0.58</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 – 1.8</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Values are mean ± standard deviation. The large standard deviation in Beautifil Flow Plus X F00 comes from one disc that lost about 11.4 % of its mass (20.7 mg). The rest of that group, and both other groups, sit in a band of roughly 0.1–1.9 mg.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4.3 Summary of 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(p = 0.329). Absolute loss in the two well-behaved groups and in most of the Beautifil Flow Plus X F00 discs was about 1 mg. One disc in that group lost 20.7 mg. After the same abrasion both injectables were smoother than Beautifil II LS (p &lt; 0.001) and did not differ from each other. The injectable means stayed below 0.2 µm. The nanohybrid mean sat on that line.</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5</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DISCUSSION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first null hypothesis stands. The second does not. The three resins lost a statistically similar fraction of their mass. They did not finish with a similar Ra.</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protocol asked whether two current injectables would wear and roughen like Beautifil II LS under toothbrush slurry. The answer is split. On mass they could not be separated. On Ra they could.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 non-significant ANOVA (p = 0.329) is not proof of equal wear. It is a failure to reject equality. Beautifil Flow Plus X F00 had a standard deviation of 3.14 % beside a mean of 1.49 %. That spread is the outlier disc (about 11.4 %, 20.7 mg). Residual variance rises. Power falls. The other eleven discs in that group, and the twenty-four discs in the other groups, lost between 0.1 mg and 1.9 mg. On that restricted view the three pastes are close.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started heavier, as its 68 vol% listing would lead one to expect. Percentage loss on a heavier disc is a smaller number for the same milligrams shed. Absolute loss treats that fairly: 0.95 ± 0.58 mg against 1.07 ± 0.62 mg for G-ænial Universal Injectable. Those two means are near each other. The injectable with the barium-glass and silica bed (50 vol%) did not shed more mass than the conventional nanohybrid under this slurry.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slurry was a single paste, Colgate Total, RDA 70, mixed 250 g to 1 L after ISO/TR 14569-1 (3,14). That is a moderate abrasive, not a high-RDA whitening paste. Monteiro and Spohr showed that a higher RDA cuts gloss faster and leaves a rougher track (8). A harsher dentifrice might have opened a gap in mass that this paste did not. The present ranking is for this slurry only.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found less volumetric two-body wear for G-ænial Universal Injectable and Beautifil Flow Plus F00 than for a nanohybrid paste (6). The direction is friendly to injectables. The test is not the same test. They used 200 000 chewing cycles, 49 N and a steatite ball. They did not use toothpaste. They measured volume. Beautifil Flow Plus F00 is also not Beautifil Flow Plus X F00. Agreement can be stated only as a general remark: highly filled injectables are not automatically the weaker partner in a wear assay.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Why one disc lost 20.7 mg is not known from the laboratory record used here. A void, a soft under-cured layer, or a weighing error would all produce that point. Curing was 20 s through the slide plus three further 20 s exposures. That is a full dose for a 1 mm disc. It does not exclude a local defect in one increment. The value was not dropped. It is footnoted in Table 4.3. Any later re-analysis that excludes it must say so.</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Gravimetric loss is a bulk number. It does not say where the substance left the disc. Heintze compared mass, profile depth and scanned volume and showed that the three methods do not tell the same story (15). The present work has only mass. A later volumetric or profilometric wear depth would sit beside Table 4.3, not replace it.</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roughness result is cleaner. The nanohybrid was rougher before brushing and rougher after it. ΔRa was also largest in that group, with a wide spread (0.075 ± 0.066 µm). G-ænial Universal Injectable changed the least (0.046 ± 0.023 µm). Beautifil Flow Plus X F00 started smoothest and ended statistically with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That pattern fits filler geometry. A nanofilled injectable with barium glass and silica at 50 vol% wears more evenly (6,18). A nanohybrid with larger S-PRG and glass particles loses matrix first. The large fillers stand up or leave pits (4,18). Hasan, Eltoukhy and Zaghloul saw the same order after simulated brushing: G-ænial Universal Injectable smoother than a nanohybrid; two nanofilled resins not different from each other (18). Heintze et al. had already shown that hybrid and microhybrid pastes roughen more with load and time than microfilled resins (4).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discs were strip-finished, not polished through a graded grit sequence. Baseline Ra is therefore the as-cured skin plus whatever the scalpel left at the edge. The after-brushing comparison is still valid. Every group had the same finish and the same 10 000 cycles. Part of the after-brushing gap, though, was already present at baseline. Beautifil II LS started at 0.119 µm. The injectables started at 0.038 µm and 0.054 µm.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Five traces a disc on the MarSurf PS10 is a standard contact-stylus habit. It is not a map of the whole face. A local pit can be missed. Optical methods would have given that map (4,16). They were not used.</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0.2 µm line is the clinically useful one (1,17). Both injectables ended near 0.10 µm. They remain, on the mean, in the range where further smoothing is not expected to cut plaque. Beautifil II LS ended at 0.194 ± 0.050 µm. The mean is acceptable on the published threshold. The spread is not entirely below it. None of the means approach the 0.50 µm tongue threshold (2). Patients would not be expected to feel these surfaces after one year of this brushing model. Biofilm risk is the sharper distinction, and it applies to the nanohybrid group.</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S-PRG glass can roughen in acid by ion exchange (21). The present slurry was not an acid challenge. The higher Ra of Beautifil II LS after brushing is read as filler geometry under three-body abrasion, not as a fluoride-release effect. An eight-year clinical series of an earlier giomer paste showed acceptable retention (22). That is a different question from toothbrush Ra of Beautifil II LS.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5.3 Clinical Implications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Within this protocol the two injectables may be used where toothbrush abrasion is the wear of interest without paying a roughness penalty against Beautifil II LS. They do not, on these data, wear less. They finish smoother. That matters on free cleanable surfaces and at margins of anterior restorations, which is the wear mode the protocol named. It does not license a claim that they survive occlusal contact better. Occlusal contact was not tested.</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is the as-cured nanohybrid face. If a clinic polishes that paste through a fine sequence, the starting Ra would be lower than 0.119 µm. The after-brushing test would then start from a different place. The groups here were compared as they stood after the same strip finish and the same abrasion.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injectable means at 0.10 µm sit in the range where Bollen and Quirynen would not expect a further plaque gain from smoothness (1,17). The nanohybrid mean at 0.194 µm is on their line. Some discs in that group are over it. That is the clinical sentence the roughness data will bear. It will not bear a sentence about occlusal longevity or about stain, which was not scored.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5.4 Strengths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three products are current commercial pastes, including the X-generation Flow Plus, not the older Beautifil Flow Plus F00. Sample size was twelve, not the ten given by the first G*Power run. Both mass and Ra were read on the same discs. The mould, the cure, the balance, the profilometer, the load, the slurry ratio and the cycle count are those of the approved protocol. The brushing load and cycle count sit on published ISO and Sexson–Phillips figures (3,7). The statistical tests match the distributions used in the locked spreadsheet. The outlier was kept and named.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5.5 Limitations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test is in vitro. Saliva, pH, enzymes and occlusal load are missing. Gravimetric loss is not worn volume and is not worn anatomy (15). One dentifrice was used. There are no scanning electron images, so filler plucking is an inference from the roughness numbers, not a micrograph. Ten thousand cycles are one conventional year, not a clinical year (7,8). Disc geometry is not a Class II box. The face was strip-finished, not polished. Storage was 24 h in water at 37 °C; longer water ageing was not done.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5.6 Concluding Remarks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The injectables were smoother. Beautifil II LS sat on the plaque threshold. That is the result. It should not be enlarged into a general ranking of injectable versus nanohybrid outside toothbrush abrasion.</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6</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CONCLUSIONS AND RECOMMENDATIONS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6.1 Summary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10 mm × 1 mm, of Beautifil Flow Plus X F00, G-ænial Universal Injectable and Beautifil II LS were brushed for 10 000 cycles at 2 N in a Colgate Total slurry (RDA 70; 250 g/L). Mass was read on a RADWAG AS 220-R2. Ra was the mean of five MarSurf PS10 traces. Percentage weight loss did not differ (ANOVA p = 0.329). Ra after brushing did (Kruskal–Wallis p &lt; 0.001). The injectables were smoother than Beautifil II LS and not different from each other. One Flow Plus X disc lost about 11.4 % of its mass.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6.2 Conclusions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smoother than Beautifil II LS. The two injectables did not differ from each other.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Mean Ra of both injectables remained below 0.2 µm. Mean Ra of Beautifil II LS was 0.194 µm.</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One Beautifil Flow Plus X F00 disc lost about 11.4 % of its mass and is the source of that group’s large standard deviation.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6.3 Recommendations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smoothness after hygiene are the concern, either injectable tested here may be considered beside Beautifil II LS. The data do not show less wear. They show a smoother surface after this brushing model.</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Repeat the mass analysis with and without the outlying disc, and report both. Add volumetric loss or profilometric wear depth. Add SEM of the worn face. State the polish sequence, the brush and the slurry ratio in full. A second dentifrice, or a higher cycle count, would test whether the Ra gap holds.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say whether the 0.10 µm versus 0.19 µm difference after a laboratory year changes plaque, stain or survival.</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7</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REFERENCES</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11. Ferracane JL. Resin composite—state of the art. Dent Mater. 2011;27(1):29-38.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16. International Organization for Standardization. ISO 4049:2019. Dentistry — Polymer-based restorative materials. Geneva: ISO; 2019.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19. Shofu Inc. Beautifil II LS product information; Beautifil Flow Plus X product information. Kyoto: Shofu.</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الملخص العربي</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أُجريت هذه الدراسة في المختبر لمقارنة مقاومة التآكل وخشونة السطح لراتينجين مركبين قابلين للحقن عاليي الملء (Beautifil Flow Plus X F00 وG-ænial Universal Injectable) مع راتينج نانوهجين تقليدي (Beautifil II LS) بعد عشرة آلاف دورة تفريش بحمولة 2 نيوتن في معلق معجون Colgate Total. أُعدّت الأقراص بقطر 10 مم وسمك 1 مم (اثنا عشر قرصاً لكل مجموعة) في قالب تفلون، وخُزنت في ماء مقطر عند 37 مئوية مدة أربع وعشرين ساعة. قيست الكتلة بميزان RADWAG AS 220-R2، وقيس Ra بمتوسط خمس قراءات على جهاز MarSurf PS10.</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لم يبلغ الفرق في النسبة المئوية لفقد الوزن حد الدلالة الإحصائية (تحليل التباين الأحادي، p = 0.329). أما Ra بعد التفريش فقد اختلف اختلافاً دالاً (كروسكال–واليس، p &lt; 0.001). كان القابلان للحقن أنعم من Beautifil II LS ولم يختلفا أحدهما عن الآخر. بقي متوسطا القابلين للحقن دون 0.2 ميكرومتر، ووقع متوسط Beautifil II LS على 0.194 ميكرومتر. فقد قرص واحد من Beautifil Flow Plus X F00 نحو 11.4٪ من كتلته ولم يُستبعد من التحليل.</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لا تجيز هذه النتائج الادعاء بأن الراتينجات القابلة للحقن أفضل ترميمات تحت الحمل الإطباقي. الاختبار هو سحل فرشاة الأسنان ثلاثي الأجسام، وليس السحل ثنائي الأجسام بخصم مضاد.</w:t>
      </w:r>
    </w:p>
    <w:sectPr w:rsidR="00FC693F" w:rsidRPr="0006063C" w:rsidSect="00034616">
      <w:footerReference w:type="default" r:id="rId13"/>
      <w:pgSz w:w="11906" w:h="16838"/>
      <w:pgMar w:top="1417" w:right="1417" w:bottom="1417" w:left="1701" w:header="0" w:footer="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roman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decimal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line="48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jc w:val="left"/>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jc w:val="left"/>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