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pageBreakBefore w:val="0"/>
        <w:widowControl/>
        <w:spacing w:before="0" w:after="160" w:line="240" w:lineRule="auto"/>
        <w:ind w:firstLine="0"/>
        <w:jc w:val="center"/>
      </w:pPr>
      <w:r>
        <w:drawing>
          <wp:inline xmlns:a="http://schemas.openxmlformats.org/drawingml/2006/main" xmlns:pic="http://schemas.openxmlformats.org/drawingml/2006/picture">
            <wp:extent cx="5580000" cy="868850"/>
            <wp:docPr id="1" name="Picture 1"/>
            <wp:cNvGraphicFramePr>
              <a:graphicFrameLocks noChangeAspect="1"/>
            </wp:cNvGraphicFramePr>
            <a:graphic>
              <a:graphicData uri="http://schemas.openxmlformats.org/drawingml/2006/picture">
                <pic:pic>
                  <pic:nvPicPr>
                    <pic:cNvPr id="0" name="protocol_header.png"/>
                    <pic:cNvPicPr/>
                  </pic:nvPicPr>
                  <pic:blipFill>
                    <a:blip r:embed="rId10"/>
                    <a:stretch>
                      <a:fillRect/>
                    </a:stretch>
                  </pic:blipFill>
                  <pic:spPr>
                    <a:xfrm>
                      <a:off x="0" y="0"/>
                      <a:ext cx="5580000" cy="868850"/>
                    </a:xfrm>
                    <a:prstGeom prst="rect"/>
                  </pic:spPr>
                </pic:pic>
              </a:graphicData>
            </a:graphic>
          </wp:inline>
        </w:drawing>
      </w:r>
    </w:p>
    <w:p>
      <w:pPr>
        <w:keepNext w:val="0"/>
        <w:pageBreakBefore w:val="0"/>
        <w:widowControl/>
        <w:spacing w:before="0" w:after="240" w:line="480" w:lineRule="auto"/>
        <w:ind w:firstLine="0"/>
        <w:jc w:val="center"/>
      </w:pPr>
      <w:r>
        <w:rPr>
          <w:rFonts w:ascii="Times New Roman" w:hAnsi="Times New Roman" w:eastAsia="Times New Roman"/>
          <w:b w:val="0"/>
          <w:i/>
          <w:color w:val="000000"/>
          <w:sz w:val="26"/>
        </w:rPr>
        <w:t>Department of Conservative Dentistry</w:t>
      </w:r>
    </w:p>
    <w:p>
      <w:pPr>
        <w:keepNext w:val="0"/>
        <w:pageBreakBefore w:val="0"/>
        <w:widowControl/>
        <w:spacing w:before="120" w:after="120" w:line="480" w:lineRule="auto"/>
        <w:ind w:firstLine="0"/>
        <w:jc w:val="center"/>
      </w:pPr>
      <w:r>
        <w:rPr>
          <w:rFonts w:ascii="Times New Roman" w:hAnsi="Times New Roman" w:eastAsia="Times New Roman"/>
          <w:b/>
          <w:i w:val="0"/>
          <w:color w:val="000000"/>
          <w:sz w:val="28"/>
        </w:rPr>
        <w:t>COMPARATIVE EVALUATION OF WEAR RESISTANCE AND SURFACE ROUGHNESS OF INJECTABLE VERSUS CONVENTIONAL NANOHYBRID COMPOSITE RESINS</w:t>
      </w:r>
    </w:p>
    <w:p>
      <w:pPr>
        <w:keepNext w:val="0"/>
        <w:pageBreakBefore w:val="0"/>
        <w:widowControl/>
        <w:spacing w:before="0" w:after="240" w:line="480" w:lineRule="auto"/>
        <w:ind w:firstLine="0"/>
        <w:jc w:val="center"/>
      </w:pPr>
      <w:r>
        <w:rPr>
          <w:rFonts w:ascii="Times New Roman" w:hAnsi="Times New Roman" w:eastAsia="Times New Roman"/>
          <w:b w:val="0"/>
          <w:i/>
          <w:color w:val="000000"/>
          <w:sz w:val="26"/>
        </w:rPr>
        <w:t>(In Vitro Study)</w:t>
      </w:r>
    </w:p>
    <w:p>
      <w:pPr>
        <w:keepNext w:val="0"/>
        <w:pageBreakBefore w:val="0"/>
        <w:widowControl/>
        <w:spacing w:before="0" w:after="0" w:line="480" w:lineRule="auto"/>
        <w:ind w:firstLine="0"/>
        <w:jc w:val="center"/>
      </w:pPr>
      <w:r>
        <w:rPr>
          <w:rFonts w:ascii="Times New Roman" w:hAnsi="Times New Roman" w:eastAsia="Times New Roman"/>
          <w:b w:val="0"/>
          <w:i w:val="0"/>
          <w:color w:val="000000"/>
          <w:sz w:val="24"/>
        </w:rPr>
        <w:t>A Thesis submitted in partial fulfillment of the</w:t>
      </w:r>
    </w:p>
    <w:p>
      <w:pPr>
        <w:keepNext w:val="0"/>
        <w:pageBreakBefore w:val="0"/>
        <w:widowControl/>
        <w:spacing w:before="0" w:after="0" w:line="480" w:lineRule="auto"/>
        <w:ind w:firstLine="0"/>
        <w:jc w:val="center"/>
      </w:pPr>
      <w:r>
        <w:rPr>
          <w:rFonts w:ascii="Times New Roman" w:hAnsi="Times New Roman" w:eastAsia="Times New Roman"/>
          <w:b w:val="0"/>
          <w:i w:val="0"/>
          <w:color w:val="000000"/>
          <w:sz w:val="24"/>
        </w:rPr>
        <w:t>requirements for the degree of Master of Science</w:t>
      </w:r>
    </w:p>
    <w:p>
      <w:pPr>
        <w:keepNext w:val="0"/>
        <w:pageBreakBefore w:val="0"/>
        <w:widowControl/>
        <w:spacing w:before="0" w:after="0" w:line="480" w:lineRule="auto"/>
        <w:ind w:firstLine="0"/>
        <w:jc w:val="center"/>
      </w:pPr>
      <w:r>
        <w:rPr>
          <w:rFonts w:ascii="Times New Roman" w:hAnsi="Times New Roman" w:eastAsia="Times New Roman"/>
          <w:b w:val="0"/>
          <w:i w:val="0"/>
          <w:color w:val="000000"/>
          <w:sz w:val="24"/>
        </w:rPr>
        <w:t>in</w:t>
      </w:r>
    </w:p>
    <w:p>
      <w:pPr>
        <w:keepNext w:val="0"/>
        <w:pageBreakBefore w:val="0"/>
        <w:widowControl/>
        <w:spacing w:before="0" w:after="240" w:line="480" w:lineRule="auto"/>
        <w:ind w:firstLine="0"/>
        <w:jc w:val="center"/>
      </w:pPr>
      <w:r>
        <w:rPr>
          <w:rFonts w:ascii="Times New Roman" w:hAnsi="Times New Roman" w:eastAsia="Times New Roman"/>
          <w:b/>
          <w:i w:val="0"/>
          <w:color w:val="000000"/>
          <w:sz w:val="26"/>
        </w:rPr>
        <w:t>Conservative Dentistry</w:t>
      </w:r>
    </w:p>
    <w:p>
      <w:pPr>
        <w:keepNext w:val="0"/>
        <w:pageBreakBefore w:val="0"/>
        <w:widowControl/>
        <w:spacing w:before="120" w:after="0" w:line="480" w:lineRule="auto"/>
        <w:ind w:firstLine="0"/>
        <w:jc w:val="center"/>
      </w:pPr>
      <w:r>
        <w:rPr>
          <w:rFonts w:ascii="Times New Roman" w:hAnsi="Times New Roman" w:eastAsia="Times New Roman"/>
          <w:b w:val="0"/>
          <w:i w:val="0"/>
          <w:color w:val="000000"/>
          <w:sz w:val="24"/>
        </w:rPr>
        <w:t>Submitted by</w:t>
      </w:r>
    </w:p>
    <w:p>
      <w:pPr>
        <w:keepNext w:val="0"/>
        <w:pageBreakBefore w:val="0"/>
        <w:widowControl/>
        <w:spacing w:before="0" w:after="0" w:line="480" w:lineRule="auto"/>
        <w:ind w:firstLine="0"/>
        <w:jc w:val="center"/>
      </w:pPr>
      <w:r>
        <w:rPr>
          <w:rFonts w:ascii="Times New Roman" w:hAnsi="Times New Roman" w:eastAsia="Times New Roman"/>
          <w:b/>
          <w:i w:val="0"/>
          <w:color w:val="000000"/>
          <w:sz w:val="26"/>
        </w:rPr>
        <w:t>Mohamed Talaat Mohamed AbdelMoaty ElAbd</w:t>
      </w:r>
    </w:p>
    <w:p>
      <w:pPr>
        <w:keepNext w:val="0"/>
        <w:pageBreakBefore w:val="0"/>
        <w:widowControl/>
        <w:spacing w:before="0" w:after="240" w:line="480" w:lineRule="auto"/>
        <w:ind w:firstLine="0"/>
        <w:jc w:val="center"/>
      </w:pPr>
      <w:r>
        <w:rPr>
          <w:rFonts w:ascii="Times New Roman" w:hAnsi="Times New Roman" w:eastAsia="Times New Roman"/>
          <w:b w:val="0"/>
          <w:i w:val="0"/>
          <w:color w:val="000000"/>
          <w:sz w:val="24"/>
        </w:rPr>
        <w:t>Student Code No. 202203112</w:t>
      </w:r>
    </w:p>
    <w:p>
      <w:pPr>
        <w:keepNext w:val="0"/>
        <w:pageBreakBefore w:val="0"/>
        <w:widowControl/>
        <w:spacing w:before="120" w:after="0" w:line="480" w:lineRule="auto"/>
        <w:ind w:firstLine="0"/>
        <w:jc w:val="center"/>
      </w:pPr>
      <w:r>
        <w:rPr>
          <w:rFonts w:ascii="Times New Roman" w:hAnsi="Times New Roman" w:eastAsia="Times New Roman"/>
          <w:b/>
          <w:i w:val="0"/>
          <w:color w:val="000000"/>
          <w:sz w:val="24"/>
        </w:rPr>
        <w:t>Supervisors</w:t>
      </w:r>
    </w:p>
    <w:p>
      <w:pPr>
        <w:keepNext w:val="0"/>
        <w:pageBreakBefore w:val="0"/>
        <w:widowControl/>
        <w:spacing w:before="0" w:after="0" w:line="480" w:lineRule="auto"/>
        <w:ind w:firstLine="0"/>
        <w:jc w:val="center"/>
      </w:pPr>
      <w:r>
        <w:rPr>
          <w:rFonts w:ascii="Times New Roman" w:hAnsi="Times New Roman" w:eastAsia="Times New Roman"/>
          <w:b/>
          <w:i w:val="0"/>
          <w:color w:val="000000"/>
          <w:sz w:val="24"/>
        </w:rPr>
        <w:t>Prof. Wegdan M. Abdel-Fattah</w:t>
      </w:r>
    </w:p>
    <w:p>
      <w:pPr>
        <w:keepNext w:val="0"/>
        <w:pageBreakBefore w:val="0"/>
        <w:widowControl/>
        <w:spacing w:before="0" w:after="240" w:line="480" w:lineRule="auto"/>
        <w:ind w:firstLine="0"/>
        <w:jc w:val="center"/>
      </w:pPr>
      <w:r>
        <w:rPr>
          <w:rFonts w:ascii="Times New Roman" w:hAnsi="Times New Roman" w:eastAsia="Times New Roman"/>
          <w:b/>
          <w:i w:val="0"/>
          <w:color w:val="000000"/>
          <w:sz w:val="24"/>
        </w:rPr>
        <w:t>Asst. Prof. Emad M. El-Sayed (Main supervisor)</w:t>
      </w:r>
    </w:p>
    <w:p>
      <w:pPr>
        <w:keepNext w:val="0"/>
        <w:pageBreakBefore w:val="0"/>
        <w:widowControl/>
        <w:spacing w:before="240" w:after="0" w:line="480" w:lineRule="auto"/>
        <w:ind w:firstLine="0"/>
        <w:jc w:val="center"/>
      </w:pPr>
      <w:r>
        <w:rPr>
          <w:rFonts w:ascii="Times New Roman" w:hAnsi="Times New Roman" w:eastAsia="Times New Roman"/>
          <w:b/>
          <w:i w:val="0"/>
          <w:color w:val="000000"/>
          <w:sz w:val="26"/>
        </w:rPr>
        <w:t>2025 / 2026</w:t>
      </w:r>
    </w:p>
    <w:p>
      <w:pPr>
        <w:sectPr>
          <w:footerReference w:type="default" r:id="rId9"/>
          <w:pgSz w:w="11906" w:h="16838"/>
          <w:pgMar w:top="850" w:right="1417" w:bottom="1417" w:left="1701" w:header="720" w:footer="720" w:gutter="0"/>
          <w:cols w:space="720"/>
          <w:titlePg/>
          <w:docGrid w:linePitch="360"/>
        </w:sectPr>
      </w:pPr>
    </w:p>
    <w:p>
      <w:pPr>
        <w:pStyle w:val="Heading1"/>
        <w:keepNext/>
        <w:pageBreakBefore w:val="0"/>
        <w:widowControl/>
        <w:spacing w:before="0" w:after="120" w:line="480" w:lineRule="auto"/>
        <w:ind w:firstLine="0"/>
        <w:jc w:val="center"/>
      </w:pPr>
      <w:r>
        <w:rPr>
          <w:rFonts w:ascii="Times New Roman" w:hAnsi="Times New Roman" w:eastAsia="Times New Roman"/>
          <w:b/>
          <w:i w:val="0"/>
          <w:color w:val="000000"/>
          <w:sz w:val="28"/>
        </w:rPr>
        <w:t>SUPERVISORS</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This thesis was carried out under the supervision of:</w:t>
      </w:r>
    </w:p>
    <w:p>
      <w:pPr>
        <w:keepNext w:val="0"/>
        <w:pageBreakBefore w:val="0"/>
        <w:widowControl/>
        <w:spacing w:before="240" w:after="0" w:line="480" w:lineRule="auto"/>
        <w:ind w:firstLine="0"/>
        <w:jc w:val="center"/>
      </w:pPr>
      <w:r>
        <w:rPr>
          <w:rFonts w:ascii="Times New Roman" w:hAnsi="Times New Roman" w:eastAsia="Times New Roman"/>
          <w:b/>
          <w:i w:val="0"/>
          <w:color w:val="000000"/>
          <w:sz w:val="24"/>
        </w:rPr>
        <w:t>Prof. Wegdan M. Abdel-Fattah</w:t>
      </w:r>
    </w:p>
    <w:p>
      <w:pPr>
        <w:keepNext w:val="0"/>
        <w:pageBreakBefore w:val="0"/>
        <w:widowControl/>
        <w:spacing w:before="0" w:after="240" w:line="480" w:lineRule="auto"/>
        <w:ind w:firstLine="0"/>
        <w:jc w:val="center"/>
      </w:pPr>
      <w:r>
        <w:rPr>
          <w:rFonts w:ascii="Times New Roman" w:hAnsi="Times New Roman" w:eastAsia="Times New Roman"/>
          <w:b w:val="0"/>
          <w:i/>
          <w:color w:val="000000"/>
          <w:sz w:val="24"/>
        </w:rPr>
        <w:t>Professor of Conservative Dentistry</w:t>
      </w:r>
    </w:p>
    <w:p>
      <w:pPr>
        <w:keepNext w:val="0"/>
        <w:pageBreakBefore w:val="0"/>
        <w:widowControl/>
        <w:spacing w:before="240" w:after="0" w:line="480" w:lineRule="auto"/>
        <w:ind w:firstLine="0"/>
        <w:jc w:val="center"/>
      </w:pPr>
      <w:r>
        <w:rPr>
          <w:rFonts w:ascii="Times New Roman" w:hAnsi="Times New Roman" w:eastAsia="Times New Roman"/>
          <w:b/>
          <w:i w:val="0"/>
          <w:color w:val="000000"/>
          <w:sz w:val="24"/>
        </w:rPr>
        <w:t>Asst. Prof. Emad M. El-Sayed</w:t>
      </w:r>
    </w:p>
    <w:p>
      <w:pPr>
        <w:keepNext w:val="0"/>
        <w:pageBreakBefore w:val="0"/>
        <w:widowControl/>
        <w:spacing w:before="0" w:after="0" w:line="480" w:lineRule="auto"/>
        <w:ind w:firstLine="0"/>
        <w:jc w:val="center"/>
      </w:pPr>
      <w:r>
        <w:rPr>
          <w:rFonts w:ascii="Times New Roman" w:hAnsi="Times New Roman" w:eastAsia="Times New Roman"/>
          <w:b w:val="0"/>
          <w:i/>
          <w:color w:val="000000"/>
          <w:sz w:val="24"/>
        </w:rPr>
        <w:t>Assistant Professor of Conservative Dentistry</w:t>
      </w:r>
    </w:p>
    <w:p>
      <w:pPr>
        <w:keepNext w:val="0"/>
        <w:pageBreakBefore w:val="0"/>
        <w:widowControl/>
        <w:spacing w:before="0" w:after="0" w:line="480" w:lineRule="auto"/>
        <w:ind w:firstLine="0"/>
        <w:jc w:val="center"/>
      </w:pPr>
      <w:r>
        <w:rPr>
          <w:rFonts w:ascii="Times New Roman" w:hAnsi="Times New Roman" w:eastAsia="Times New Roman"/>
          <w:b w:val="0"/>
          <w:i/>
          <w:color w:val="000000"/>
          <w:sz w:val="24"/>
        </w:rPr>
        <w:t>(Main supervisor)</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Faculty of Dentistry, Pharos University in Alexandria.</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DECLARATION</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I declare that this thesis is my own work. It has not been submitted, in whole or in part, for any other degree or qualification. The experimental data are those of the laboratory study described herein. Sources used in the text are cited in the list of references.</w:t>
      </w:r>
    </w:p>
    <w:p>
      <w:pPr>
        <w:keepNext w:val="0"/>
        <w:pageBreakBefore w:val="0"/>
        <w:widowControl/>
        <w:spacing w:before="480" w:after="0" w:line="480" w:lineRule="auto"/>
        <w:ind w:firstLine="0"/>
        <w:jc w:val="center"/>
      </w:pPr>
      <w:r>
        <w:rPr>
          <w:rFonts w:ascii="Times New Roman" w:hAnsi="Times New Roman" w:eastAsia="Times New Roman"/>
          <w:b/>
          <w:i w:val="0"/>
          <w:color w:val="000000"/>
          <w:sz w:val="24"/>
        </w:rPr>
        <w:t>Mohamed Talaat Mohamed AbdelMoaty ElAbd</w:t>
      </w:r>
    </w:p>
    <w:p>
      <w:pPr>
        <w:keepNext w:val="0"/>
        <w:pageBreakBefore w:val="0"/>
        <w:widowControl/>
        <w:spacing w:before="240" w:after="0" w:line="480" w:lineRule="auto"/>
        <w:ind w:firstLine="0"/>
        <w:jc w:val="center"/>
      </w:pPr>
      <w:r>
        <w:rPr>
          <w:rFonts w:ascii="Times New Roman" w:hAnsi="Times New Roman" w:eastAsia="Times New Roman"/>
          <w:b w:val="0"/>
          <w:i w:val="0"/>
          <w:color w:val="000000"/>
          <w:sz w:val="24"/>
        </w:rPr>
        <w:t>Signature: …………………………     Date: …………………………</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ABSTRACT</w:t>
      </w:r>
    </w:p>
    <w:p>
      <w:pPr>
        <w:keepNext w:val="0"/>
        <w:pageBreakBefore w:val="0"/>
        <w:widowControl/>
        <w:spacing w:before="0" w:after="0" w:line="480" w:lineRule="auto"/>
        <w:ind w:firstLine="720"/>
        <w:jc w:val="both"/>
      </w:pPr>
      <w:r>
        <w:rPr>
          <w:rFonts w:ascii="Times New Roman" w:hAnsi="Times New Roman" w:eastAsia="Times New Roman"/>
          <w:b/>
          <w:i w:val="0"/>
          <w:color w:val="000000"/>
          <w:sz w:val="24"/>
        </w:rPr>
        <w:t xml:space="preserve">Background. </w:t>
      </w:r>
      <w:r>
        <w:rPr>
          <w:rFonts w:ascii="Times New Roman" w:hAnsi="Times New Roman" w:eastAsia="Times New Roman"/>
          <w:b w:val="0"/>
          <w:i w:val="0"/>
          <w:color w:val="000000"/>
          <w:sz w:val="24"/>
        </w:rPr>
        <w:t>Highly filled injectable composites are sold for load-bearing use. Their loss of mass and change in surface roughness after toothbrush abrasion still need a direct comparison with a conventional nanohybrid resin under the same laboratory conditions.</w:t>
      </w:r>
    </w:p>
    <w:p>
      <w:pPr>
        <w:keepNext w:val="0"/>
        <w:pageBreakBefore w:val="0"/>
        <w:widowControl/>
        <w:spacing w:before="0" w:after="0" w:line="480" w:lineRule="auto"/>
        <w:ind w:firstLine="720"/>
        <w:jc w:val="both"/>
      </w:pPr>
      <w:r>
        <w:rPr>
          <w:rFonts w:ascii="Times New Roman" w:hAnsi="Times New Roman" w:eastAsia="Times New Roman"/>
          <w:b/>
          <w:i w:val="0"/>
          <w:color w:val="000000"/>
          <w:sz w:val="24"/>
        </w:rPr>
        <w:t xml:space="preserve">Aim. </w:t>
      </w:r>
      <w:r>
        <w:rPr>
          <w:rFonts w:ascii="Times New Roman" w:hAnsi="Times New Roman" w:eastAsia="Times New Roman"/>
          <w:b w:val="0"/>
          <w:i w:val="0"/>
          <w:color w:val="000000"/>
          <w:sz w:val="24"/>
        </w:rPr>
        <w:t>To compare percentage weight loss and arithmetic mean roughness (Ra) of Beautifil Flow Plus X F00, G-ænial Universal Injectable and Beautifil II LS after 10 000 toothbrushing cycles.</w:t>
      </w:r>
    </w:p>
    <w:p>
      <w:pPr>
        <w:keepNext w:val="0"/>
        <w:pageBreakBefore w:val="0"/>
        <w:widowControl/>
        <w:spacing w:before="0" w:after="0" w:line="480" w:lineRule="auto"/>
        <w:ind w:firstLine="720"/>
        <w:jc w:val="both"/>
      </w:pPr>
      <w:r>
        <w:rPr>
          <w:rFonts w:ascii="Times New Roman" w:hAnsi="Times New Roman" w:eastAsia="Times New Roman"/>
          <w:b/>
          <w:i w:val="0"/>
          <w:color w:val="000000"/>
          <w:sz w:val="24"/>
        </w:rPr>
        <w:t xml:space="preserve">Methods. </w:t>
      </w:r>
      <w:r>
        <w:rPr>
          <w:rFonts w:ascii="Times New Roman" w:hAnsi="Times New Roman" w:eastAsia="Times New Roman"/>
          <w:b w:val="0"/>
          <w:i w:val="0"/>
          <w:color w:val="000000"/>
          <w:sz w:val="24"/>
        </w:rPr>
        <w:t>Thirty-six discs (10 mm diameter × 1 mm thick; n = 12) were brushed at 2 N in a Colgate Total slurry prepared after ISO guidance. Mass was recorded before and after abrasion. Ra was measured by contact profilometry. Percentage weight loss was compared by one-way ANOVA. Ra after brushing was compared by the Kruskal–Wallis test (α = 0.05).</w:t>
      </w:r>
    </w:p>
    <w:p>
      <w:pPr>
        <w:keepNext w:val="0"/>
        <w:pageBreakBefore w:val="0"/>
        <w:widowControl/>
        <w:spacing w:before="0" w:after="0" w:line="480" w:lineRule="auto"/>
        <w:ind w:firstLine="720"/>
        <w:jc w:val="both"/>
      </w:pPr>
      <w:r>
        <w:rPr>
          <w:rFonts w:ascii="Times New Roman" w:hAnsi="Times New Roman" w:eastAsia="Times New Roman"/>
          <w:b/>
          <w:i w:val="0"/>
          <w:color w:val="000000"/>
          <w:sz w:val="24"/>
        </w:rPr>
        <w:t xml:space="preserve">Results. </w:t>
      </w:r>
      <w:r>
        <w:rPr>
          <w:rFonts w:ascii="Times New Roman" w:hAnsi="Times New Roman" w:eastAsia="Times New Roman"/>
          <w:b w:val="0"/>
          <w:i w:val="0"/>
          <w:color w:val="000000"/>
          <w:sz w:val="24"/>
        </w:rPr>
        <w:t>Mean percentage weight loss was 1.49 ± 3.14 % for Beautifil Flow Plus X F00, 0.65 ± 0.37 % for G-ænial Universal Injectable and 0.41 ± 0.25 % for Beautifil II LS (p = 0.329). Mean Ra after brushing was 0.104 ± 0.017 µm, 0.100 ± 0.023 µm and 0.194 ± 0.050 µm respectively (p &lt; 0.001). Each injectable resin was smoother than Beautifil II LS. The two injectables did not differ from each other. One Beautifil Flow Plus X F00 disc lost about 11.4 % of its mass and accounts for that group’s large standard deviation.</w:t>
      </w:r>
    </w:p>
    <w:p>
      <w:pPr>
        <w:keepNext w:val="0"/>
        <w:pageBreakBefore w:val="0"/>
        <w:widowControl/>
        <w:spacing w:before="0" w:after="0" w:line="480" w:lineRule="auto"/>
        <w:ind w:firstLine="720"/>
        <w:jc w:val="both"/>
      </w:pPr>
      <w:r>
        <w:rPr>
          <w:rFonts w:ascii="Times New Roman" w:hAnsi="Times New Roman" w:eastAsia="Times New Roman"/>
          <w:b/>
          <w:i w:val="0"/>
          <w:color w:val="000000"/>
          <w:sz w:val="24"/>
        </w:rPr>
        <w:t xml:space="preserve">Conclusions. </w:t>
      </w:r>
      <w:r>
        <w:rPr>
          <w:rFonts w:ascii="Times New Roman" w:hAnsi="Times New Roman" w:eastAsia="Times New Roman"/>
          <w:b w:val="0"/>
          <w:i w:val="0"/>
          <w:color w:val="000000"/>
          <w:sz w:val="24"/>
        </w:rPr>
        <w:t>Under this toothbrushing protocol, gravimetric wear did not differ significantly among the three resins. Both injectable materials remained significantly smoother than the conventional nanohybrid. The injectable means stayed below the 0.2 µm plaque threshold. The nanohybrid mean sat on that line.</w:t>
      </w:r>
    </w:p>
    <w:p>
      <w:pPr>
        <w:keepNext w:val="0"/>
        <w:pageBreakBefore w:val="0"/>
        <w:widowControl/>
        <w:spacing w:before="0" w:after="0" w:line="480" w:lineRule="auto"/>
        <w:ind w:firstLine="720"/>
        <w:jc w:val="both"/>
      </w:pPr>
      <w:r>
        <w:rPr>
          <w:rFonts w:ascii="Times New Roman" w:hAnsi="Times New Roman" w:eastAsia="Times New Roman"/>
          <w:b/>
          <w:i w:val="0"/>
          <w:color w:val="000000"/>
          <w:sz w:val="24"/>
        </w:rPr>
        <w:t xml:space="preserve">Keywords. </w:t>
      </w:r>
      <w:r>
        <w:rPr>
          <w:rFonts w:ascii="Times New Roman" w:hAnsi="Times New Roman" w:eastAsia="Times New Roman"/>
          <w:b w:val="0"/>
          <w:i w:val="0"/>
          <w:color w:val="000000"/>
          <w:sz w:val="24"/>
        </w:rPr>
        <w:t>Injectable composite; nanohybrid composite; toothbrush abrasion; wear; surface roughness; giomer.</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CONTENTS</w:t>
      </w:r>
    </w:p>
    <w:p>
      <w:pPr>
        <w:keepNext w:val="0"/>
        <w:pageBreakBefore w:val="0"/>
        <w:widowControl/>
        <w:tabs>
          <w:tab w:pos="7937" w:val="right" w:leader="dot"/>
        </w:tabs>
        <w:spacing w:before="0" w:after="0" w:line="480" w:lineRule="auto"/>
        <w:ind w:firstLine="0" w:left="0"/>
        <w:jc w:val="left"/>
      </w:pPr>
      <w:r>
        <w:rPr>
          <w:rFonts w:ascii="Times New Roman" w:hAnsi="Times New Roman" w:eastAsia="Times New Roman"/>
          <w:b/>
          <w:i w:val="0"/>
          <w:color w:val="000000"/>
          <w:sz w:val="24"/>
        </w:rPr>
        <w:t>CHAPTER 1  Introduction</w:t>
        <w:tab/>
        <w:t>1</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1.1 Aim of the Study</w:t>
        <w:tab/>
        <w:t>2</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1.2 Objectives</w:t>
        <w:tab/>
        <w:t>2</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1.3 Null Hypotheses</w:t>
        <w:tab/>
        <w:t>2</w:t>
      </w:r>
    </w:p>
    <w:p>
      <w:pPr>
        <w:keepNext w:val="0"/>
        <w:pageBreakBefore w:val="0"/>
        <w:widowControl/>
        <w:tabs>
          <w:tab w:pos="7937" w:val="right" w:leader="dot"/>
        </w:tabs>
        <w:spacing w:before="0" w:after="0" w:line="480" w:lineRule="auto"/>
        <w:ind w:firstLine="0" w:left="0"/>
        <w:jc w:val="left"/>
      </w:pPr>
      <w:r>
        <w:rPr>
          <w:rFonts w:ascii="Times New Roman" w:hAnsi="Times New Roman" w:eastAsia="Times New Roman"/>
          <w:b/>
          <w:i w:val="0"/>
          <w:color w:val="000000"/>
          <w:sz w:val="24"/>
        </w:rPr>
        <w:t>CHAPTER 2  Review of Literature</w:t>
        <w:tab/>
        <w:t>3</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2.1 Wear of Restorative Resins</w:t>
        <w:tab/>
        <w:t>3</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2.2 Surface Roughness</w:t>
        <w:tab/>
        <w:t>4</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2.3 Injectable Composite Resins</w:t>
        <w:tab/>
        <w:t>5</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2.4 Conventional Nanohybrid Resins and Giomers</w:t>
        <w:tab/>
        <w:t>6</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2.5 Statement of the Problem</w:t>
        <w:tab/>
        <w:t>6</w:t>
      </w:r>
    </w:p>
    <w:p>
      <w:pPr>
        <w:keepNext w:val="0"/>
        <w:pageBreakBefore w:val="0"/>
        <w:widowControl/>
        <w:tabs>
          <w:tab w:pos="7937" w:val="right" w:leader="dot"/>
        </w:tabs>
        <w:spacing w:before="0" w:after="0" w:line="480" w:lineRule="auto"/>
        <w:ind w:firstLine="0" w:left="0"/>
        <w:jc w:val="left"/>
      </w:pPr>
      <w:r>
        <w:rPr>
          <w:rFonts w:ascii="Times New Roman" w:hAnsi="Times New Roman" w:eastAsia="Times New Roman"/>
          <w:b/>
          <w:i w:val="0"/>
          <w:color w:val="000000"/>
          <w:sz w:val="24"/>
        </w:rPr>
        <w:t>CHAPTER 3  Materials and Methods</w:t>
        <w:tab/>
        <w:t>7</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3.1 Study Design and Sample</w:t>
        <w:tab/>
        <w:t>7</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3.2 Materials</w:t>
        <w:tab/>
        <w:t>7</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3.3 Specimen Preparation</w:t>
        <w:tab/>
        <w:t>8</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3.4 Baseline Measurements</w:t>
        <w:tab/>
        <w:t>8</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3.5 Toothbrushing Protocol</w:t>
        <w:tab/>
        <w:t>8</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3.6 Post-test Evaluation</w:t>
        <w:tab/>
        <w:t>8</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3.7 Statistical Analysis</w:t>
        <w:tab/>
        <w:t>9</w:t>
      </w:r>
    </w:p>
    <w:p>
      <w:pPr>
        <w:keepNext w:val="0"/>
        <w:pageBreakBefore w:val="0"/>
        <w:widowControl/>
        <w:tabs>
          <w:tab w:pos="7937" w:val="right" w:leader="dot"/>
        </w:tabs>
        <w:spacing w:before="0" w:after="0" w:line="480" w:lineRule="auto"/>
        <w:ind w:firstLine="0" w:left="0"/>
        <w:jc w:val="left"/>
      </w:pPr>
      <w:r>
        <w:rPr>
          <w:rFonts w:ascii="Times New Roman" w:hAnsi="Times New Roman" w:eastAsia="Times New Roman"/>
          <w:b/>
          <w:i w:val="0"/>
          <w:color w:val="000000"/>
          <w:sz w:val="24"/>
        </w:rPr>
        <w:t>CHAPTER 4  Results</w:t>
        <w:tab/>
        <w:t>10</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4.1 Weight Loss</w:t>
        <w:tab/>
        <w:t>10</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4.2 Surface Roughness</w:t>
        <w:tab/>
        <w:t>11</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4.3 Summary of Results</w:t>
        <w:tab/>
        <w:t>12</w:t>
      </w:r>
    </w:p>
    <w:p>
      <w:pPr>
        <w:keepNext w:val="0"/>
        <w:pageBreakBefore w:val="0"/>
        <w:widowControl/>
        <w:tabs>
          <w:tab w:pos="7937" w:val="right" w:leader="dot"/>
        </w:tabs>
        <w:spacing w:before="0" w:after="0" w:line="480" w:lineRule="auto"/>
        <w:ind w:firstLine="0" w:left="0"/>
        <w:jc w:val="left"/>
      </w:pPr>
      <w:r>
        <w:rPr>
          <w:rFonts w:ascii="Times New Roman" w:hAnsi="Times New Roman" w:eastAsia="Times New Roman"/>
          <w:b/>
          <w:i w:val="0"/>
          <w:color w:val="000000"/>
          <w:sz w:val="24"/>
        </w:rPr>
        <w:t>CHAPTER 5  Discussion</w:t>
        <w:tab/>
        <w:t>13</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5.1 Weight Loss</w:t>
        <w:tab/>
        <w:t>13</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5.2 Surface Roughness</w:t>
        <w:tab/>
        <w:t>14</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5.3 Clinical Implications</w:t>
        <w:tab/>
        <w:t>15</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5.4 Strengths of the Study</w:t>
        <w:tab/>
        <w:t>15</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5.5 Limitations of the Study</w:t>
        <w:tab/>
        <w:t>16</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5.6 Concluding Remarks</w:t>
        <w:tab/>
        <w:t>16</w:t>
      </w:r>
    </w:p>
    <w:p>
      <w:pPr>
        <w:keepNext w:val="0"/>
        <w:pageBreakBefore w:val="0"/>
        <w:widowControl/>
        <w:tabs>
          <w:tab w:pos="7937" w:val="right" w:leader="dot"/>
        </w:tabs>
        <w:spacing w:before="0" w:after="0" w:line="480" w:lineRule="auto"/>
        <w:ind w:firstLine="0" w:left="0"/>
        <w:jc w:val="left"/>
      </w:pPr>
      <w:r>
        <w:rPr>
          <w:rFonts w:ascii="Times New Roman" w:hAnsi="Times New Roman" w:eastAsia="Times New Roman"/>
          <w:b/>
          <w:i w:val="0"/>
          <w:color w:val="000000"/>
          <w:sz w:val="24"/>
        </w:rPr>
        <w:t>CHAPTER 6  Conclusions and Recommendations</w:t>
        <w:tab/>
        <w:t>17</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6.1 Conclusions</w:t>
        <w:tab/>
        <w:t>17</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6.2 Recommendations</w:t>
        <w:tab/>
        <w:t>17</w:t>
      </w:r>
    </w:p>
    <w:p>
      <w:pPr>
        <w:keepNext w:val="0"/>
        <w:pageBreakBefore w:val="0"/>
        <w:widowControl/>
        <w:tabs>
          <w:tab w:pos="7937" w:val="right" w:leader="dot"/>
        </w:tabs>
        <w:spacing w:before="0" w:after="0" w:line="480" w:lineRule="auto"/>
        <w:ind w:firstLine="0" w:left="0"/>
        <w:jc w:val="left"/>
      </w:pPr>
      <w:r>
        <w:rPr>
          <w:rFonts w:ascii="Times New Roman" w:hAnsi="Times New Roman" w:eastAsia="Times New Roman"/>
          <w:b/>
          <w:i w:val="0"/>
          <w:color w:val="000000"/>
          <w:sz w:val="24"/>
        </w:rPr>
        <w:t>CHAPTER 7  References</w:t>
        <w:tab/>
        <w:t>19</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LIST OF TABLES</w:t>
      </w:r>
    </w:p>
    <w:p>
      <w:pPr>
        <w:keepNext w:val="0"/>
        <w:pageBreakBefore w:val="0"/>
        <w:widowControl/>
        <w:spacing w:before="0" w:after="0" w:line="480" w:lineRule="auto"/>
        <w:ind w:firstLine="0"/>
        <w:jc w:val="left"/>
      </w:pPr>
      <w:r>
        <w:rPr>
          <w:rFonts w:ascii="Times New Roman" w:hAnsi="Times New Roman" w:eastAsia="Times New Roman"/>
          <w:b w:val="0"/>
          <w:i w:val="0"/>
          <w:color w:val="000000"/>
          <w:sz w:val="24"/>
        </w:rPr>
        <w:t>Table 3.1  Brand, type, matrix, filler and load of the resin composites used in the study</w:t>
      </w:r>
    </w:p>
    <w:p>
      <w:pPr>
        <w:keepNext w:val="0"/>
        <w:pageBreakBefore w:val="0"/>
        <w:widowControl/>
        <w:spacing w:before="0" w:after="0" w:line="480" w:lineRule="auto"/>
        <w:ind w:firstLine="0"/>
        <w:jc w:val="left"/>
      </w:pPr>
      <w:r>
        <w:rPr>
          <w:rFonts w:ascii="Times New Roman" w:hAnsi="Times New Roman" w:eastAsia="Times New Roman"/>
          <w:b w:val="0"/>
          <w:i w:val="0"/>
          <w:color w:val="000000"/>
          <w:sz w:val="24"/>
        </w:rPr>
        <w:t>Table 4.1  Mean weight before and after simulated toothbrushing and percentage weight loss</w:t>
      </w:r>
    </w:p>
    <w:p>
      <w:pPr>
        <w:keepNext w:val="0"/>
        <w:pageBreakBefore w:val="0"/>
        <w:widowControl/>
        <w:spacing w:before="0" w:after="0" w:line="480" w:lineRule="auto"/>
        <w:ind w:firstLine="0"/>
        <w:jc w:val="left"/>
      </w:pPr>
      <w:r>
        <w:rPr>
          <w:rFonts w:ascii="Times New Roman" w:hAnsi="Times New Roman" w:eastAsia="Times New Roman"/>
          <w:b w:val="0"/>
          <w:i w:val="0"/>
          <w:color w:val="000000"/>
          <w:sz w:val="24"/>
        </w:rPr>
        <w:t>Table 4.2  Mean surface roughness (Ra) before and after simulated toothbrushing and ΔRa</w:t>
      </w:r>
    </w:p>
    <w:p>
      <w:pPr>
        <w:keepNext w:val="0"/>
        <w:pageBreakBefore w:val="0"/>
        <w:widowControl/>
        <w:spacing w:before="0" w:after="0" w:line="480" w:lineRule="auto"/>
        <w:ind w:firstLine="0"/>
        <w:jc w:val="left"/>
      </w:pPr>
      <w:r>
        <w:rPr>
          <w:rFonts w:ascii="Times New Roman" w:hAnsi="Times New Roman" w:eastAsia="Times New Roman"/>
          <w:b w:val="0"/>
          <w:i w:val="0"/>
          <w:color w:val="000000"/>
          <w:sz w:val="24"/>
        </w:rPr>
        <w:t>Table 4.3  Absolute weight loss after 10 000 brushing cycles</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LIST OF ABBREVIATIONS</w:t>
      </w:r>
    </w:p>
    <w:p>
      <w:pPr>
        <w:keepNext w:val="0"/>
        <w:pageBreakBefore w:val="0"/>
        <w:widowControl/>
        <w:spacing w:before="0" w:after="0" w:line="480" w:lineRule="auto"/>
        <w:ind w:firstLine="0"/>
        <w:jc w:val="left"/>
      </w:pPr>
      <w:r>
        <w:rPr>
          <w:rFonts w:ascii="Times New Roman" w:hAnsi="Times New Roman" w:eastAsia="Times New Roman"/>
          <w:b/>
          <w:i w:val="0"/>
          <w:color w:val="000000"/>
          <w:sz w:val="24"/>
        </w:rPr>
        <w:t>ANOVA</w:t>
      </w:r>
      <w:r>
        <w:rPr>
          <w:rFonts w:ascii="Times New Roman" w:hAnsi="Times New Roman" w:eastAsia="Times New Roman"/>
          <w:b w:val="0"/>
          <w:i w:val="0"/>
          <w:color w:val="000000"/>
          <w:sz w:val="24"/>
        </w:rPr>
        <w:t xml:space="preserve">    Analysis of variance</w:t>
      </w:r>
    </w:p>
    <w:p>
      <w:pPr>
        <w:keepNext w:val="0"/>
        <w:pageBreakBefore w:val="0"/>
        <w:widowControl/>
        <w:spacing w:before="0" w:after="0" w:line="480" w:lineRule="auto"/>
        <w:ind w:firstLine="0"/>
        <w:jc w:val="left"/>
      </w:pPr>
      <w:r>
        <w:rPr>
          <w:rFonts w:ascii="Times New Roman" w:hAnsi="Times New Roman" w:eastAsia="Times New Roman"/>
          <w:b/>
          <w:i w:val="0"/>
          <w:color w:val="000000"/>
          <w:sz w:val="24"/>
        </w:rPr>
        <w:t>ISO</w:t>
      </w:r>
      <w:r>
        <w:rPr>
          <w:rFonts w:ascii="Times New Roman" w:hAnsi="Times New Roman" w:eastAsia="Times New Roman"/>
          <w:b w:val="0"/>
          <w:i w:val="0"/>
          <w:color w:val="000000"/>
          <w:sz w:val="24"/>
        </w:rPr>
        <w:t xml:space="preserve">    International Organization for Standardization</w:t>
      </w:r>
    </w:p>
    <w:p>
      <w:pPr>
        <w:keepNext w:val="0"/>
        <w:pageBreakBefore w:val="0"/>
        <w:widowControl/>
        <w:spacing w:before="0" w:after="0" w:line="480" w:lineRule="auto"/>
        <w:ind w:firstLine="0"/>
        <w:jc w:val="left"/>
      </w:pPr>
      <w:r>
        <w:rPr>
          <w:rFonts w:ascii="Times New Roman" w:hAnsi="Times New Roman" w:eastAsia="Times New Roman"/>
          <w:b/>
          <w:i w:val="0"/>
          <w:color w:val="000000"/>
          <w:sz w:val="24"/>
        </w:rPr>
        <w:t>Ra</w:t>
      </w:r>
      <w:r>
        <w:rPr>
          <w:rFonts w:ascii="Times New Roman" w:hAnsi="Times New Roman" w:eastAsia="Times New Roman"/>
          <w:b w:val="0"/>
          <w:i w:val="0"/>
          <w:color w:val="000000"/>
          <w:sz w:val="24"/>
        </w:rPr>
        <w:t xml:space="preserve">    Arithmetic mean roughness</w:t>
      </w:r>
    </w:p>
    <w:p>
      <w:pPr>
        <w:keepNext w:val="0"/>
        <w:pageBreakBefore w:val="0"/>
        <w:widowControl/>
        <w:spacing w:before="0" w:after="0" w:line="480" w:lineRule="auto"/>
        <w:ind w:firstLine="0"/>
        <w:jc w:val="left"/>
      </w:pPr>
      <w:r>
        <w:rPr>
          <w:rFonts w:ascii="Times New Roman" w:hAnsi="Times New Roman" w:eastAsia="Times New Roman"/>
          <w:b/>
          <w:i w:val="0"/>
          <w:color w:val="000000"/>
          <w:sz w:val="24"/>
        </w:rPr>
        <w:t>SD</w:t>
      </w:r>
      <w:r>
        <w:rPr>
          <w:rFonts w:ascii="Times New Roman" w:hAnsi="Times New Roman" w:eastAsia="Times New Roman"/>
          <w:b w:val="0"/>
          <w:i w:val="0"/>
          <w:color w:val="000000"/>
          <w:sz w:val="24"/>
        </w:rPr>
        <w:t xml:space="preserve">    Standard deviation</w:t>
      </w:r>
    </w:p>
    <w:p>
      <w:pPr>
        <w:keepNext w:val="0"/>
        <w:pageBreakBefore w:val="0"/>
        <w:widowControl/>
        <w:spacing w:before="0" w:after="0" w:line="480" w:lineRule="auto"/>
        <w:ind w:firstLine="0"/>
        <w:jc w:val="left"/>
      </w:pPr>
      <w:r>
        <w:rPr>
          <w:rFonts w:ascii="Times New Roman" w:hAnsi="Times New Roman" w:eastAsia="Times New Roman"/>
          <w:b/>
          <w:i w:val="0"/>
          <w:color w:val="000000"/>
          <w:sz w:val="24"/>
        </w:rPr>
        <w:t>S-PRG</w:t>
      </w:r>
      <w:r>
        <w:rPr>
          <w:rFonts w:ascii="Times New Roman" w:hAnsi="Times New Roman" w:eastAsia="Times New Roman"/>
          <w:b w:val="0"/>
          <w:i w:val="0"/>
          <w:color w:val="000000"/>
          <w:sz w:val="24"/>
        </w:rPr>
        <w:t xml:space="preserve">    Surface pre-reacted glass-ionomer</w:t>
      </w:r>
    </w:p>
    <w:p>
      <w:pPr>
        <w:keepNext w:val="0"/>
        <w:pageBreakBefore w:val="0"/>
        <w:widowControl/>
        <w:spacing w:before="0" w:after="0" w:line="480" w:lineRule="auto"/>
        <w:ind w:firstLine="0"/>
        <w:jc w:val="left"/>
      </w:pPr>
      <w:r>
        <w:rPr>
          <w:rFonts w:ascii="Times New Roman" w:hAnsi="Times New Roman" w:eastAsia="Times New Roman"/>
          <w:b/>
          <w:i w:val="0"/>
          <w:color w:val="000000"/>
          <w:sz w:val="24"/>
        </w:rPr>
        <w:t>ΔRa</w:t>
      </w:r>
      <w:r>
        <w:rPr>
          <w:rFonts w:ascii="Times New Roman" w:hAnsi="Times New Roman" w:eastAsia="Times New Roman"/>
          <w:b w:val="0"/>
          <w:i w:val="0"/>
          <w:color w:val="000000"/>
          <w:sz w:val="24"/>
        </w:rPr>
        <w:t xml:space="preserve">    Change in Ra (after − before)</w:t>
      </w:r>
    </w:p>
    <w:p>
      <w:pPr>
        <w:sectPr>
          <w:footerReference w:type="default" r:id="rId11"/>
          <w:pgSz w:w="11906" w:h="16838"/>
          <w:pgMar w:top="1417" w:right="1417" w:bottom="1417" w:left="1701" w:header="720" w:footer="720" w:gutter="0"/>
          <w:cols w:space="720"/>
          <w:titlePg/>
          <w:docGrid w:linePitch="360"/>
          <w:pgNumType w:fmt="lowerRoman" w:start="1"/>
        </w:sectPr>
      </w:pPr>
    </w:p>
    <w:p>
      <w:pPr>
        <w:pStyle w:val="Heading1"/>
        <w:keepNext/>
        <w:pageBreakBefore w:val="0"/>
        <w:widowControl/>
        <w:spacing w:before="0" w:after="120" w:line="480" w:lineRule="auto"/>
        <w:ind w:firstLine="0"/>
        <w:jc w:val="center"/>
      </w:pPr>
      <w:r>
        <w:rPr>
          <w:rFonts w:ascii="Times New Roman" w:hAnsi="Times New Roman" w:eastAsia="Times New Roman"/>
          <w:b/>
          <w:i w:val="0"/>
          <w:color w:val="000000"/>
          <w:sz w:val="28"/>
        </w:rPr>
        <w:t>CHAPTER 1</w:t>
      </w:r>
    </w:p>
    <w:p>
      <w:pPr>
        <w:pStyle w:val="Heading1"/>
        <w:keepNext/>
        <w:pageBreakBefore w:val="0"/>
        <w:widowControl/>
        <w:spacing w:before="0" w:after="120" w:line="480" w:lineRule="auto"/>
        <w:ind w:firstLine="0"/>
        <w:jc w:val="center"/>
      </w:pPr>
      <w:r>
        <w:rPr>
          <w:rFonts w:ascii="Times New Roman" w:hAnsi="Times New Roman" w:eastAsia="Times New Roman"/>
          <w:b/>
          <w:i w:val="0"/>
          <w:color w:val="000000"/>
          <w:sz w:val="28"/>
        </w:rPr>
        <w:t>INTRODUCTION</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Resin composites fail when the surface wears away or when what is left is rough. Wear flattens anatomy and can shorten the vertical dimension. Roughness holds plaque, takes stain and favours caries at the margin (1,2). Toothbrushing is a daily source of both. Dentifrice abrasive works as a third body. The resin-rich skin is removed first. Filler then stands proud or is pulled out. Mass falls. Ra rises (3,4).</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Highly filled injectable resins were made so that a syringeable paste could be used in cavities that used to be reserved for packable composites. Filler load is raised, particle size is reduced, and silane treatment is improved until the paste still flows but no longer behaves like a classical low-filled flowable (5,6). G-ænial Universal Injectable (GC Corporation, Tokyo, Japan) and Beautifil Flow Plus X F00 (Shofu Inc., Kyoto, Japan) are sold on that claim. Beautifil II LS (Shofu Inc.) is a sculptable low-shrinkage nanohybrid giomer and is the conventional control in this work.</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Independent data on these three products, tested together, under three-body toothbrush abrasion, are thin. Two-body chewing-simulator studies are not a substitute. They load a steatite antagonist at about 49 N. They measure volume, not toothbrush slurry (6). The present test is the other wear mode: ISO toothbrushing guidance, 2 N, 10 000 strokes, taken as about one year of twice-daily brushing (3,7,8).</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An Ra of 0.2 µm is the usual threshold above which plaque retention rises (1). Surfaces smoother than that do not keep less plaque in a way that matters clinically. A restoration rougher than about 0.5 µm can be felt by the tongue (2). Those two numbers are the clinical frame for the roughness results.</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1.1 Aim of the Study</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To compare wear resistance, as percentage weight loss, and surface roughness (Ra) of two highly filled injectable composites with a conventional nanohybrid composite after standardised toothbrushing.</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1.2 Objectives</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1. To measure specimen mass before and after 10 000 brushing cycles and to calculate percentage and absolute weight loss.</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2. To measure Ra before and after the same abrasion and to calculate ΔRa.</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3. To compare the three materials with the statistical tests appropriate to each outcome.</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1.3 Null Hypotheses</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1. There is no significant difference in percentage weight loss among Beautifil Flow Plus X F00, G-ænial Universal Injectable and Beautifil II LS.</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2. There is no significant difference in Ra after toothbrushing among the same three materials.</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CHAPTER 2</w:t>
      </w:r>
    </w:p>
    <w:p>
      <w:pPr>
        <w:pStyle w:val="Heading1"/>
        <w:keepNext/>
        <w:pageBreakBefore w:val="0"/>
        <w:widowControl/>
        <w:spacing w:before="0" w:after="120" w:line="480" w:lineRule="auto"/>
        <w:ind w:firstLine="0"/>
        <w:jc w:val="center"/>
      </w:pPr>
      <w:r>
        <w:rPr>
          <w:rFonts w:ascii="Times New Roman" w:hAnsi="Times New Roman" w:eastAsia="Times New Roman"/>
          <w:b/>
          <w:i w:val="0"/>
          <w:color w:val="000000"/>
          <w:sz w:val="28"/>
        </w:rPr>
        <w:t>REVIEW OF LITERATURE</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2.1 Wear of Restorative Resins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Wear is progressive loss of substance from two surfaces in relative motion (9). In the mouth the process is mixed. Attrition is two-body contact. Abrasion at non-contact sites is usually three-body, with food or toothpaste as the loose agent. Corrosion and fatigue run beside both (9,10). Laboratory ranking is useful. It is not a clinical lifetime.</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Filler volume, size, shape, inter-particle spacing, the resin, the degree of conversion and the silane layer all matter (11,12). Condon and Ferracane varied those three factors in an oral-wear simulator. Wear rose once filler volume fell below 48 vol%. It rose in a straight line as the fraction of silane-treated filler was cut. Degree of cure moved wear in the expected direction; the step was smaller (12). Smaller particles and a tighter, well-coupled filler bed protect the matrix. Classical flowables, filled at about 40–55 wt%, wear faster than packable hybrids for that reason (5,13). Raising filler load and cutting particle size was the route to the newer injectables. G-ænial Universal Injectable is listed at 50 vol%. That sits just above Condon’s 48 vol% step. Beautifil II LS is listed at 83 wt%.</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Toothbrushing tests follow ISO/TR 14569-1. The brush load should lie between 0.5 N and 2.5 N. The slurry is made from a dentifrice that meets ISO 11609 (3,14). Ten thousand strokes are widely treated as one year if a patient makes about fifteen strokes a surface, twice a day (7,8). The conversion is an estimate. It is still the figure most toothbrushing papers use.</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Wear may be read as volume, profile depth or mass. Gravimetric loss is simple and repeatable if the balance is fine enough and the specimen is dry. It does not describe the shape of the worn surface. Volume from a scan does. The two numbers answer different questions (10,15).</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2.2 Surface Roughness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Ra is the mean absolute deviation of the profile from the centre line. It is the parameter almost every dental paper reports. Contact stylus profilometry remains a standard method. Optical methods add a map but are not required to rank Ra (4,16).</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Bollen, Lambrechts and Quirynen set 0.2 µm as the plaque threshold (1). Quirynen and Bollen had already shown that roughness and surface-free energy govern plaque on restorations (17). Jones, Billington and Pearson later asked volunteers to rank composite discs with the tongue. Discrimination sat between 0.25 µm and 0.50 µm. They advised finishing to no more than 0.50 µm if the patient is not to feel the surface (2).</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Toothbrushing raises Ra. Heintze and co-workers showed that the rise depends on material, time and load (4). Nanofilled resins, with small particles that wear with the matrix, usually stay smoother than nanohybrids, in which larger fillers are uncovered or lost (8,18). The toothpaste matters. A higher relative dentine abrasivity cuts gloss faster and leaves a rougher track (8).</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2.3 Injectable Composite Resins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Early flowables were not intended for occlusal load (13). The current injectables are a different paste. G-ænial Universal Injectable is filled to about 69 wt% (50 vol%) with ultrafine barium glass and silica, mean size about 150 nm, in a UDMA / Bis-MEPP / TEGDMA matrix (6,18). Beautifil Flow Plus X F00 is a zero-flow giomer injectable with nano S-PRG filler (19). It is not the same product as Beautifil Flow Plus F00 used in several earlier papers (6).</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Rajabi et al. compared G-ænial Universal Injectable and Beautifil Flow Plus F00 with a conventional flowable and a nanohybrid paste in two-body wear (200 000 cycles, 49 N, steatite). The two injectables lost less volume than the paste and the classical flowable. Flexural strength was also higher. The two injectables did not differ from each other (6). That is occlusal contact wear, dry, measured as volume. It cannot be read as toothbrush mass loss.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Hasan, Eltoukhy and Zaghloul brushed G-ænial Universal Injectable, a nanofilled paste and a nanohybrid. After times taken as six months and one year, the injectable had the lowest Ra. The nanohybrid was the roughest. The two nanofilled resins did not differ (18). That design is closer to the present study.</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Tzimas and co-workers reviewed highly filled flowables used as sole restoratives. Ra values were often statistically comparable to nanohybrid pastes, and sometimes lower, depending on filler packing and polish (20). Material-to-material scatter remains the rule.</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2.4 Conventional Nanohybrid Resins and Giomers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Nanohybrid pastes mix nano-sized particles with larger submicron or micron fillers. Total inorganic load commonly exceeds 70–80 wt% (11). Beautifil II LS is such a paste. Filler load is 83 wt%. The resin uses an SRS monomer aimed at low shrinkage. The filler includes S-PRG glass (19). S-PRG releases ions, including fluoride. The same ion exchange can roughen the surface in acid (21). Larger and irregular fillers, once the matrix is brushed off, leave a higher Ra than a uniform nano-filled injectable (18). An eight-year clinical series of a giomer paste (Beautifil with a self-etch primer) showed acceptable retention and little secondary caries in the teeth that were still available for recall (22). That is clinical behaviour of an earlier giomer, not toothbrush Ra of Beautifil II LS. It only shows that S-PRG pastes have been used as definitive restoratives for years.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Packable nanohybrids remain the clinical reference for posterior direct work. They are harder to adapt in a narrow box and more likely to trap voids. The injectable products were written to close that handling gap without giving up wear resistance. Whether they do so under toothbrush abrasion is the question of this thesis.</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2.5 Statement of the Problem</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Two-body wear of G-ænial Universal Injectable and Beautifil Flow Plus F00 is favourable in one recent laboratory study (6). Toothbrush Ra of G-ænial Universal Injectable is favourable against a nanohybrid in another (18). Beautifil Flow Plus X F00 and Beautifil II LS have not been placed beside G-ænial Universal Injectable in the same 10 000-cycle, 2 N, gravimetric-plus-Ra protocol. That is the gap the experiment fills.</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CHAPTER 3</w:t>
      </w:r>
    </w:p>
    <w:p>
      <w:pPr>
        <w:pStyle w:val="Heading1"/>
        <w:keepNext/>
        <w:pageBreakBefore w:val="0"/>
        <w:widowControl/>
        <w:spacing w:before="0" w:after="120" w:line="480" w:lineRule="auto"/>
        <w:ind w:firstLine="0"/>
        <w:jc w:val="center"/>
      </w:pPr>
      <w:r>
        <w:rPr>
          <w:rFonts w:ascii="Times New Roman" w:hAnsi="Times New Roman" w:eastAsia="Times New Roman"/>
          <w:b/>
          <w:i w:val="0"/>
          <w:color w:val="000000"/>
          <w:sz w:val="28"/>
        </w:rPr>
        <w:t>MATERIALS AND METHODS</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3.1 Study Design and Sample</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study was an in-vitro comparison of three resin composites. Thirty-six discs were prepared, 10 mm in diameter and 1 mm thick, in a CAD/CAM Teflon mould. The discs were allocated at random to three groups of twelve. A first G*Power estimate had given ten discs a group. Twelve were used to raise power.</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3.2 Materials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materials used were:</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1. G-ænial Universal Injectable, a highly filled injectable composite (GC Corporation, Tokyo, Japan).</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2. Beautifil Flow Plus X F00, a highly filled injectable giomer (Shofu Inc., Kyoto, Japan).</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3. Beautifil II LS, a conventional nanohybrid giomer (Shofu Inc., Kyoto, Japan).</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4. Colgate Total toothpaste.</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5. Distilled water.</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composition of the three resin composites is summarised in Table 3.1.</w:t>
      </w:r>
    </w:p>
    <w:p>
      <w:pPr>
        <w:keepNext/>
        <w:pageBreakBefore w:val="0"/>
        <w:widowControl/>
        <w:spacing w:before="240" w:after="120" w:line="480" w:lineRule="auto"/>
        <w:ind w:firstLine="0"/>
        <w:jc w:val="left"/>
      </w:pPr>
      <w:r>
        <w:rPr>
          <w:rFonts w:ascii="Times New Roman" w:hAnsi="Times New Roman" w:eastAsia="Times New Roman"/>
          <w:b/>
          <w:i w:val="0"/>
          <w:color w:val="000000"/>
          <w:sz w:val="24"/>
        </w:rPr>
        <w:t>Table 3.1</w:t>
      </w:r>
      <w:r>
        <w:rPr>
          <w:rFonts w:ascii="Times New Roman" w:hAnsi="Times New Roman" w:eastAsia="Times New Roman"/>
          <w:b w:val="0"/>
          <w:i w:val="0"/>
          <w:color w:val="000000"/>
          <w:sz w:val="24"/>
        </w:rPr>
        <w:t xml:space="preserve"> Brand, type, matrix, filler and load of the resin composites used in the study</w:t>
      </w:r>
    </w:p>
    <w:tbl>
      <w:tblPr>
        <w:tblW w:type="auto" w:w="0"/>
        <w:jc w:val="center"/>
        <w:tblLayout w:type="autofit"/>
        <w:tblLook w:firstColumn="1" w:firstRow="1" w:lastColumn="0" w:lastRow="0" w:noHBand="0" w:noVBand="1" w:val="04A0"/>
      </w:tblPr>
      <w:tblGrid>
        <w:gridCol w:w="2197"/>
        <w:gridCol w:w="2197"/>
        <w:gridCol w:w="2197"/>
        <w:gridCol w:w="2197"/>
      </w:tblGrid>
      <w:tr>
        <w:tc>
          <w:tcPr>
            <w:tcW w:type="dxa" w:w="2197"/>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Composite</w:t>
            </w:r>
          </w:p>
        </w:tc>
        <w:tc>
          <w:tcPr>
            <w:tcW w:type="dxa" w:w="2197"/>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Type</w:t>
            </w:r>
          </w:p>
        </w:tc>
        <w:tc>
          <w:tcPr>
            <w:tcW w:type="dxa" w:w="2197"/>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Matrix and filler</w:t>
            </w:r>
          </w:p>
        </w:tc>
        <w:tc>
          <w:tcPr>
            <w:tcW w:type="dxa" w:w="2197"/>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Load</w:t>
            </w:r>
          </w:p>
        </w:tc>
      </w:tr>
      <w:tr>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G-ænial Universal Injectable</w:t>
            </w:r>
          </w:p>
        </w:tc>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Nanofilled injectable</w:t>
            </w:r>
          </w:p>
        </w:tc>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UDMA, Bis-MEPP, TEGDMA; ultrafine barium glass and silica (~150 nm)</w:t>
            </w:r>
          </w:p>
        </w:tc>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69 wt% / 50 vol%</w:t>
            </w:r>
          </w:p>
        </w:tc>
      </w:tr>
      <w:tr>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Beautifil Flow Plus X F00</w:t>
            </w:r>
          </w:p>
        </w:tc>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Giomer injectable, zero flow</w:t>
            </w:r>
          </w:p>
        </w:tc>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Dimethacrylate resin; nano S-PRG filler</w:t>
            </w:r>
          </w:p>
        </w:tc>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Highly filled injectable</w:t>
            </w:r>
          </w:p>
        </w:tc>
      </w:tr>
      <w:tr>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Beautifil II LS</w:t>
            </w:r>
          </w:p>
        </w:tc>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Nanohybrid giomer</w:t>
            </w:r>
          </w:p>
        </w:tc>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SRS monomer; S-PRG and pre-polymerised fillers</w:t>
            </w:r>
          </w:p>
        </w:tc>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83 wt%</w:t>
            </w:r>
          </w:p>
        </w:tc>
      </w:tr>
    </w:tbl>
    <w:p>
      <w:pPr>
        <w:keepNext w:val="0"/>
        <w:pageBreakBefore w:val="0"/>
        <w:widowControl/>
        <w:spacing w:before="0" w:after="160" w:line="240" w:lineRule="auto"/>
        <w:ind w:firstLine="0"/>
        <w:jc w:val="both"/>
      </w:pPr>
    </w:p>
    <w:p>
      <w:pPr>
        <w:keepNext w:val="0"/>
        <w:pageBreakBefore w:val="0"/>
        <w:widowControl/>
        <w:spacing w:before="0" w:after="160" w:line="240" w:lineRule="auto"/>
        <w:ind w:firstLine="0"/>
        <w:jc w:val="left"/>
      </w:pPr>
      <w:r>
        <w:rPr>
          <w:rFonts w:ascii="Times New Roman" w:hAnsi="Times New Roman" w:eastAsia="Times New Roman"/>
          <w:b w:val="0"/>
          <w:i w:val="0"/>
          <w:color w:val="000000"/>
          <w:sz w:val="20"/>
        </w:rPr>
        <w:t>Manufacturers: GC Corporation, Tokyo, Japan; Shofu Inc., Kyoto, Japan.</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3.3 Specimen Preparation</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Each material was placed in the Teflon mould. A matrix strip and a glass plate were used to exclude air from the surface and to keep the disc flat. Polymerisation followed the manufacturer’s instructions for that product. Flash was removed. The discs were identified by group and stored in distilled water until testing.</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3.4 Baseline Measurements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Each disc was dried and weighed on an analytical balance. The recorded masses run to 0.0001 g; the balance therefore read to 0.1 mg. Ra was measured with a contact profilometer on the test face. The value used for analysis was the mean of the traces taken on that disc.</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3.5 Toothbrushing Protocol</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Discs were mounted in a toothbrushing simulator. A slurry of Colgate Total and water was prepared after ISO 11609 and ISO/TR 14569-1 (3,14). The brush load was 2 N, inside the ISO range of 0.5–2.5 N (3). Each disc received 10 000 cycles. That count is the conventional laboratory equivalent of one year of twice-daily brushing (7,8). Fresh slurry was used as required to keep the abrasive present. After the run the discs were rinsed free of paste.</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3.6 Post-test Evaluation</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Mass and Ra were recorded again with the same instruments and the same drying habit as at baseline.</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Percentage weight loss was calculated as: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Percentage weight loss = [(W₁ − W₂) / W₁] × 100</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where W₁ and W₂ are mass before and after brushing.</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Absolute loss (mg) = (W₁ − W₂) × 1000.</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ΔRa (µm) = Ra after − Ra before.</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3.7 Statistical Analysis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Descriptive values are presented as mean ± standard deviation. Percentage weight loss was compared among groups by one-way analysis of variance (ANOVA). Ra after brushing was compared by the Kruskal–Wallis test, followed by pairwise post-hoc comparisons. The level of significance was set at α = 0.05.</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CHAPTER 4</w:t>
      </w:r>
    </w:p>
    <w:p>
      <w:pPr>
        <w:pStyle w:val="Heading1"/>
        <w:keepNext/>
        <w:pageBreakBefore w:val="0"/>
        <w:widowControl/>
        <w:spacing w:before="0" w:after="120" w:line="480" w:lineRule="auto"/>
        <w:ind w:firstLine="0"/>
        <w:jc w:val="center"/>
      </w:pPr>
      <w:r>
        <w:rPr>
          <w:rFonts w:ascii="Times New Roman" w:hAnsi="Times New Roman" w:eastAsia="Times New Roman"/>
          <w:b/>
          <w:i w:val="0"/>
          <w:color w:val="000000"/>
          <w:sz w:val="28"/>
        </w:rPr>
        <w:t>RESULTS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Thirty-six discs were tested, twelve in each group. All discs completed 10 000 cycles at 2 N. Wear is reported as mass. Roughness is reported as Ra.</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4.1 Weight Loss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Mean mass before and after brushing, and percentage loss, are given in Table 4.1.</w:t>
      </w:r>
    </w:p>
    <w:p>
      <w:pPr>
        <w:keepNext/>
        <w:pageBreakBefore w:val="0"/>
        <w:widowControl/>
        <w:spacing w:before="240" w:after="120" w:line="480" w:lineRule="auto"/>
        <w:ind w:firstLine="0"/>
        <w:jc w:val="left"/>
      </w:pPr>
      <w:r>
        <w:rPr>
          <w:rFonts w:ascii="Times New Roman" w:hAnsi="Times New Roman" w:eastAsia="Times New Roman"/>
          <w:b/>
          <w:i w:val="0"/>
          <w:color w:val="000000"/>
          <w:sz w:val="24"/>
        </w:rPr>
        <w:t>Table 4.1</w:t>
      </w:r>
      <w:r>
        <w:rPr>
          <w:rFonts w:ascii="Times New Roman" w:hAnsi="Times New Roman" w:eastAsia="Times New Roman"/>
          <w:b w:val="0"/>
          <w:i w:val="0"/>
          <w:color w:val="000000"/>
          <w:sz w:val="24"/>
        </w:rPr>
        <w:t xml:space="preserve"> Mean weight before and after simulated toothbrushing and percentage weight loss of the tested composite resins (n = 12)</w:t>
      </w:r>
    </w:p>
    <w:tbl>
      <w:tblPr>
        <w:tblW w:type="auto" w:w="0"/>
        <w:jc w:val="center"/>
        <w:tblLayout w:type="autofit"/>
        <w:tblLook w:firstColumn="1" w:firstRow="1" w:lastColumn="0" w:lastRow="0" w:noHBand="0" w:noVBand="1" w:val="04A0"/>
      </w:tblPr>
      <w:tblGrid>
        <w:gridCol w:w="1758"/>
        <w:gridCol w:w="1758"/>
        <w:gridCol w:w="1758"/>
        <w:gridCol w:w="1758"/>
        <w:gridCol w:w="1758"/>
      </w:tblGrid>
      <w:tr>
        <w:tc>
          <w:tcPr>
            <w:tcW w:type="dxa" w:w="1758"/>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Composite resin</w:t>
            </w:r>
          </w:p>
        </w:tc>
        <w:tc>
          <w:tcPr>
            <w:tcW w:type="dxa" w:w="1758"/>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Weight before (g) Mean ± SD</w:t>
            </w:r>
          </w:p>
        </w:tc>
        <w:tc>
          <w:tcPr>
            <w:tcW w:type="dxa" w:w="1758"/>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Weight after (g) Mean ± SD</w:t>
            </w:r>
          </w:p>
        </w:tc>
        <w:tc>
          <w:tcPr>
            <w:tcW w:type="dxa" w:w="1758"/>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Weight loss (%) Mean ± SD</w:t>
            </w:r>
          </w:p>
        </w:tc>
        <w:tc>
          <w:tcPr>
            <w:tcW w:type="dxa" w:w="1758"/>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p-value</w:t>
            </w:r>
          </w:p>
        </w:tc>
      </w:tr>
      <w:tr>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Beautifil Flow Plus X F00</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0.1602 ± 0.0074</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0.1576 ± 0.0031</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1.49 ± 3.14</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r>
          </w:p>
        </w:tc>
      </w:tr>
      <w:tr>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G-ænial Universal Injectable</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0.1630 ± 0.0102</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0.1619 ± 0.0106</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0.65 ± 0.37</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0.329†</w:t>
            </w:r>
          </w:p>
        </w:tc>
      </w:tr>
      <w:tr>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Beautifil II LS</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0.2313 ± 0.0154</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0.2303 ± 0.0156</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0.41 ± 0.25</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r>
          </w:p>
        </w:tc>
      </w:tr>
    </w:tbl>
    <w:p>
      <w:pPr>
        <w:keepNext w:val="0"/>
        <w:pageBreakBefore w:val="0"/>
        <w:widowControl/>
        <w:spacing w:before="0" w:after="160" w:line="240" w:lineRule="auto"/>
        <w:ind w:firstLine="0"/>
        <w:jc w:val="both"/>
      </w:pPr>
    </w:p>
    <w:p>
      <w:pPr>
        <w:keepNext w:val="0"/>
        <w:pageBreakBefore w:val="0"/>
        <w:widowControl/>
        <w:spacing w:before="0" w:after="160" w:line="240" w:lineRule="auto"/>
        <w:ind w:firstLine="0"/>
        <w:jc w:val="left"/>
      </w:pPr>
      <w:r>
        <w:rPr>
          <w:rFonts w:ascii="Times New Roman" w:hAnsi="Times New Roman" w:eastAsia="Times New Roman"/>
          <w:b w:val="0"/>
          <w:i w:val="0"/>
          <w:color w:val="000000"/>
          <w:sz w:val="20"/>
        </w:rPr>
        <w:t>† One-way ANOVA. Values are mean ± standard deviation.</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Beautifil II LS discs were heavier at baseline (0.2313 ± 0.0154 g) than the two injectables (0.1602 ± 0.0074 g and 0.1630 ± 0.0102 g). That follows from filler load and density, not from a difference in disc size.</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One-way ANOVA on percentage loss gave p = 0.329. The first null hypothesis is not rejected. Numerically, Beautifil II LS lost the least (0.41 ± 0.25 %), then G-ænial Universal Injectable (0.65 ± 0.37 %), then Beautifil Flow Plus X F00 (1.49 ± 3.14 %). The last standard deviation is an order larger than the other two.</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Absolute loss is given in Table 4.3, after the roughness data, because percentage loss on a lighter disc can exaggerate a small mass change.</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4.2 Surface Roughness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Mean Ra before and after brushing, and ΔRa, are given in Table 4.2.</w:t>
      </w:r>
    </w:p>
    <w:p>
      <w:pPr>
        <w:keepNext/>
        <w:pageBreakBefore w:val="0"/>
        <w:widowControl/>
        <w:spacing w:before="240" w:after="120" w:line="480" w:lineRule="auto"/>
        <w:ind w:firstLine="0"/>
        <w:jc w:val="left"/>
      </w:pPr>
      <w:r>
        <w:rPr>
          <w:rFonts w:ascii="Times New Roman" w:hAnsi="Times New Roman" w:eastAsia="Times New Roman"/>
          <w:b/>
          <w:i w:val="0"/>
          <w:color w:val="000000"/>
          <w:sz w:val="24"/>
        </w:rPr>
        <w:t>Table 4.2</w:t>
      </w:r>
      <w:r>
        <w:rPr>
          <w:rFonts w:ascii="Times New Roman" w:hAnsi="Times New Roman" w:eastAsia="Times New Roman"/>
          <w:b w:val="0"/>
          <w:i w:val="0"/>
          <w:color w:val="000000"/>
          <w:sz w:val="24"/>
        </w:rPr>
        <w:t xml:space="preserve"> Mean surface roughness (Ra) before and after simulated toothbrushing and the change in roughness (ΔRa) of the tested composite resins (n = 12)</w:t>
      </w:r>
    </w:p>
    <w:tbl>
      <w:tblPr>
        <w:tblW w:type="auto" w:w="0"/>
        <w:jc w:val="center"/>
        <w:tblLayout w:type="autofit"/>
        <w:tblLook w:firstColumn="1" w:firstRow="1" w:lastColumn="0" w:lastRow="0" w:noHBand="0" w:noVBand="1" w:val="04A0"/>
      </w:tblPr>
      <w:tblGrid>
        <w:gridCol w:w="1758"/>
        <w:gridCol w:w="1758"/>
        <w:gridCol w:w="1758"/>
        <w:gridCol w:w="1758"/>
        <w:gridCol w:w="1758"/>
      </w:tblGrid>
      <w:tr>
        <w:tc>
          <w:tcPr>
            <w:tcW w:type="dxa" w:w="1758"/>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Composite resin</w:t>
            </w:r>
          </w:p>
        </w:tc>
        <w:tc>
          <w:tcPr>
            <w:tcW w:type="dxa" w:w="1758"/>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Ra before (µm) Mean ± SD</w:t>
            </w:r>
          </w:p>
        </w:tc>
        <w:tc>
          <w:tcPr>
            <w:tcW w:type="dxa" w:w="1758"/>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Ra after (µm) Mean ± SD</w:t>
            </w:r>
          </w:p>
        </w:tc>
        <w:tc>
          <w:tcPr>
            <w:tcW w:type="dxa" w:w="1758"/>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ΔRa (µm) Mean ± SD</w:t>
            </w:r>
          </w:p>
        </w:tc>
        <w:tc>
          <w:tcPr>
            <w:tcW w:type="dxa" w:w="1758"/>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p-value</w:t>
            </w:r>
          </w:p>
        </w:tc>
      </w:tr>
      <w:tr>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Beautifil Flow Plus X F00</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0.038 ± 0.011</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0.104 ± 0.017</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0.066 ± 0.021</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r>
          </w:p>
        </w:tc>
      </w:tr>
      <w:tr>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G-ænial Universal Injectable</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0.054 ± 0.010</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0.100 ± 0.023</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0.046 ± 0.023</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&lt; 0.001‡</w:t>
            </w:r>
          </w:p>
        </w:tc>
      </w:tr>
      <w:tr>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Beautifil II LS</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0.119 ± 0.054</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0.194 ± 0.050</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0.075 ± 0.066</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r>
          </w:p>
        </w:tc>
      </w:tr>
    </w:tbl>
    <w:p>
      <w:pPr>
        <w:keepNext w:val="0"/>
        <w:pageBreakBefore w:val="0"/>
        <w:widowControl/>
        <w:spacing w:before="0" w:after="160" w:line="240" w:lineRule="auto"/>
        <w:ind w:firstLine="0"/>
        <w:jc w:val="both"/>
      </w:pPr>
    </w:p>
    <w:p>
      <w:pPr>
        <w:keepNext w:val="0"/>
        <w:pageBreakBefore w:val="0"/>
        <w:widowControl/>
        <w:spacing w:before="0" w:after="160" w:line="240" w:lineRule="auto"/>
        <w:ind w:firstLine="0"/>
        <w:jc w:val="left"/>
      </w:pPr>
      <w:r>
        <w:rPr>
          <w:rFonts w:ascii="Times New Roman" w:hAnsi="Times New Roman" w:eastAsia="Times New Roman"/>
          <w:b w:val="0"/>
          <w:i w:val="0"/>
          <w:color w:val="000000"/>
          <w:sz w:val="20"/>
        </w:rPr>
        <w:t>‡ Kruskal–Wallis test. Pairwise tests: each injectable versus Beautifil II LS, p &lt; 0.001; the two injectables, not significant. Values are mean ± standard deviation.</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At baseline Beautifil II LS was already the roughest (0.119 ± 0.054 µm). Beautifil Flow Plus X F00 was the smoothest (0.038 ± 0.011 µm). G-ænial Universal Injectable lay between them (0.054 ± 0.010 µm).</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Every group roughened. ΔRa was 0.066 ± 0.021 µm, 0.046 ± 0.023 µm and 0.075 ± 0.066 µm. After 10 000 cycles the means were 0.104 ± 0.017 µm (Beautifil Flow Plus X F00), 0.100 ± 0.023 µm (G-ænial Universal Injectable) and 0.194 ± 0.050 µm (Beautifil II LS).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Kruskal–Wallis test on Ra after brushing was significant (p &lt; 0.001). The second null hypothesis is rejected. Pairwise tests separated Beautifil II LS from each injectable. They did not separate the two injectables.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Relative to the 0.2 µm plaque line (1), both injectable means were below it. The Beautifil II LS mean was 0.194 µm, on the line. Its standard deviation of 0.050 µm means some discs in that group crossed 0.2 µm. All three means were well below 0.50 µm (2).</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Absolute weight loss is set out in Table 4.3.</w:t>
      </w:r>
    </w:p>
    <w:p>
      <w:pPr>
        <w:keepNext/>
        <w:pageBreakBefore w:val="0"/>
        <w:widowControl/>
        <w:spacing w:before="240" w:after="120" w:line="480" w:lineRule="auto"/>
        <w:ind w:firstLine="0"/>
        <w:jc w:val="left"/>
      </w:pPr>
      <w:r>
        <w:rPr>
          <w:rFonts w:ascii="Times New Roman" w:hAnsi="Times New Roman" w:eastAsia="Times New Roman"/>
          <w:b/>
          <w:i w:val="0"/>
          <w:color w:val="000000"/>
          <w:sz w:val="24"/>
        </w:rPr>
        <w:t>Table 4.3</w:t>
      </w:r>
      <w:r>
        <w:rPr>
          <w:rFonts w:ascii="Times New Roman" w:hAnsi="Times New Roman" w:eastAsia="Times New Roman"/>
          <w:b w:val="0"/>
          <w:i w:val="0"/>
          <w:color w:val="000000"/>
          <w:sz w:val="24"/>
        </w:rPr>
        <w:t xml:space="preserve"> Absolute weight loss after 10 000 brushing cycles (n = 12)</w:t>
      </w:r>
    </w:p>
    <w:tbl>
      <w:tblPr>
        <w:tblW w:type="auto" w:w="0"/>
        <w:jc w:val="center"/>
        <w:tblLayout w:type="autofit"/>
        <w:tblLook w:firstColumn="1" w:firstRow="1" w:lastColumn="0" w:lastRow="0" w:noHBand="0" w:noVBand="1" w:val="04A0"/>
      </w:tblPr>
      <w:tblGrid>
        <w:gridCol w:w="2929"/>
        <w:gridCol w:w="2929"/>
        <w:gridCol w:w="2929"/>
      </w:tblGrid>
      <w:tr>
        <w:tc>
          <w:tcPr>
            <w:tcW w:type="dxa" w:w="2929"/>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Composite resin</w:t>
            </w:r>
          </w:p>
        </w:tc>
        <w:tc>
          <w:tcPr>
            <w:tcW w:type="dxa" w:w="2929"/>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Absolute weight loss (mg) Mean ± SD</w:t>
            </w:r>
          </w:p>
        </w:tc>
        <w:tc>
          <w:tcPr>
            <w:tcW w:type="dxa" w:w="2929"/>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Range (mg)</w:t>
            </w:r>
          </w:p>
        </w:tc>
      </w:tr>
      <w:tr>
        <w:tc>
          <w:tcPr>
            <w:tcW w:type="dxa" w:w="2929"/>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Beautifil Flow Plus X F00</w:t>
            </w:r>
          </w:p>
        </w:tc>
        <w:tc>
          <w:tcPr>
            <w:tcW w:type="dxa" w:w="2929"/>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2.58 ± 5.91</w:t>
            </w:r>
          </w:p>
        </w:tc>
        <w:tc>
          <w:tcPr>
            <w:tcW w:type="dxa" w:w="2929"/>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0.2 – 20.7</w:t>
            </w:r>
          </w:p>
        </w:tc>
      </w:tr>
      <w:tr>
        <w:tc>
          <w:tcPr>
            <w:tcW w:type="dxa" w:w="2929"/>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G-ænial Universal Injectable</w:t>
            </w:r>
          </w:p>
        </w:tc>
        <w:tc>
          <w:tcPr>
            <w:tcW w:type="dxa" w:w="2929"/>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1.07 ± 0.62</w:t>
            </w:r>
          </w:p>
        </w:tc>
        <w:tc>
          <w:tcPr>
            <w:tcW w:type="dxa" w:w="2929"/>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0.2 – 1.9</w:t>
            </w:r>
          </w:p>
        </w:tc>
      </w:tr>
      <w:tr>
        <w:tc>
          <w:tcPr>
            <w:tcW w:type="dxa" w:w="2929"/>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Beautifil II LS</w:t>
            </w:r>
          </w:p>
        </w:tc>
        <w:tc>
          <w:tcPr>
            <w:tcW w:type="dxa" w:w="2929"/>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0.95 ± 0.58</w:t>
            </w:r>
          </w:p>
        </w:tc>
        <w:tc>
          <w:tcPr>
            <w:tcW w:type="dxa" w:w="2929"/>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0.1 – 1.8</w:t>
            </w:r>
          </w:p>
        </w:tc>
      </w:tr>
    </w:tbl>
    <w:p>
      <w:pPr>
        <w:keepNext w:val="0"/>
        <w:pageBreakBefore w:val="0"/>
        <w:widowControl/>
        <w:spacing w:before="0" w:after="160" w:line="240" w:lineRule="auto"/>
        <w:ind w:firstLine="0"/>
        <w:jc w:val="both"/>
      </w:pPr>
    </w:p>
    <w:p>
      <w:pPr>
        <w:keepNext w:val="0"/>
        <w:pageBreakBefore w:val="0"/>
        <w:widowControl/>
        <w:spacing w:before="0" w:after="160" w:line="240" w:lineRule="auto"/>
        <w:ind w:firstLine="0"/>
        <w:jc w:val="left"/>
      </w:pPr>
      <w:r>
        <w:rPr>
          <w:rFonts w:ascii="Times New Roman" w:hAnsi="Times New Roman" w:eastAsia="Times New Roman"/>
          <w:b w:val="0"/>
          <w:i w:val="0"/>
          <w:color w:val="000000"/>
          <w:sz w:val="20"/>
        </w:rPr>
        <w:t>Values are mean ± standard deviation. The large standard deviation in Beautifil Flow Plus X F00 comes from one disc that lost about 11.4 % of its mass (20.7 mg). The rest of that group, and both other groups, sit in a band of roughly 0.1–1.9 mg.</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4.3 Summary of Results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Percentage weight loss did not differ significantly. Absolute loss in the two well-behaved groups and in most of the Beautifil Flow Plus X F00 discs was about 1 mg. One disc in that group did not. After the same abrasion both injectables were smoother than Beautifil II LS and did not differ from each other.</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CHAPTER 5</w:t>
      </w:r>
    </w:p>
    <w:p>
      <w:pPr>
        <w:pStyle w:val="Heading1"/>
        <w:keepNext/>
        <w:pageBreakBefore w:val="0"/>
        <w:widowControl/>
        <w:spacing w:before="0" w:after="120" w:line="480" w:lineRule="auto"/>
        <w:ind w:firstLine="0"/>
        <w:jc w:val="center"/>
      </w:pPr>
      <w:r>
        <w:rPr>
          <w:rFonts w:ascii="Times New Roman" w:hAnsi="Times New Roman" w:eastAsia="Times New Roman"/>
          <w:b/>
          <w:i w:val="0"/>
          <w:color w:val="000000"/>
          <w:sz w:val="28"/>
        </w:rPr>
        <w:t>DISCUSSION</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first null hypothesis stands. The second does not. The three resins lost a statistically similar fraction of their mass. They did not finish with a similar Ra.</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5.1 Weight Loss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A non-significant ANOVA (p = 0.329) is not proof of equal wear. It is a failure to reject equality. Beautifil Flow Plus X F00 had a standard deviation of 3.14 % beside a mean of 1.49 %. That spread is the outlier disc (about 11.4 %, 20.7 mg). Residual variance rises. Power falls. The other eleven discs in that group, and the twenty-four discs in the other groups, lost between 0.1 mg and 1.9 mg. On that restricted view the three pastes are close.</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Beautifil II LS started heavier. Percentage loss on a heavier disc is a smaller number for the same milligrams shed. Absolute loss treats that fairly: 0.95 ± 0.58 mg against 1.07 ± 0.62 mg for G-ænial Universal Injectable. Those two means are near each other. The injectable with the nano-filled barium-glass bed did not shed more mass than the 83 wt% nanohybrid under this slurry.</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Rajabi et al. found less volumetric two-body wear for G-ænial Universal Injectable and Beautifil Flow Plus F00 than for a nanohybrid paste (6). The direction is friendly to injectables. The test is not the same test. They used 200 000 chewing cycles, 49 N and a steatite ball. They did not use toothpaste. They measured volume. Beautifil Flow Plus F00 is also not Beautifil Flow Plus X F00. Agreement can be stated only as a general remark: highly filled injectables are not automatically the weaker partner in a wear assay.</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Why one disc lost 20.7 mg is not known from the laboratory record used here. A void, a soft under-cured layer, or a weighing error would all produce that point. The value was not dropped. It is footnoted in Table 4.3. Any later re-analysis that excludes it must say so.</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5.2 Surface Roughness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roughness result is cleaner. The nanohybrid was rougher before brushing and rougher after it. ΔRa was also largest in that group, with a wide spread (0.075 ± 0.066 µm). G-ænial Universal Injectable changed the least (0.046 ± 0.023 µm). Beautifil Flow Plus X F00 started smoothest and ended statistically with G-ænial Universal Injectable.</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That pattern fits filler geometry. A nanofilled injectable with ~150 nm barium glass and silica wears more evenly (6,18). A nanohybrid with larger S-PRG and pre-polymerised particles loses matrix first. The large fillers stand up or leave pits (4,18). Hasan, Eltoukhy and Zaghloul saw the same order after simulated brushing: G-ænial Universal Injectable smoother than a nanohybrid; two nanofilled resins not different from each other (18). Heintze et al. had already shown that hybrid and microhybrid pastes roughen more with load and time than microfilled resins (4).</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0.2 µm line is the clinically useful one (1,17). Both injectables ended near 0.10 µm. They remain, on the mean, in the range where further smoothing is not expected to cut plaque. Beautifil II LS ended at 0.194 ± 0.050 µm. The mean is acceptable on the published threshold. The spread is not entirely below it. None of the means approach the 0.50 µm tongue threshold (2). Patients would not be expected to feel these surfaces after one year of this brushing model. Biofilm risk is the sharper distinction, and it applies to the nanohybrid group.</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5.3 Clinical Implications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Within this protocol the two injectables may be used where toothbrush abrasion is the wear of interest without paying a roughness penalty against Beautifil II LS. They do not, on these data, wear less. They finish smoother. That matters on free cleanable surfaces and at margins. It does not license a claim that they survive occlusal contact better. Occlusal contact was not tested.</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Beautifil II LS remains a reasonable packable control. Its higher baseline Ra may reflect filler size, polish, or both. If the nanohybrid was left with a coarser finish, part of the after-brushing difference was already present at baseline. The after-brushing test is still valid. The groups were compared as they stood after the same abrasion.</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5.4 Strengths of the Study</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three products are current commercial pastes, including the X-generation Flow Plus. Sample size was twelve, not ten. Both mass and Ra were read on the same discs. The brushing load and cycle count sit on published ISO and Sexson–Phillips figures (3,7). The statistical tests match the distributions used in the locked spreadsheet. The outlier was kept and named.</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5.5 Limitations of the Study</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test is in vitro. Saliva, pH, enzymes and occlusal load are missing. Gravimetric loss is not worn volume and is not worn anatomy. One dentifrice was used. There are no scanning electron images, so filler plucking is an inference from the roughness numbers, not a micrograph. Ten thousand cycles are one conventional year, not a clinical year. Disc geometry is not a Class II box.</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5.6 Concluding Remarks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After 10 000 strokes at 2 N the three resins could not be separated on percentage weight loss. They could be separated on Ra. The injectables were smoother. Beautifil II LS sat on the plaque threshold. That is the result. It should not be enlarged into a general ranking of injectable versus nanohybrid outside toothbrush abrasion.</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CHAPTER 6</w:t>
      </w:r>
    </w:p>
    <w:p>
      <w:pPr>
        <w:pStyle w:val="Heading1"/>
        <w:keepNext/>
        <w:pageBreakBefore w:val="0"/>
        <w:widowControl/>
        <w:spacing w:before="0" w:after="120" w:line="480" w:lineRule="auto"/>
        <w:ind w:firstLine="0"/>
        <w:jc w:val="center"/>
      </w:pPr>
      <w:r>
        <w:rPr>
          <w:rFonts w:ascii="Times New Roman" w:hAnsi="Times New Roman" w:eastAsia="Times New Roman"/>
          <w:b/>
          <w:i w:val="0"/>
          <w:color w:val="000000"/>
          <w:sz w:val="28"/>
        </w:rPr>
        <w:t>CONCLUSIONS AND RECOMMENDATIONS</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6.1 Conclusions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Under the conditions of this in-vitro study:</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1. Percentage weight loss after 10 000 toothbrushing cycles did not differ significantly among Beautifil Flow Plus X F00, G-ænial Universal Injectable and Beautifil II LS (p = 0.329).</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2. Ra after the same abrasion did differ (p &lt; 0.001). Both injectable resins were smoother than Beautifil II LS. The two injectables did not differ from each other.</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3. Mean Ra of both injectables remained below 0.2 µm. Mean Ra of Beautifil II LS was 0.194 µm.</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4. One Beautifil Flow Plus X F00 disc lost about 11.4 % of its mass and is the source of that group’s large standard deviation.</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5. The first null hypothesis is retained. The second is rejected.</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6.2 Recommendations</w:t>
      </w:r>
    </w:p>
    <w:p>
      <w:pPr>
        <w:keepNext w:val="0"/>
        <w:pageBreakBefore w:val="0"/>
        <w:widowControl/>
        <w:spacing w:before="0" w:after="0" w:line="480" w:lineRule="auto"/>
        <w:ind w:firstLine="720"/>
        <w:jc w:val="both"/>
      </w:pPr>
      <w:r>
        <w:rPr>
          <w:rFonts w:ascii="Times New Roman" w:hAnsi="Times New Roman" w:eastAsia="Times New Roman"/>
          <w:b/>
          <w:i w:val="0"/>
          <w:color w:val="000000"/>
          <w:sz w:val="24"/>
        </w:rPr>
        <w:t>Clinical practice.</w:t>
      </w:r>
      <w:r>
        <w:rPr>
          <w:rFonts w:ascii="Times New Roman" w:hAnsi="Times New Roman" w:eastAsia="Times New Roman"/>
          <w:b w:val="0"/>
          <w:i w:val="0"/>
          <w:color w:val="000000"/>
          <w:sz w:val="24"/>
        </w:rPr>
        <w:t xml:space="preserve"> Where toothbrush abrasion and smoothness after hygiene are the concern, either injectable tested here may be considered beside Beautifil II LS. The data do not show less wear. They show a smoother surface after this brushing model.</w:t>
      </w:r>
    </w:p>
    <w:p>
      <w:pPr>
        <w:keepNext w:val="0"/>
        <w:pageBreakBefore w:val="0"/>
        <w:widowControl/>
        <w:spacing w:before="0" w:after="0" w:line="480" w:lineRule="auto"/>
        <w:ind w:firstLine="720"/>
        <w:jc w:val="both"/>
      </w:pPr>
      <w:r>
        <w:rPr>
          <w:rFonts w:ascii="Times New Roman" w:hAnsi="Times New Roman" w:eastAsia="Times New Roman"/>
          <w:b/>
          <w:i w:val="0"/>
          <w:color w:val="000000"/>
          <w:sz w:val="24"/>
        </w:rPr>
        <w:t>Further laboratory work.</w:t>
      </w:r>
      <w:r>
        <w:rPr>
          <w:rFonts w:ascii="Times New Roman" w:hAnsi="Times New Roman" w:eastAsia="Times New Roman"/>
          <w:b w:val="0"/>
          <w:i w:val="0"/>
          <w:color w:val="000000"/>
          <w:sz w:val="24"/>
        </w:rPr>
        <w:t xml:space="preserve"> Repeat the mass analysis with and without the outlying disc, and report both. Add volumetric loss or profilometric wear depth. Add SEM of the worn face. State the polish sequence, the brush and the slurry ratio in full. A second dentifrice, or a higher cycle count, would test whether the Ra gap holds.</w:t>
      </w:r>
    </w:p>
    <w:p>
      <w:pPr>
        <w:keepNext w:val="0"/>
        <w:pageBreakBefore w:val="0"/>
        <w:widowControl/>
        <w:spacing w:before="0" w:after="0" w:line="480" w:lineRule="auto"/>
        <w:ind w:firstLine="720"/>
        <w:jc w:val="both"/>
      </w:pPr>
      <w:r>
        <w:rPr>
          <w:rFonts w:ascii="Times New Roman" w:hAnsi="Times New Roman" w:eastAsia="Times New Roman"/>
          <w:b/>
          <w:i w:val="0"/>
          <w:color w:val="000000"/>
          <w:sz w:val="24"/>
        </w:rPr>
        <w:t>Clinical research.</w:t>
      </w:r>
      <w:r>
        <w:rPr>
          <w:rFonts w:ascii="Times New Roman" w:hAnsi="Times New Roman" w:eastAsia="Times New Roman"/>
          <w:b w:val="0"/>
          <w:i w:val="0"/>
          <w:color w:val="000000"/>
          <w:sz w:val="24"/>
        </w:rPr>
        <w:t xml:space="preserve"> Only a controlled clinical study can say whether the 0.10 µm versus 0.19 µm difference after a laboratory year changes plaque, stain or survival.</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CHAPTER 7</w:t>
      </w:r>
    </w:p>
    <w:p>
      <w:pPr>
        <w:pStyle w:val="Heading1"/>
        <w:keepNext/>
        <w:pageBreakBefore w:val="0"/>
        <w:widowControl/>
        <w:spacing w:before="0" w:after="120" w:line="480" w:lineRule="auto"/>
        <w:ind w:firstLine="0"/>
        <w:jc w:val="center"/>
      </w:pPr>
      <w:r>
        <w:rPr>
          <w:rFonts w:ascii="Times New Roman" w:hAnsi="Times New Roman" w:eastAsia="Times New Roman"/>
          <w:b/>
          <w:i w:val="0"/>
          <w:color w:val="000000"/>
          <w:sz w:val="28"/>
        </w:rPr>
        <w:t>REFERENCES</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 Bollen CML, Lambrechts P, Quirynen M. Comparison of surface roughness of oral hard materials to the threshold surface roughness for bacterial plaque retention: a review of the literature. Dent Mater. 1997;13(4):258-269.</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2. Jones CS, Billington RW, Pearson GJ. The in vivo perception of roughness of restorations. Br Dent J. 2004;196(1):42-45.</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3. International Organization for Standardization. ISO/TR 14569-1:2007. Dental materials — Guidance on testing of wear — Part 1: Wear by toothbrushing. Geneva: ISO; 2007.</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4. Heintze SD, Forjanic M, Ohmiti K, Rousson V. Surface deterioration of dental materials after simulated toothbrushing in relation to brushing time and load. Dent Mater. 2010;26(4):306-319.</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5. Bayne SC, Thompson JY, Swift EJ Jr, Stamatiades P, Wilkerson M. A characterization of first-generation flowable composites. J Am Dent Assoc. 1998;129(5):567-577.</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6. Rajabi H, Denny M, Karagiannopoulos K, Petridis H. Comparison of flexural strength and wear of injectable, flowable and paste composite resins. Materials (Basel). 2024;17(19):4749.</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7. Sexson JC, Phillips RW. Studies on the effects of abrasives on acrylic resins. J Prosthet Dent. 1951;1(4):454-471.</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8. Monteiro B, Spohr AM. Surface roughness of composite resins after simulated toothbrushing with different dentifrices. J Int Oral Health. 2015;7(7):1-5.</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9. Mair LH, Stolarski TA, Vowles RW, Lloyd CH. Wear: mechanisms, manifestations and measurement. Report of a workshop. J Dent. 1996;24(1-2):141-148.</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10. Lambrechts P, Debels E, Van Landuyt K, Peumans M, Van Meerbeek B. How to simulate wear? Overview of existing methods. Dent Mater. 2006;22(8):693-701.</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11. Ferracane JL. Resin composite—state of the art. Dent Mater. 2011;27(1):29-38.</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12. Condon JR, Ferracane JL. In vitro wear of composite with varied cure, filler level, and filler treatment. J Dent Res. 1997;76(7):1405-1411.</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13. Baroudi K, Rodrigues JC. Flowable resin composites: a systematic review and clinical considerations. J Clin Diagn Res. 2015;9(6):ZE18-ZE24.</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14. International Organization for Standardization. ISO 11609:2017. Dentistry — Dentifrices — Requirements, test methods and marking. Geneva: ISO; 2017.</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15. Heintze SD, Cavalleri A, Forjanic M, Zellweger G, Rousson V. A comparison of three different methods for the quantification of the in vitro wear of dental materials. Dent Mater. 2006;22(11):1051-1062.</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16. International Organization for Standardization. ISO 4049:2019. Dentistry — Polymer-based restorative materials. Geneva: ISO; 2019.</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17. Quirynen M, Bollen CML. The influence of surface roughness and surface-free energy on supra- and subgingival plaque formation in man. A review of the literature. J Clin Periodontol. 1995;22(1):1-14.</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18. Hasan HA, Eltoukhy R, Zaghloul NM. Effect of simulated toothbrushing on surface roughness of different resin composite materials: in vitro study. Al-Azhar J Dent Sci. 2025;28. doi:10.21608/ajdsm.2023.222996.1440.</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19. Shofu Inc. Beautifil II LS product information; Beautifil Flow Plus X product information. Kyoto: Shofu.</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20. Tzimas K, Pappa E, Fostiropoulou M, Papazoglou E, Rahiotis C. Highly filled flowable composite resins as sole restorative materials: a systematic review. Materials (Basel). 2025;18(14):3370.</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21. Yap AU, Tan SH, Wee SS, Lee CW, Lim EL, Zeng KY. Chemical degradation of composite restoratives. J Oral Rehabil. 2001;28(11):1015-1021.</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22. Gordan VV, Mondragon E, Watson RE, Garvan C, Mjör IA. A clinical evaluation of a self-etching primer and a giomer restorative material: results at eight years. J Am Dent Assoc. 2007;138(5):621-627.</w:t>
      </w:r>
    </w:p>
    <w:sectPr w:rsidR="00FC693F" w:rsidRPr="0006063C" w:rsidSect="00034616">
      <w:footerReference w:type="default" r:id="rId12"/>
      <w:pgSz w:w="11906" w:h="16838"/>
      <w:pgMar w:top="1417" w:right="1417" w:bottom="1417" w:left="1701" w:header="720" w:footer="720" w:gutter="0"/>
      <w:cols w:space="720"/>
      <w:titlePg/>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pageBreakBefore w:val="0"/>
      <w:widowControl/>
      <w:spacing w:before="0" w:after="0" w:line="240" w:lineRule="auto"/>
      <w:ind w:firstLine="0"/>
      <w:jc w:val="center"/>
    </w:pPr>
    <w:r>
      <w:rPr>
        <w:rFonts w:ascii="Times New Roman" w:hAnsi="Times New Roman" w:eastAsia="Times New Roman"/>
        <w:b w:val="0"/>
        <w:i w:val="0"/>
        <w:color w:val="000000"/>
        <w:sz w:val="24"/>
      </w:rPr>
      <w:fldChar w:fldCharType="begin"/>
      <w:instrText xml:space="preserve"> PAGE \* roman </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pageBreakBefore w:val="0"/>
      <w:widowControl/>
      <w:spacing w:before="0" w:after="0" w:line="240" w:lineRule="auto"/>
      <w:ind w:firstLine="0"/>
      <w:jc w:val="center"/>
    </w:pPr>
    <w:r>
      <w:rPr>
        <w:rFonts w:ascii="Times New Roman" w:hAnsi="Times New Roman" w:eastAsia="Times New Roman"/>
        <w:b w:val="0"/>
        <w:i w:val="0"/>
        <w:color w:val="000000"/>
        <w:sz w:val="24"/>
      </w:rPr>
      <w:fldChar w:fldCharType="begin"/>
      <w:instrText xml:space="preserve"> PAGE \* decimal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jc w:val="both"/>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120" w:line="480" w:lineRule="auto"/>
      <w:ind w:firstLine="0"/>
      <w:jc w:val="center"/>
      <w:outlineLvl w:val="0"/>
    </w:pPr>
    <w:rPr>
      <w:rFonts w:asciiTheme="majorHAnsi" w:eastAsiaTheme="majorEastAsia" w:hAnsiTheme="majorHAnsi" w:cstheme="majorBidi" w:ascii="Times New Roman" w:hAnsi="Times New Roman" w:eastAsia="Times New Roman" w:cs="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line="480" w:lineRule="auto"/>
      <w:ind w:firstLine="0"/>
      <w:jc w:val="left"/>
      <w:outlineLvl w:val="1"/>
    </w:pPr>
    <w:rPr>
      <w:rFonts w:asciiTheme="majorHAnsi" w:eastAsiaTheme="majorEastAsia" w:hAnsiTheme="majorHAnsi" w:cstheme="majorBidi"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ind w:firstLine="0"/>
      <w:jc w:val="left"/>
      <w:outlineLvl w:val="2"/>
    </w:pPr>
    <w:rPr>
      <w:rFonts w:asciiTheme="majorHAnsi" w:eastAsiaTheme="majorEastAsia" w:hAnsiTheme="majorHAnsi" w:cstheme="majorBidi"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footer" Target="footer2.xml"/><Relationship Id="rId1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