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24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72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280" w:after="200" w:lineRule="auto" w:line="312"/>
        <w:ind w:firstLine="0"/>
        <w:jc w:val="left"/>
      </w:pPr>
      <w:r>
        <w:rPr>
          <w:rFonts w:ascii="Times New Roman" w:hAnsi="Times New Roman" w:cs="Times New Roman" w:eastAsia="Times New Roman"/>
          <w:b/>
          <w:i/>
          <w:color w:val="000000"/>
          <w:sz w:val="24"/>
          <w:szCs w:val="24"/>
        </w:rPr>
        <w:t>English Title:</w:t>
      </w:r>
    </w:p>
    <w:p>
      <w:pPr>
        <w:widowControl/>
        <w:spacing w:before="24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240" w:after="160" w:lineRule="auto" w:line="312"/>
        <w:ind w:firstLine="0"/>
        <w:jc w:val="left"/>
      </w:pPr>
      <w:r>
        <w:rPr>
          <w:rFonts w:ascii="Times New Roman" w:hAnsi="Times New Roman" w:cs="Times New Roman" w:eastAsia="Times New Roman"/>
          <w:b/>
          <w:i/>
          <w:color w:val="000000"/>
          <w:sz w:val="24"/>
          <w:szCs w:val="24"/>
        </w:rPr>
        <w:t>Arabic Title:</w:t>
      </w:r>
    </w:p>
    <w:p>
      <w:pPr>
        <w:widowControl/>
        <w:spacing w:before="20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200" w:after="32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r>
        <w:br w:type="page"/>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ROLE OF SUPERVISORS</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CONTENTS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24</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29</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37</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LIST OF TABLES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24</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26</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LIST OF FIGURES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28</w:t>
      </w: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LIST OF ABBREVIATIONS</w:t>
      </w:r>
    </w:p>
    <w:tbl>
      <w:tblPr>
        <w:jc w:val="center"/>
        <w:tblLook w:firstColumn="1" w:firstRow="1" w:lastColumn="0" w:lastRow="0" w:noHBand="0" w:noVBand="1" w:val="04A0"/>
        <w:tblW w:w="8958" w:type="dxa"/>
        <w:tblLayout w:type="fixed"/>
      </w:tblPr>
      <w:tblGrid>
        <w:gridCol w:w="2494"/>
        <w:gridCol w:w="6463"/>
      </w:tblGrid>
      <w:tr>
        <w:trPr>
          <w:cantSplit/>
          <w:tblHeader/>
        </w:trPr>
        <w:tc>
          <w:tcPr>
            <w:tcW w:type="dxa" w:w="2494"/>
            <w:tcW w:w="2494"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Abbreviation</w:t>
            </w:r>
          </w:p>
        </w:tc>
        <w:tc>
          <w:tcPr>
            <w:tcW w:type="dxa" w:w="6463"/>
            <w:tcW w:w="6463"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Meaning</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ANOVA</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analysis of variance</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CAD/CAM</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computer-aided design / computer-aided manufacture</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ISO</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International Organization for Standardization</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LED</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light-emitting diode</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Ra</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arithmetic mean roughness</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RDA</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relative dentine abrasivity</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SD</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standard deviation</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S-PRG</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surface pre-reacted glass-ionomer</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vol%</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percentage by volume</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ΔRa</w:t>
            </w:r>
          </w:p>
        </w:tc>
        <w:tc>
          <w:tcPr>
            <w:tcW w:type="dxa" w:w="6463"/>
            <w:tcW w:w="6463"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change in Ra (after − before)</w:t>
            </w:r>
          </w:p>
        </w:tc>
      </w:tr>
    </w:tbl>
    <w:p>
      <w:pPr>
        <w:widowControl/>
        <w:spacing w:before="0" w:after="240" w:line="240" w:lineRule="auto"/>
        <w:ind w:firstLine="0"/>
        <w:jc w:val="both"/>
      </w:pPr>
    </w:p>
    <w:p>
      <w:pPr>
        <w:pStyle w:val="Heading1"/>
        <w:keepNext/>
        <w:pageBreakBefore/>
        <w:widowControl/>
        <w:spacing w:before="240" w:after="840" w:line="240" w:lineRule="auto"/>
        <w:ind w:firstLine="0"/>
        <w:jc w:val="center"/>
      </w:pPr>
      <w:r>
        <w:rPr>
          <w:rFonts w:ascii="Times New Roman" w:hAnsi="Times New Roman" w:cs="Times New Roman" w:eastAsia="Times New Roman"/>
          <w:b/>
          <w:i w:val="0"/>
          <w:color w:val="000000"/>
          <w:sz w:val="32"/>
          <w:szCs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REVIEW OF LITERATURE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MATERIALS AND METHODS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jc w:val="center"/>
        <w:tblLook w:firstColumn="1" w:firstRow="1" w:lastColumn="0" w:lastRow="0" w:noHBand="0" w:noVBand="1" w:val="04A0"/>
        <w:tblW w:w="8958" w:type="dxa"/>
        <w:tblLayout w:type="fixed"/>
      </w:tblPr>
      <w:tblGrid>
        <w:gridCol w:w="1445"/>
        <w:gridCol w:w="1247"/>
        <w:gridCol w:w="1814"/>
        <w:gridCol w:w="1871"/>
        <w:gridCol w:w="963"/>
        <w:gridCol w:w="1615"/>
      </w:tblGrid>
      <w:tr>
        <w:trPr>
          <w:cantSplit/>
          <w:tblHeader/>
        </w:trPr>
        <w:tc>
          <w:tcPr>
            <w:tcW w:type="dxa" w:w="1446"/>
            <w:tcW w:w="144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w:t>
            </w:r>
          </w:p>
        </w:tc>
        <w:tc>
          <w:tcPr>
            <w:tcW w:type="dxa" w:w="1247"/>
            <w:tcW w:w="1247"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Type</w:t>
            </w:r>
          </w:p>
        </w:tc>
        <w:tc>
          <w:tcPr>
            <w:tcW w:type="dxa" w:w="1814"/>
            <w:tcW w:w="181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Matrix</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Filler</w:t>
            </w:r>
          </w:p>
        </w:tc>
        <w:tc>
          <w:tcPr>
            <w:tcW w:type="dxa" w:w="964"/>
            <w:tcW w:w="963"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Load</w:t>
            </w:r>
          </w:p>
        </w:tc>
        <w:tc>
          <w:tcPr>
            <w:tcW w:type="dxa" w:w="1616"/>
            <w:tcW w:w="161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Manufacturer</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Dimethacrylate monomers</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Barium glass, silica</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50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GC, Tokyo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47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conventional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UDMA, Bis-EMA, PEGMA,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68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before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after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loss (%)</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0.1602 ± 0.0074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0.1576 ± 0.0031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1.49 ± 3.14</w:t>
            </w:r>
          </w:p>
        </w:tc>
        <w:tc>
          <w:tcPr>
            <w:tcW w:type="dxa" w:w="1361"/>
            <w:tcW w:w="1360" w:type="dxa"/>
            <w:vAlign w:val="center"/>
            <w:tcMar>
              <w:top w:w="50" w:type="dxa"/>
              <w:left w:w="50" w:type="dxa"/>
              <w:bottom w:w="50" w:type="dxa"/>
              <w:right w:w="50" w:type="dxa"/>
            </w:tcMa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0.329†</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0.1630 ± 0.0102</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0.1619 ± 0.0106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0.65 ± 0.37</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0.2313 ± 0.0154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0.2303 ± 0.0156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0.41 ± 0.25</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4937760" cy="3437748"/>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jc w:val="center"/>
        <w:tblLook w:firstColumn="1" w:firstRow="1" w:lastColumn="0" w:lastRow="0" w:noHBand="0" w:noVBand="1" w:val="04A0"/>
        <w:tblW w:w="8958" w:type="dxa"/>
        <w:tblLayout w:type="fixed"/>
      </w:tblPr>
      <w:tblGrid>
        <w:gridCol w:w="3288"/>
        <w:gridCol w:w="3118"/>
        <w:gridCol w:w="2551"/>
      </w:tblGrid>
      <w:tr>
        <w:trPr>
          <w:cantSplit/>
          <w:tblHeader/>
        </w:trPr>
        <w:tc>
          <w:tcPr>
            <w:tcW w:type="dxa" w:w="3288"/>
            <w:tcW w:w="328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3118"/>
            <w:tcW w:w="311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Absolute weight loss (mg)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2551"/>
            <w:tcW w:w="2551"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Range (mg)</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2.58 ± 5.91</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20.7</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1.07 ± 0.62</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1.9</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0.95 ± 0.58</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before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after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ΔRa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0.038 ± 0.011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0.104 ± 0.017</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0.066 ± 0.021</w:t>
            </w:r>
          </w:p>
        </w:tc>
        <w:tc>
          <w:tcPr>
            <w:tcW w:type="dxa" w:w="1361"/>
            <w:tcW w:w="1360" w:type="dxa"/>
            <w:vAlign w:val="center"/>
            <w:tcMar>
              <w:top w:w="50" w:type="dxa"/>
              <w:left w:w="50" w:type="dxa"/>
              <w:bottom w:w="50" w:type="dxa"/>
              <w:right w:w="50" w:type="dxa"/>
            </w:tcMa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&lt; 0.001‡</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0.054 ± 0.010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0.100 ± 0.023</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0.046 ± 0.023</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0.119 ± 0.054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0.194 ± 0.050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0.075 ± 0.066</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4937760" cy="3109049"/>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4937760" cy="3261737"/>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CONCLUSIONS AND RECOMMENDATIONS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240" w:after="20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240" w:after="840" w:line="240" w:lineRule="auto"/>
        <w:ind w:firstLine="0"/>
        <w:jc w:val="center"/>
      </w:pPr>
      <w:r>
        <w:rPr>
          <w:rFonts w:ascii="Times New Roman" w:hAnsi="Times New Roman" w:cs="Times New Roman" w:eastAsia="Times New Roman"/>
          <w:b/>
          <w:i w:val="0"/>
          <w:color w:val="000000"/>
          <w:sz w:val="32"/>
          <w:szCs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9"/>
      <w:footerReference w:type="default" r:id="rId10"/>
      <w:pgSz w:w="11906" w:h="16838"/>
      <w:pgMar w:top="1049" w:right="1247" w:bottom="964" w:left="1701" w:header="113" w:footer="10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737"/>
      <w:ind w:firstLine="0"/>
      <w:jc w:val="center"/>
    </w:pPr>
    <w:r>
      <w:drawing>
        <wp:inline xmlns:a="http://schemas.openxmlformats.org/drawingml/2006/main" xmlns:pic="http://schemas.openxmlformats.org/drawingml/2006/picture">
          <wp:extent cx="3510000" cy="4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4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320" w:after="20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