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276"/>
        <w:ind w:firstLine="0"/>
        <w:jc w:val="left"/>
      </w:pPr>
      <w:r>
        <w:rPr>
          <w:rFonts w:ascii="Times New Roman" w:hAnsi="Times New Roman" w:eastAsia="Times New Roman"/>
          <w:b/>
          <w:i w:val="0"/>
          <w:color w:val="000000"/>
          <w:sz w:val="26"/>
        </w:rPr>
        <w:t>Faculty of Dentistry</w:t>
      </w:r>
    </w:p>
    <w:p>
      <w:pPr>
        <w:widowControl/>
        <w:spacing w:before="0" w:after="0" w:lineRule="auto" w:line="276"/>
        <w:ind w:firstLine="0"/>
        <w:jc w:val="left"/>
      </w:pPr>
      <w:r>
        <w:rPr>
          <w:rFonts w:ascii="Times New Roman" w:hAnsi="Times New Roman" w:eastAsia="Times New Roman"/>
          <w:b w:val="0"/>
          <w:i w:val="0"/>
          <w:color w:val="000000"/>
          <w:sz w:val="26"/>
        </w:rPr>
        <w:t>Department of Restorative Dentistry</w:t>
      </w:r>
    </w:p>
    <w:p>
      <w:pPr>
        <w:widowControl/>
        <w:spacing w:before="0" w:after="160" w:lineRule="auto" w:line="276"/>
        <w:ind w:firstLine="0"/>
        <w:jc w:val="left"/>
      </w:pPr>
      <w:r>
        <w:rPr>
          <w:rFonts w:ascii="Times New Roman" w:hAnsi="Times New Roman" w:eastAsia="Times New Roman"/>
          <w:b/>
          <w:i w:val="0"/>
          <w:color w:val="000000"/>
          <w:sz w:val="24"/>
        </w:rPr>
        <w:t>Student Code No. 202203112</w:t>
      </w:r>
    </w:p>
    <w:p>
      <w:pPr>
        <w:widowControl/>
        <w:spacing w:before="160" w:after="0" w:lineRule="auto" w:line="276"/>
        <w:ind w:firstLine="0"/>
        <w:jc w:val="center"/>
      </w:pPr>
      <w:r>
        <w:rPr>
          <w:rFonts w:ascii="Times New Roman" w:hAnsi="Times New Roman" w:eastAsia="Times New Roman"/>
          <w:b/>
          <w:i w:val="0"/>
          <w:color w:val="000000"/>
          <w:sz w:val="26"/>
        </w:rPr>
        <w:t>A Thesis submitted in partial fulfilment of the</w:t>
      </w:r>
    </w:p>
    <w:p>
      <w:pPr>
        <w:widowControl/>
        <w:spacing w:before="0" w:after="0" w:lineRule="auto" w:line="276"/>
        <w:ind w:firstLine="0"/>
        <w:jc w:val="center"/>
      </w:pPr>
      <w:r>
        <w:rPr>
          <w:rFonts w:ascii="Times New Roman" w:hAnsi="Times New Roman" w:eastAsia="Times New Roman"/>
          <w:b/>
          <w:i w:val="0"/>
          <w:color w:val="000000"/>
          <w:sz w:val="26"/>
        </w:rPr>
        <w:t>requirements for the degree of Master of Science</w:t>
      </w:r>
    </w:p>
    <w:p>
      <w:pPr>
        <w:widowControl/>
        <w:spacing w:before="0" w:after="80" w:lineRule="auto" w:line="276"/>
        <w:ind w:firstLine="0"/>
        <w:jc w:val="center"/>
      </w:pPr>
      <w:r>
        <w:rPr>
          <w:rFonts w:ascii="Times New Roman" w:hAnsi="Times New Roman" w:eastAsia="Times New Roman"/>
          <w:b/>
          <w:i w:val="0"/>
          <w:color w:val="000000"/>
          <w:sz w:val="26"/>
        </w:rPr>
        <w:t>in Conservative Dentistry</w:t>
      </w:r>
    </w:p>
    <w:p>
      <w:pPr>
        <w:widowControl/>
        <w:spacing w:before="0" w:after="160" w:lineRule="auto" w:line="276"/>
        <w:ind w:firstLine="0"/>
        <w:jc w:val="center"/>
      </w:pPr>
      <w:r>
        <w:rPr>
          <w:rFonts w:ascii="Times New Roman" w:hAnsi="Times New Roman" w:eastAsia="Times New Roman"/>
          <w:b/>
          <w:i w:val="0"/>
          <w:color w:val="000000"/>
          <w:sz w:val="26"/>
        </w:rPr>
        <w:t>Academic Year 2024–2025 / 2025–2026</w:t>
      </w:r>
    </w:p>
    <w:p>
      <w:pPr>
        <w:widowControl/>
        <w:spacing w:before="80" w:after="0" w:lineRule="auto" w:line="276"/>
        <w:ind w:firstLine="0"/>
        <w:jc w:val="center"/>
      </w:pPr>
      <w:r>
        <w:rPr>
          <w:rFonts w:ascii="Times New Roman" w:hAnsi="Times New Roman" w:eastAsia="Times New Roman"/>
          <w:b w:val="0"/>
          <w:i w:val="0"/>
          <w:color w:val="000000"/>
          <w:sz w:val="24"/>
        </w:rPr>
        <w:t>Name of Candidate</w:t>
      </w:r>
    </w:p>
    <w:p>
      <w:pPr>
        <w:widowControl/>
        <w:spacing w:before="0" w:after="160" w:lineRule="auto" w:line="276"/>
        <w:ind w:firstLine="0"/>
        <w:jc w:val="center"/>
      </w:pPr>
      <w:r>
        <w:rPr>
          <w:rFonts w:ascii="Times New Roman" w:hAnsi="Times New Roman" w:eastAsia="Times New Roman"/>
          <w:b/>
          <w:i w:val="0"/>
          <w:color w:val="000000"/>
          <w:sz w:val="28"/>
        </w:rPr>
        <w:t>Mohamed Talaat Mohamed AbdelMoaty ElAbd</w:t>
      </w:r>
    </w:p>
    <w:p>
      <w:pPr>
        <w:widowControl/>
        <w:spacing w:before="120" w:after="0" w:lineRule="auto" w:line="276"/>
        <w:ind w:firstLine="0"/>
        <w:jc w:val="left"/>
      </w:pPr>
      <w:r>
        <w:rPr>
          <w:rFonts w:ascii="Times New Roman" w:hAnsi="Times New Roman" w:eastAsia="Times New Roman"/>
          <w:b/>
          <w:i/>
          <w:color w:val="000000"/>
          <w:sz w:val="24"/>
        </w:rPr>
        <w:t>English Title:</w:t>
      </w:r>
    </w:p>
    <w:p>
      <w:pPr>
        <w:widowControl/>
        <w:spacing w:before="40" w:after="120" w:lineRule="auto" w:line="276"/>
        <w:ind w:firstLine="0"/>
        <w:jc w:val="center"/>
      </w:pPr>
      <w:r>
        <w:rPr>
          <w:rFonts w:ascii="Times New Roman" w:hAnsi="Times New Roman" w:eastAsia="Times New Roman"/>
          <w:b/>
          <w:i w:val="0"/>
          <w:color w:val="000000"/>
          <w:sz w:val="26"/>
        </w:rPr>
        <w:t>COMPARATIVE STUDY OF WEAR RESISTANCE AND SURFACE ROUGHNESS OF INJECTABLE VERSUS CONVENTIONAL COMPOSITE RESIN — IN VITRO STUDY</w:t>
      </w:r>
    </w:p>
    <w:p>
      <w:pPr>
        <w:widowControl/>
        <w:spacing w:before="0" w:after="0" w:lineRule="auto" w:line="276"/>
        <w:ind w:firstLine="0"/>
        <w:jc w:val="left"/>
      </w:pPr>
      <w:r>
        <w:rPr>
          <w:rFonts w:ascii="Times New Roman" w:hAnsi="Times New Roman" w:eastAsia="Times New Roman"/>
          <w:b/>
          <w:i/>
          <w:color w:val="000000"/>
          <w:sz w:val="24"/>
        </w:rPr>
        <w:t>Arabic Title:</w:t>
      </w:r>
    </w:p>
    <w:p>
      <w:pPr>
        <w:widowControl/>
        <w:spacing w:before="40" w:after="120" w:lineRule="auto" w:line="276"/>
        <w:ind w:firstLine="0"/>
        <w:jc w:val="center"/>
      </w:pPr>
      <w:r>
        <w:rPr>
          <w:rFonts w:ascii="Times New Roman" w:hAnsi="Times New Roman" w:eastAsia="Times New Roman"/>
          <w:b/>
          <w:i w:val="0"/>
          <w:color w:val="000000"/>
          <w:sz w:val="26"/>
        </w:rPr>
        <w:t>دراسة مقارنة للتآكل وخشونة سطح الراتينج المركب القابل للحقن والتقليدي – دراسة في المختبر</w:t>
      </w:r>
    </w:p>
    <w:p>
      <w:pPr>
        <w:widowControl/>
        <w:spacing w:before="0" w:after="160" w:lineRule="auto" w:line="276"/>
        <w:ind w:firstLine="0"/>
        <w:jc w:val="left"/>
      </w:pPr>
      <w:r>
        <w:rPr>
          <w:rFonts w:ascii="Times New Roman" w:hAnsi="Times New Roman" w:eastAsia="Times New Roman"/>
          <w:b w:val="0"/>
          <w:i w:val="0"/>
          <w:color w:val="000000"/>
          <w:sz w:val="24"/>
        </w:rPr>
        <w:t>Keywords: Surface roughness, wear, injectable composite, conventional composite.</w:t>
      </w:r>
    </w:p>
    <w:p>
      <w:pPr>
        <w:widowControl/>
        <w:spacing w:before="80" w:after="80" w:lineRule="auto" w:line="276"/>
        <w:ind w:firstLine="0"/>
        <w:jc w:val="center"/>
      </w:pPr>
      <w:r>
        <w:rPr>
          <w:rFonts w:ascii="Times New Roman" w:hAnsi="Times New Roman" w:eastAsia="Times New Roman"/>
          <w:b/>
          <w:i w:val="0"/>
          <w:color w:val="000000"/>
          <w:sz w:val="26"/>
        </w:rPr>
        <w:t>Supervision Committee</w:t>
      </w:r>
    </w:p>
    <w:p>
      <w:pPr>
        <w:widowControl/>
        <w:spacing w:before="0" w:after="0" w:lineRule="auto" w:line="276"/>
        <w:ind w:firstLine="0"/>
        <w:jc w:val="center"/>
      </w:pPr>
      <w:r>
        <w:rPr>
          <w:rFonts w:ascii="Times New Roman" w:hAnsi="Times New Roman" w:eastAsia="Times New Roman"/>
          <w:b w:val="0"/>
          <w:i w:val="0"/>
          <w:color w:val="000000"/>
          <w:sz w:val="24"/>
        </w:rPr>
        <w:t>1. Prof. Wegdan M. Abdel-Fattah</w:t>
      </w:r>
    </w:p>
    <w:p>
      <w:pPr>
        <w:widowControl/>
        <w:spacing w:before="0" w:after="0" w:lineRule="auto" w:line="276"/>
        <w:ind w:firstLine="0"/>
        <w:jc w:val="center"/>
      </w:pPr>
      <w:r>
        <w:rPr>
          <w:rFonts w:ascii="Times New Roman" w:hAnsi="Times New Roman" w:eastAsia="Times New Roman"/>
          <w:b w:val="0"/>
          <w:i w:val="0"/>
          <w:color w:val="000000"/>
          <w:sz w:val="24"/>
        </w:rPr>
        <w:t>2. Asst. Prof. Emad M. El-Sayed  (Main supervisor)</w:t>
      </w: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ROLE OF SUPERVISORS</w:t>
      </w:r>
    </w:p>
    <w:p>
      <w:pPr>
        <w:widowControl/>
        <w:spacing w:before="0" w:after="0" w:line="480" w:lineRule="auto"/>
        <w:ind w:left="720" w:hanging="720"/>
        <w:jc w:val="both"/>
      </w:pPr>
      <w:r>
        <w:rPr>
          <w:rFonts w:ascii="Times New Roman" w:hAnsi="Times New Roman" w:eastAsia="Times New Roman"/>
          <w:b w:val="0"/>
          <w:i w:val="0"/>
          <w:color w:val="000000"/>
          <w:sz w:val="24"/>
        </w:rPr>
        <w:t xml:space="preserve">1. </w:t>
      </w:r>
      <w:r>
        <w:rPr>
          <w:rFonts w:ascii="Times New Roman" w:hAnsi="Times New Roman" w:eastAsia="Times New Roman"/>
          <w:b/>
          <w:i w:val="0"/>
          <w:color w:val="000000"/>
          <w:sz w:val="24"/>
        </w:rPr>
        <w:t>Prof. Wegdan M. Abdel-Fattah</w:t>
      </w:r>
    </w:p>
    <w:p>
      <w:pPr>
        <w:widowControl/>
        <w:spacing w:before="0" w:after="0" w:line="480" w:lineRule="auto"/>
        <w:ind w:firstLine="720"/>
        <w:jc w:val="both"/>
      </w:pPr>
      <w:r>
        <w:rPr>
          <w:rFonts w:ascii="Times New Roman" w:hAnsi="Times New Roman" w:eastAsia="Times New Roman"/>
          <w:b w:val="0"/>
          <w:i w:val="0"/>
          <w:color w:val="000000"/>
          <w:sz w:val="24"/>
        </w:rPr>
        <w:t>Conceptualization/formulation of study plan and design of the study.</w:t>
      </w:r>
    </w:p>
    <w:p>
      <w:pPr>
        <w:widowControl/>
        <w:spacing w:before="0" w:after="0" w:line="480" w:lineRule="auto"/>
        <w:ind w:firstLine="720"/>
        <w:jc w:val="both"/>
      </w:pPr>
      <w:r>
        <w:rPr>
          <w:rFonts w:ascii="Times New Roman" w:hAnsi="Times New Roman" w:eastAsia="Times New Roman"/>
          <w:b w:val="0"/>
          <w:i w:val="0"/>
          <w:color w:val="000000"/>
          <w:sz w:val="24"/>
        </w:rPr>
        <w:t>Analysis and interpretation of study results.</w:t>
      </w:r>
    </w:p>
    <w:p>
      <w:pPr>
        <w:widowControl/>
        <w:spacing w:before="0" w:after="0" w:line="480" w:lineRule="auto"/>
        <w:ind w:firstLine="720"/>
        <w:jc w:val="both"/>
      </w:pPr>
      <w:r>
        <w:rPr>
          <w:rFonts w:ascii="Times New Roman" w:hAnsi="Times New Roman" w:eastAsia="Times New Roman"/>
          <w:b w:val="0"/>
          <w:i w:val="0"/>
          <w:color w:val="000000"/>
          <w:sz w:val="24"/>
        </w:rPr>
        <w:t>Supervision of study execution and writing.</w:t>
      </w:r>
    </w:p>
    <w:p>
      <w:pPr>
        <w:widowControl/>
        <w:spacing w:before="0" w:after="0" w:line="480" w:lineRule="auto"/>
        <w:ind w:firstLine="720"/>
        <w:jc w:val="both"/>
      </w:pPr>
      <w:r>
        <w:rPr>
          <w:rFonts w:ascii="Times New Roman" w:hAnsi="Times New Roman" w:eastAsia="Times New Roman"/>
          <w:b w:val="0"/>
          <w:i w:val="0"/>
          <w:color w:val="000000"/>
          <w:sz w:val="24"/>
        </w:rPr>
        <w:t>Guidance of paper/thesis writing</w:t>
      </w:r>
    </w:p>
    <w:p>
      <w:pPr>
        <w:widowControl/>
        <w:spacing w:before="0" w:after="0" w:line="480" w:lineRule="auto"/>
        <w:ind w:left="720" w:hanging="720"/>
        <w:jc w:val="both"/>
      </w:pPr>
      <w:r>
        <w:rPr>
          <w:rFonts w:ascii="Times New Roman" w:hAnsi="Times New Roman" w:eastAsia="Times New Roman"/>
          <w:b w:val="0"/>
          <w:i w:val="0"/>
          <w:color w:val="000000"/>
          <w:sz w:val="24"/>
        </w:rPr>
        <w:t xml:space="preserve">2. </w:t>
      </w:r>
      <w:r>
        <w:rPr>
          <w:rFonts w:ascii="Times New Roman" w:hAnsi="Times New Roman" w:eastAsia="Times New Roman"/>
          <w:b/>
          <w:i w:val="0"/>
          <w:color w:val="000000"/>
          <w:sz w:val="24"/>
        </w:rPr>
        <w:t>Asst. Prof. Emad M. El-Sayed</w:t>
      </w:r>
    </w:p>
    <w:p>
      <w:pPr>
        <w:widowControl/>
        <w:spacing w:before="0" w:after="0" w:line="480" w:lineRule="auto"/>
        <w:ind w:firstLine="720"/>
        <w:jc w:val="both"/>
      </w:pPr>
      <w:r>
        <w:rPr>
          <w:rFonts w:ascii="Times New Roman" w:hAnsi="Times New Roman" w:eastAsia="Times New Roman"/>
          <w:b w:val="0"/>
          <w:i w:val="0"/>
          <w:color w:val="000000"/>
          <w:sz w:val="24"/>
        </w:rPr>
        <w:t>Supervision of the clinical/experimental procedures</w:t>
      </w:r>
    </w:p>
    <w:p>
      <w:pPr>
        <w:widowControl/>
        <w:spacing w:before="0" w:after="0" w:line="480" w:lineRule="auto"/>
        <w:ind w:firstLine="720"/>
        <w:jc w:val="both"/>
      </w:pPr>
      <w:r>
        <w:rPr>
          <w:rFonts w:ascii="Times New Roman" w:hAnsi="Times New Roman" w:eastAsia="Times New Roman"/>
          <w:b w:val="0"/>
          <w:i w:val="0"/>
          <w:color w:val="000000"/>
          <w:sz w:val="24"/>
        </w:rPr>
        <w:t>Conceptualization/formulation of study plan and design of the study.</w:t>
      </w:r>
    </w:p>
    <w:p>
      <w:pPr>
        <w:widowControl/>
        <w:spacing w:before="0" w:after="0" w:line="480" w:lineRule="auto"/>
        <w:ind w:firstLine="720"/>
        <w:jc w:val="both"/>
      </w:pPr>
      <w:r>
        <w:rPr>
          <w:rFonts w:ascii="Times New Roman" w:hAnsi="Times New Roman" w:eastAsia="Times New Roman"/>
          <w:b w:val="0"/>
          <w:i w:val="0"/>
          <w:color w:val="000000"/>
          <w:sz w:val="24"/>
        </w:rPr>
        <w:t>Supervision of study execution and writing.</w:t>
      </w:r>
    </w:p>
    <w:p>
      <w:pPr>
        <w:widowControl/>
        <w:spacing w:before="0" w:after="0" w:line="480" w:lineRule="auto"/>
        <w:ind w:firstLine="720"/>
        <w:jc w:val="both"/>
      </w:pPr>
      <w:r>
        <w:rPr>
          <w:rFonts w:ascii="Times New Roman" w:hAnsi="Times New Roman" w:eastAsia="Times New Roman"/>
          <w:b w:val="0"/>
          <w:i w:val="0"/>
          <w:color w:val="000000"/>
          <w:sz w:val="24"/>
        </w:rPr>
        <w:t>Revising the thesis and/or manuscript</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ACKNOWLEDGEMENTS</w:t>
      </w:r>
    </w:p>
    <w:p>
      <w:pPr>
        <w:widowControl/>
        <w:spacing w:before="0" w:after="0" w:line="480" w:lineRule="auto"/>
        <w:ind w:firstLine="720"/>
        <w:jc w:val="both"/>
      </w:pPr>
      <w:r>
        <w:rPr>
          <w:rFonts w:ascii="Times New Roman" w:hAnsi="Times New Roman" w:eastAsia="Times New Roman"/>
          <w:b w:val="0"/>
          <w:i w:val="0"/>
          <w:color w:val="000000"/>
          <w:sz w:val="24"/>
        </w:rPr>
        <w:t>I wish to thank my supervisors for their guidance throughout the planning and writing of this work, and the laboratory staff who supported the experimental procedures. I am grateful to my family for their patience during the period of study.</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CONTENTS</w:t>
      </w:r>
    </w:p>
    <w:p>
      <w:pPr>
        <w:widowControl/>
        <w:spacing w:before="120" w:after="0" w:lineRule="auto" w:line="276"/>
        <w:ind w:firstLine="0"/>
        <w:jc w:val="left"/>
        <w:tabs>
          <w:tab w:val="right" w:pos="9185"/>
        </w:tabs>
        <w:pBdr>
          <w:bottom w:val="single" w:sz="12" w:space="4" w:color="000000"/>
        </w:pBdr>
      </w:pPr>
      <w:r>
        <w:rPr>
          <w:rFonts w:ascii="Times New Roman" w:hAnsi="Times New Roman" w:eastAsia="Times New Roman"/>
          <w:b/>
          <w:i w:val="0"/>
          <w:color w:val="000000"/>
          <w:sz w:val="24"/>
        </w:rPr>
        <w:t>Contents</w:t>
      </w:r>
      <w:r>
        <w:rPr>
          <w:rFonts w:ascii="Times New Roman" w:hAnsi="Times New Roman" w:eastAsia="Times New Roman"/>
          <w:b/>
          <w:i w:val="0"/>
          <w:color w:val="000000"/>
          <w:sz w:val="24"/>
        </w:rPr>
        <w:tab/>
        <w:t>Page</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ROLE OF SUPERVISORS</w:t>
      </w:r>
      <w:r>
        <w:rPr>
          <w:rFonts w:ascii="Times New Roman" w:hAnsi="Times New Roman" w:eastAsia="Times New Roman"/>
          <w:b w:val="0"/>
          <w:i w:val="0"/>
          <w:color w:val="000000"/>
          <w:sz w:val="24"/>
        </w:rPr>
        <w:tab/>
        <w:t>2</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ACKNOWLEDGEMENTS</w:t>
      </w:r>
      <w:r>
        <w:rPr>
          <w:rFonts w:ascii="Times New Roman" w:hAnsi="Times New Roman" w:eastAsia="Times New Roman"/>
          <w:b w:val="0"/>
          <w:i w:val="0"/>
          <w:color w:val="000000"/>
          <w:sz w:val="24"/>
        </w:rPr>
        <w:tab/>
        <w:t>3</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LIST OF TABLES</w:t>
      </w:r>
      <w:r>
        <w:rPr>
          <w:rFonts w:ascii="Times New Roman" w:hAnsi="Times New Roman" w:eastAsia="Times New Roman"/>
          <w:b w:val="0"/>
          <w:i w:val="0"/>
          <w:color w:val="000000"/>
          <w:sz w:val="24"/>
        </w:rPr>
        <w:tab/>
        <w:t>5</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LIST OF FIGURES</w:t>
      </w:r>
      <w:r>
        <w:rPr>
          <w:rFonts w:ascii="Times New Roman" w:hAnsi="Times New Roman" w:eastAsia="Times New Roman"/>
          <w:b w:val="0"/>
          <w:i w:val="0"/>
          <w:color w:val="000000"/>
          <w:sz w:val="24"/>
        </w:rPr>
        <w:tab/>
        <w:t>6</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LIST OF ABBREVIATIONS</w:t>
      </w:r>
      <w:r>
        <w:rPr>
          <w:rFonts w:ascii="Times New Roman" w:hAnsi="Times New Roman" w:eastAsia="Times New Roman"/>
          <w:b w:val="0"/>
          <w:i w:val="0"/>
          <w:color w:val="000000"/>
          <w:sz w:val="24"/>
        </w:rPr>
        <w:tab/>
        <w:t>7</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ABSTRACT</w:t>
      </w:r>
      <w:r>
        <w:rPr>
          <w:rFonts w:ascii="Times New Roman" w:hAnsi="Times New Roman" w:eastAsia="Times New Roman"/>
          <w:b w:val="0"/>
          <w:i w:val="0"/>
          <w:color w:val="000000"/>
          <w:sz w:val="24"/>
        </w:rPr>
        <w:tab/>
        <w:t>8</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INTRODUCTION</w:t>
      </w:r>
      <w:r>
        <w:rPr>
          <w:rFonts w:ascii="Times New Roman" w:hAnsi="Times New Roman" w:eastAsia="Times New Roman"/>
          <w:b w:val="0"/>
          <w:i w:val="0"/>
          <w:color w:val="000000"/>
          <w:sz w:val="24"/>
        </w:rPr>
        <w:tab/>
        <w:t>10</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REVIEW OF LITERATURE</w:t>
      </w:r>
      <w:r>
        <w:rPr>
          <w:rFonts w:ascii="Times New Roman" w:hAnsi="Times New Roman" w:eastAsia="Times New Roman"/>
          <w:b w:val="0"/>
          <w:i w:val="0"/>
          <w:color w:val="000000"/>
          <w:sz w:val="24"/>
        </w:rPr>
        <w:tab/>
        <w:t>13</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MATERIALS AND METHODS</w:t>
      </w:r>
      <w:r>
        <w:rPr>
          <w:rFonts w:ascii="Times New Roman" w:hAnsi="Times New Roman" w:eastAsia="Times New Roman"/>
          <w:b w:val="0"/>
          <w:i w:val="0"/>
          <w:color w:val="000000"/>
          <w:sz w:val="24"/>
        </w:rPr>
        <w:tab/>
        <w:t>20</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RESULTS</w:t>
      </w:r>
      <w:r>
        <w:rPr>
          <w:rFonts w:ascii="Times New Roman" w:hAnsi="Times New Roman" w:eastAsia="Times New Roman"/>
          <w:b w:val="0"/>
          <w:i w:val="0"/>
          <w:color w:val="000000"/>
          <w:sz w:val="24"/>
        </w:rPr>
        <w:tab/>
        <w:t>24</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DISCUSSION</w:t>
      </w:r>
      <w:r>
        <w:rPr>
          <w:rFonts w:ascii="Times New Roman" w:hAnsi="Times New Roman" w:eastAsia="Times New Roman"/>
          <w:b w:val="0"/>
          <w:i w:val="0"/>
          <w:color w:val="000000"/>
          <w:sz w:val="24"/>
        </w:rPr>
        <w:tab/>
        <w:t>30</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CONCLUSIONS AND RECOMMENDATIONS</w:t>
      </w:r>
      <w:r>
        <w:rPr>
          <w:rFonts w:ascii="Times New Roman" w:hAnsi="Times New Roman" w:eastAsia="Times New Roman"/>
          <w:b w:val="0"/>
          <w:i w:val="0"/>
          <w:color w:val="000000"/>
          <w:sz w:val="24"/>
        </w:rPr>
        <w:tab/>
        <w:t>36</w:t>
      </w:r>
    </w:p>
    <w:p>
      <w:pPr>
        <w:widowControl/>
        <w:spacing w:before="0" w:after="0" w:line="480" w:lineRule="auto"/>
        <w:ind w:firstLine="0"/>
        <w:jc w:val="left"/>
        <w:tabs>
          <w:tab w:val="right" w:pos="9185"/>
        </w:tabs>
      </w:pPr>
      <w:r>
        <w:rPr>
          <w:rFonts w:ascii="Times New Roman" w:hAnsi="Times New Roman" w:eastAsia="Times New Roman"/>
          <w:b w:val="0"/>
          <w:i w:val="0"/>
          <w:color w:val="000000"/>
          <w:sz w:val="24"/>
        </w:rPr>
        <w:t>– REFERENCES</w:t>
      </w:r>
      <w:r>
        <w:rPr>
          <w:rFonts w:ascii="Times New Roman" w:hAnsi="Times New Roman" w:eastAsia="Times New Roman"/>
          <w:b w:val="0"/>
          <w:i w:val="0"/>
          <w:color w:val="000000"/>
          <w:sz w:val="24"/>
        </w:rPr>
        <w:tab/>
        <w:t>38</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LIST OF TABLES</w:t>
      </w:r>
    </w:p>
    <w:p>
      <w:pPr>
        <w:widowControl/>
        <w:spacing w:before="0" w:after="0" w:line="480" w:lineRule="auto"/>
        <w:ind w:firstLine="0"/>
        <w:jc w:val="both"/>
      </w:pPr>
      <w:r>
        <w:rPr>
          <w:rFonts w:ascii="Times New Roman" w:hAnsi="Times New Roman" w:eastAsia="Times New Roman"/>
          <w:b w:val="0"/>
          <w:i w:val="0"/>
          <w:color w:val="000000"/>
          <w:sz w:val="24"/>
        </w:rPr>
        <w:t>– Table 3.1 Composition of the resin composites</w:t>
      </w:r>
    </w:p>
    <w:p>
      <w:pPr>
        <w:widowControl/>
        <w:spacing w:before="0" w:after="0" w:line="480" w:lineRule="auto"/>
        <w:ind w:firstLine="0"/>
        <w:jc w:val="both"/>
      </w:pPr>
      <w:r>
        <w:rPr>
          <w:rFonts w:ascii="Times New Roman" w:hAnsi="Times New Roman" w:eastAsia="Times New Roman"/>
          <w:b w:val="0"/>
          <w:i w:val="0"/>
          <w:color w:val="000000"/>
          <w:sz w:val="24"/>
        </w:rPr>
        <w:t>– Table 4.1 Weight before and after brushing and percentage weight loss</w:t>
      </w:r>
    </w:p>
    <w:p>
      <w:pPr>
        <w:widowControl/>
        <w:spacing w:before="0" w:after="0" w:line="480" w:lineRule="auto"/>
        <w:ind w:firstLine="0"/>
        <w:jc w:val="both"/>
      </w:pPr>
      <w:r>
        <w:rPr>
          <w:rFonts w:ascii="Times New Roman" w:hAnsi="Times New Roman" w:eastAsia="Times New Roman"/>
          <w:b w:val="0"/>
          <w:i w:val="0"/>
          <w:color w:val="000000"/>
          <w:sz w:val="24"/>
        </w:rPr>
        <w:t>– Table 4.2 Absolute weight loss after 10 000 brushing cycles</w:t>
      </w:r>
    </w:p>
    <w:p>
      <w:pPr>
        <w:widowControl/>
        <w:spacing w:before="0" w:after="0" w:line="480" w:lineRule="auto"/>
        <w:ind w:firstLine="0"/>
        <w:jc w:val="both"/>
      </w:pPr>
      <w:r>
        <w:rPr>
          <w:rFonts w:ascii="Times New Roman" w:hAnsi="Times New Roman" w:eastAsia="Times New Roman"/>
          <w:b w:val="0"/>
          <w:i w:val="0"/>
          <w:color w:val="000000"/>
          <w:sz w:val="24"/>
        </w:rPr>
        <w:t>– Table 4.3 Ra before and after brushing and ΔRa</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LIST OF FIGURES</w:t>
      </w:r>
    </w:p>
    <w:p>
      <w:pPr>
        <w:widowControl/>
        <w:spacing w:before="0" w:after="0" w:line="480" w:lineRule="auto"/>
        <w:ind w:firstLine="0"/>
        <w:jc w:val="both"/>
      </w:pPr>
      <w:r>
        <w:rPr>
          <w:rFonts w:ascii="Times New Roman" w:hAnsi="Times New Roman" w:eastAsia="Times New Roman"/>
          <w:b w:val="0"/>
          <w:i w:val="0"/>
          <w:color w:val="000000"/>
          <w:sz w:val="24"/>
        </w:rPr>
        <w:t>– Figure 4.1 Mean percentage weight loss after 10 000 brushing cycles</w:t>
      </w:r>
    </w:p>
    <w:p>
      <w:pPr>
        <w:widowControl/>
        <w:spacing w:before="0" w:after="0" w:line="480" w:lineRule="auto"/>
        <w:ind w:firstLine="0"/>
        <w:jc w:val="both"/>
      </w:pPr>
      <w:r>
        <w:rPr>
          <w:rFonts w:ascii="Times New Roman" w:hAnsi="Times New Roman" w:eastAsia="Times New Roman"/>
          <w:b w:val="0"/>
          <w:i w:val="0"/>
          <w:color w:val="000000"/>
          <w:sz w:val="24"/>
        </w:rPr>
        <w:t>– Figure 4.2 Mean Ra before and after brushing, with the 0.2 µm plaque-retention threshold</w:t>
      </w:r>
    </w:p>
    <w:p>
      <w:pPr>
        <w:widowControl/>
        <w:spacing w:before="0" w:after="0" w:line="480" w:lineRule="auto"/>
        <w:ind w:firstLine="0"/>
        <w:jc w:val="both"/>
      </w:pPr>
      <w:r>
        <w:rPr>
          <w:rFonts w:ascii="Times New Roman" w:hAnsi="Times New Roman" w:eastAsia="Times New Roman"/>
          <w:b w:val="0"/>
          <w:i w:val="0"/>
          <w:color w:val="000000"/>
          <w:sz w:val="24"/>
        </w:rPr>
        <w:t>– Figure 4.3 Mean change in surface roughness (ΔRa)</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LIST OF ABBREVIATIONS</w:t>
      </w:r>
    </w:p>
    <w:p>
      <w:pPr>
        <w:widowControl/>
        <w:spacing w:before="0" w:after="0" w:line="480" w:lineRule="auto"/>
        <w:ind w:firstLine="720"/>
        <w:jc w:val="both"/>
      </w:pPr>
      <w:r>
        <w:rPr>
          <w:rFonts w:ascii="Times New Roman" w:hAnsi="Times New Roman" w:eastAsia="Times New Roman"/>
          <w:b w:val="0"/>
          <w:i w:val="0"/>
          <w:color w:val="000000"/>
          <w:sz w:val="24"/>
        </w:rPr>
        <w:t>ANOVA — analysis of variance</w:t>
      </w:r>
    </w:p>
    <w:p>
      <w:pPr>
        <w:widowControl/>
        <w:spacing w:before="0" w:after="0" w:line="480" w:lineRule="auto"/>
        <w:ind w:firstLine="720"/>
        <w:jc w:val="both"/>
      </w:pPr>
      <w:r>
        <w:rPr>
          <w:rFonts w:ascii="Times New Roman" w:hAnsi="Times New Roman" w:eastAsia="Times New Roman"/>
          <w:b w:val="0"/>
          <w:i w:val="0"/>
          <w:color w:val="000000"/>
          <w:sz w:val="24"/>
        </w:rPr>
        <w:t>ISO — International Organization for Standardization</w:t>
      </w:r>
    </w:p>
    <w:p>
      <w:pPr>
        <w:widowControl/>
        <w:spacing w:before="0" w:after="0" w:line="480" w:lineRule="auto"/>
        <w:ind w:firstLine="720"/>
        <w:jc w:val="both"/>
      </w:pPr>
      <w:r>
        <w:rPr>
          <w:rFonts w:ascii="Times New Roman" w:hAnsi="Times New Roman" w:eastAsia="Times New Roman"/>
          <w:b w:val="0"/>
          <w:i w:val="0"/>
          <w:color w:val="000000"/>
          <w:sz w:val="24"/>
        </w:rPr>
        <w:t>Ra — arithmetic mean roughness</w:t>
      </w:r>
    </w:p>
    <w:p>
      <w:pPr>
        <w:widowControl/>
        <w:spacing w:before="0" w:after="0" w:line="480" w:lineRule="auto"/>
        <w:ind w:firstLine="720"/>
        <w:jc w:val="both"/>
      </w:pPr>
      <w:r>
        <w:rPr>
          <w:rFonts w:ascii="Times New Roman" w:hAnsi="Times New Roman" w:eastAsia="Times New Roman"/>
          <w:b w:val="0"/>
          <w:i w:val="0"/>
          <w:color w:val="000000"/>
          <w:sz w:val="24"/>
        </w:rPr>
        <w:t>RDA — relative dentine abrasivity</w:t>
      </w:r>
    </w:p>
    <w:p>
      <w:pPr>
        <w:widowControl/>
        <w:spacing w:before="0" w:after="0" w:line="480" w:lineRule="auto"/>
        <w:ind w:firstLine="720"/>
        <w:jc w:val="both"/>
      </w:pPr>
      <w:r>
        <w:rPr>
          <w:rFonts w:ascii="Times New Roman" w:hAnsi="Times New Roman" w:eastAsia="Times New Roman"/>
          <w:b w:val="0"/>
          <w:i w:val="0"/>
          <w:color w:val="000000"/>
          <w:sz w:val="24"/>
        </w:rPr>
        <w:t>SD — standard deviation</w:t>
      </w:r>
    </w:p>
    <w:p>
      <w:pPr>
        <w:widowControl/>
        <w:spacing w:before="0" w:after="0" w:line="480" w:lineRule="auto"/>
        <w:ind w:firstLine="720"/>
        <w:jc w:val="both"/>
      </w:pPr>
      <w:r>
        <w:rPr>
          <w:rFonts w:ascii="Times New Roman" w:hAnsi="Times New Roman" w:eastAsia="Times New Roman"/>
          <w:b w:val="0"/>
          <w:i w:val="0"/>
          <w:color w:val="000000"/>
          <w:sz w:val="24"/>
        </w:rPr>
        <w:t>S-PRG — surface pre-reacted glass-ionomer</w:t>
      </w:r>
    </w:p>
    <w:p>
      <w:pPr>
        <w:widowControl/>
        <w:spacing w:before="0" w:after="0" w:line="480" w:lineRule="auto"/>
        <w:ind w:firstLine="720"/>
        <w:jc w:val="both"/>
      </w:pPr>
      <w:r>
        <w:rPr>
          <w:rFonts w:ascii="Times New Roman" w:hAnsi="Times New Roman" w:eastAsia="Times New Roman"/>
          <w:b w:val="0"/>
          <w:i w:val="0"/>
          <w:color w:val="000000"/>
          <w:sz w:val="24"/>
        </w:rPr>
        <w:t>ΔRa — change in Ra (after − before)</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ABSTRACT</w:t>
      </w:r>
    </w:p>
    <w:p>
      <w:pPr>
        <w:widowControl/>
        <w:spacing w:before="0" w:after="0" w:line="480" w:lineRule="auto"/>
        <w:ind w:firstLine="720"/>
        <w:jc w:val="both"/>
      </w:pPr>
      <w:r>
        <w:rPr>
          <w:rFonts w:ascii="Times New Roman" w:hAnsi="Times New Roman" w:eastAsia="Times New Roman"/>
          <w:b/>
          <w:i w:val="0"/>
          <w:color w:val="000000"/>
          <w:sz w:val="24"/>
        </w:rPr>
        <w:t>Background.</w:t>
      </w:r>
      <w:r>
        <w:rPr>
          <w:rFonts w:ascii="Times New Roman" w:hAnsi="Times New Roman" w:eastAsia="Times New Roman"/>
          <w:b w:val="0"/>
          <w:i w:val="0"/>
          <w:color w:val="000000"/>
          <w:sz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eastAsia="Times New Roman"/>
          <w:b/>
          <w:i w:val="0"/>
          <w:color w:val="000000"/>
          <w:sz w:val="24"/>
        </w:rPr>
        <w:t>Aim.</w:t>
      </w:r>
      <w:r>
        <w:rPr>
          <w:rFonts w:ascii="Times New Roman" w:hAnsi="Times New Roman" w:eastAsia="Times New Roman"/>
          <w:b w:val="0"/>
          <w:i w:val="0"/>
          <w:color w:val="000000"/>
          <w:sz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eastAsia="Times New Roman"/>
          <w:b/>
          <w:i w:val="0"/>
          <w:color w:val="000000"/>
          <w:sz w:val="24"/>
        </w:rPr>
        <w:t>Methods.</w:t>
      </w:r>
      <w:r>
        <w:rPr>
          <w:rFonts w:ascii="Times New Roman" w:hAnsi="Times New Roman" w:eastAsia="Times New Roman"/>
          <w:b w:val="0"/>
          <w:i w:val="0"/>
          <w:color w:val="000000"/>
          <w:sz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eastAsia="Times New Roman"/>
          <w:b/>
          <w:i w:val="0"/>
          <w:color w:val="000000"/>
          <w:sz w:val="24"/>
        </w:rPr>
        <w:t>Results.</w:t>
      </w:r>
      <w:r>
        <w:rPr>
          <w:rFonts w:ascii="Times New Roman" w:hAnsi="Times New Roman" w:eastAsia="Times New Roman"/>
          <w:b w:val="0"/>
          <w:i w:val="0"/>
          <w:color w:val="000000"/>
          <w:sz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eastAsia="Times New Roman"/>
          <w:b/>
          <w:i w:val="0"/>
          <w:color w:val="000000"/>
          <w:sz w:val="24"/>
        </w:rPr>
        <w:t>Conclusions.</w:t>
      </w:r>
      <w:r>
        <w:rPr>
          <w:rFonts w:ascii="Times New Roman" w:hAnsi="Times New Roman" w:eastAsia="Times New Roman"/>
          <w:b w:val="0"/>
          <w:i w:val="0"/>
          <w:color w:val="000000"/>
          <w:sz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Injectable composite; nanohybrid composite; toothbrush abrasion; wear; surface roughness; giomer.</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1</w:t>
      </w:r>
    </w:p>
    <w:p>
      <w:pPr>
        <w:keepNext/>
        <w:widowControl/>
        <w:spacing w:before="0" w:after="360" w:lineRule="auto" w:line="276"/>
        <w:ind w:firstLine="0"/>
        <w:jc w:val="center"/>
      </w:pPr>
      <w:r>
        <w:rPr>
          <w:rFonts w:ascii="Times New Roman" w:hAnsi="Times New Roman" w:eastAsia="Times New Roman"/>
          <w:b/>
          <w:i w:val="0"/>
          <w:color w:val="000000"/>
          <w:sz w:val="36"/>
        </w:rPr>
        <w:t>INTRODUCTION</w:t>
      </w:r>
    </w:p>
    <w:p>
      <w:pPr>
        <w:widowControl/>
        <w:spacing w:before="0" w:after="0" w:line="480" w:lineRule="auto"/>
        <w:ind w:firstLine="720"/>
        <w:jc w:val="both"/>
      </w:pPr>
      <w:r>
        <w:rPr>
          <w:rFonts w:ascii="Times New Roman" w:hAnsi="Times New Roman" w:eastAsia="Times New Roman"/>
          <w:b w:val="0"/>
          <w:i w:val="0"/>
          <w:color w:val="000000"/>
          <w:sz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eastAsia="Times New Roman"/>
          <w:b w:val="0"/>
          <w:i w:val="0"/>
          <w:color w:val="000000"/>
          <w:sz w:val="24"/>
          <w:vertAlign w:val="superscript"/>
        </w:rPr>
        <w:t>(1,2)</w:t>
      </w:r>
      <w:r>
        <w:rPr>
          <w:rFonts w:ascii="Times New Roman" w:hAnsi="Times New Roman" w:eastAsia="Times New Roman"/>
          <w:b w:val="0"/>
          <w:i w:val="0"/>
          <w:color w:val="000000"/>
          <w:sz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eastAsia="Times New Roman"/>
          <w:b w:val="0"/>
          <w:i w:val="0"/>
          <w:color w:val="000000"/>
          <w:sz w:val="24"/>
          <w:vertAlign w:val="superscript"/>
        </w:rPr>
        <w:t>(3,4)</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yet are offered for use in Class I and II restorations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Two such products, G-ænial Universal Injectable (GC Corporation, Tokyo, Japan) and Beautifil Flow Plus X F00 (Shofu Inc., Kyoto, Japan), are now in routine clinical use. Beautifil II LS (Shofu Inc.), a sculptable low-shrinkage nanohybrid giomer, remains a representative conventional paste and was chosen as the control material for the present work.</w:t>
      </w:r>
    </w:p>
    <w:p>
      <w:pPr>
        <w:widowControl/>
        <w:spacing w:before="0" w:after="0" w:line="480" w:lineRule="auto"/>
        <w:ind w:firstLine="720"/>
        <w:jc w:val="both"/>
      </w:pPr>
      <w:r>
        <w:rPr>
          <w:rFonts w:ascii="Times New Roman" w:hAnsi="Times New Roman" w:eastAsia="Times New Roman"/>
          <w:b w:val="0"/>
          <w:i w:val="0"/>
          <w:color w:val="000000"/>
          <w:sz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Those data describe occlusal-contact wear. They do not describe the three-body abrasion produced by a toothbrush and a dentifrice slurry, which is the wear mode that acts on free cleanable surfaces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eastAsia="Times New Roman"/>
          <w:b w:val="0"/>
          <w:i w:val="0"/>
          <w:color w:val="000000"/>
          <w:sz w:val="24"/>
          <w:vertAlign w:val="superscript"/>
        </w:rPr>
        <w:t>(3,7,8)</w:t>
      </w:r>
      <w:r>
        <w:rPr>
          <w:rFonts w:ascii="Times New Roman" w:hAnsi="Times New Roman" w:eastAsia="Times New Roman"/>
          <w:b w:val="0"/>
          <w:i w:val="0"/>
          <w:color w:val="000000"/>
          <w:sz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eastAsia="Times New Roman"/>
          <w:b w:val="0"/>
          <w:i w:val="0"/>
          <w:color w:val="000000"/>
          <w:sz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eastAsia="Times New Roman"/>
          <w:b w:val="0"/>
          <w:i w:val="0"/>
          <w:color w:val="000000"/>
          <w:sz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keepNext/>
        <w:widowControl/>
        <w:spacing w:before="240" w:after="0" w:line="480" w:lineRule="auto"/>
        <w:ind w:firstLine="0"/>
        <w:jc w:val="left"/>
      </w:pPr>
      <w:r>
        <w:rPr>
          <w:rFonts w:ascii="Times New Roman" w:hAnsi="Times New Roman" w:eastAsia="Times New Roman"/>
          <w:b/>
          <w:i w:val="0"/>
          <w:color w:val="000000"/>
          <w:sz w:val="28"/>
        </w:rPr>
        <w:t>1.1 Aim of the study</w:t>
      </w:r>
    </w:p>
    <w:p>
      <w:pPr>
        <w:widowControl/>
        <w:spacing w:before="0" w:after="0" w:line="480" w:lineRule="auto"/>
        <w:ind w:firstLine="720"/>
        <w:jc w:val="both"/>
      </w:pPr>
      <w:r>
        <w:rPr>
          <w:rFonts w:ascii="Times New Roman" w:hAnsi="Times New Roman" w:eastAsia="Times New Roman"/>
          <w:b w:val="0"/>
          <w:i w:val="0"/>
          <w:color w:val="000000"/>
          <w:sz w:val="24"/>
        </w:rPr>
        <w:t>To compare wear resistance, expressed as percentage weight loss, and surface roughness (Ra) of two highly filled injectable composites with a conventional nanohybrid composite after standardised toothbrushing.</w:t>
      </w:r>
    </w:p>
    <w:p>
      <w:pPr>
        <w:keepNext/>
        <w:widowControl/>
        <w:spacing w:before="240" w:after="0" w:line="480" w:lineRule="auto"/>
        <w:ind w:firstLine="0"/>
        <w:jc w:val="left"/>
      </w:pPr>
      <w:r>
        <w:rPr>
          <w:rFonts w:ascii="Times New Roman" w:hAnsi="Times New Roman" w:eastAsia="Times New Roman"/>
          <w:b/>
          <w:i w:val="0"/>
          <w:color w:val="000000"/>
          <w:sz w:val="28"/>
        </w:rPr>
        <w:t>1.2 Objectives</w:t>
      </w:r>
    </w:p>
    <w:p>
      <w:pPr>
        <w:widowControl/>
        <w:spacing w:before="0" w:after="0" w:line="480" w:lineRule="auto"/>
        <w:ind w:left="720" w:hanging="72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widowControl/>
        <w:spacing w:before="0" w:after="0" w:line="480" w:lineRule="auto"/>
        <w:ind w:left="720" w:hanging="720"/>
        <w:jc w:val="both"/>
      </w:pPr>
      <w:r>
        <w:rPr>
          <w:rFonts w:ascii="Times New Roman" w:hAnsi="Times New Roman" w:eastAsia="Times New Roman"/>
          <w:b w:val="0"/>
          <w:i w:val="0"/>
          <w:color w:val="000000"/>
          <w:sz w:val="24"/>
        </w:rPr>
        <w:t>2. To measure Ra before and after the same abrasion and to calculate ΔRa.</w:t>
      </w:r>
    </w:p>
    <w:p>
      <w:pPr>
        <w:widowControl/>
        <w:spacing w:before="0" w:after="0" w:line="480" w:lineRule="auto"/>
        <w:ind w:left="720" w:hanging="720"/>
        <w:jc w:val="both"/>
      </w:pPr>
      <w:r>
        <w:rPr>
          <w:rFonts w:ascii="Times New Roman" w:hAnsi="Times New Roman" w:eastAsia="Times New Roman"/>
          <w:b w:val="0"/>
          <w:i w:val="0"/>
          <w:color w:val="000000"/>
          <w:sz w:val="24"/>
        </w:rPr>
        <w:t>3. To compare the three materials using the statistical tests appropriate to each outcome.</w:t>
      </w:r>
    </w:p>
    <w:p>
      <w:pPr>
        <w:keepNext/>
        <w:widowControl/>
        <w:spacing w:before="240" w:after="0" w:line="480" w:lineRule="auto"/>
        <w:ind w:firstLine="0"/>
        <w:jc w:val="left"/>
      </w:pPr>
      <w:r>
        <w:rPr>
          <w:rFonts w:ascii="Times New Roman" w:hAnsi="Times New Roman" w:eastAsia="Times New Roman"/>
          <w:b/>
          <w:i w:val="0"/>
          <w:color w:val="000000"/>
          <w:sz w:val="28"/>
        </w:rPr>
        <w:t>1.3 Null hypotheses</w:t>
      </w:r>
    </w:p>
    <w:p>
      <w:pPr>
        <w:widowControl/>
        <w:spacing w:before="0" w:after="0" w:line="480" w:lineRule="auto"/>
        <w:ind w:left="720" w:hanging="72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widowControl/>
        <w:spacing w:before="0" w:after="0" w:line="480" w:lineRule="auto"/>
        <w:ind w:left="720" w:hanging="720"/>
        <w:jc w:val="both"/>
      </w:pPr>
      <w:r>
        <w:rPr>
          <w:rFonts w:ascii="Times New Roman" w:hAnsi="Times New Roman" w:eastAsia="Times New Roman"/>
          <w:b w:val="0"/>
          <w:i w:val="0"/>
          <w:color w:val="000000"/>
          <w:sz w:val="24"/>
        </w:rPr>
        <w:t>2. There is no significant difference in Ra after toothbrushing among the same three materials.</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2</w:t>
      </w:r>
    </w:p>
    <w:p>
      <w:pPr>
        <w:keepNext/>
        <w:widowControl/>
        <w:spacing w:before="0" w:after="360" w:lineRule="auto" w:line="276"/>
        <w:ind w:firstLine="0"/>
        <w:jc w:val="center"/>
      </w:pPr>
      <w:r>
        <w:rPr>
          <w:rFonts w:ascii="Times New Roman" w:hAnsi="Times New Roman" w:eastAsia="Times New Roman"/>
          <w:b/>
          <w:i w:val="0"/>
          <w:color w:val="000000"/>
          <w:sz w:val="36"/>
        </w:rPr>
        <w:t>REVIEW OF LITERATURE</w:t>
      </w:r>
    </w:p>
    <w:p>
      <w:pPr>
        <w:keepNext/>
        <w:widowControl/>
        <w:spacing w:before="240" w:after="0" w:line="480" w:lineRule="auto"/>
        <w:ind w:firstLine="0"/>
        <w:jc w:val="left"/>
      </w:pPr>
      <w:r>
        <w:rPr>
          <w:rFonts w:ascii="Times New Roman" w:hAnsi="Times New Roman" w:eastAsia="Times New Roman"/>
          <w:b/>
          <w:i w:val="0"/>
          <w:color w:val="000000"/>
          <w:sz w:val="28"/>
        </w:rPr>
        <w:t>2.1 Wear of restorative resins</w:t>
      </w:r>
    </w:p>
    <w:p>
      <w:pPr>
        <w:widowControl/>
        <w:spacing w:before="0" w:after="0" w:line="480" w:lineRule="auto"/>
        <w:ind w:firstLine="720"/>
        <w:jc w:val="both"/>
      </w:pPr>
      <w:r>
        <w:rPr>
          <w:rFonts w:ascii="Times New Roman" w:hAnsi="Times New Roman" w:eastAsia="Times New Roman"/>
          <w:b w:val="0"/>
          <w:i w:val="0"/>
          <w:color w:val="000000"/>
          <w:sz w:val="24"/>
        </w:rPr>
        <w:t xml:space="preserve">Wear is the progressive loss of substance from two surfaces that are in relative motion </w:t>
      </w:r>
      <w:r>
        <w:rPr>
          <w:rFonts w:ascii="Times New Roman" w:hAnsi="Times New Roman" w:eastAsia="Times New Roman"/>
          <w:b w:val="0"/>
          <w:i w:val="0"/>
          <w:color w:val="000000"/>
          <w:sz w:val="24"/>
          <w:vertAlign w:val="superscript"/>
        </w:rPr>
        <w:t>(9)</w:t>
      </w:r>
      <w:r>
        <w:rPr>
          <w:rFonts w:ascii="Times New Roman" w:hAnsi="Times New Roman" w:eastAsia="Times New Roman"/>
          <w:b w:val="0"/>
          <w:i w:val="0"/>
          <w:color w:val="000000"/>
          <w:sz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eastAsia="Times New Roman"/>
          <w:b w:val="0"/>
          <w:i w:val="0"/>
          <w:color w:val="000000"/>
          <w:sz w:val="24"/>
          <w:vertAlign w:val="superscript"/>
        </w:rPr>
        <w:t>(9,10)</w:t>
      </w:r>
      <w:r>
        <w:rPr>
          <w:rFonts w:ascii="Times New Roman" w:hAnsi="Times New Roman" w:eastAsia="Times New Roman"/>
          <w:b w:val="0"/>
          <w:i w:val="0"/>
          <w:color w:val="000000"/>
          <w:sz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eastAsia="Times New Roman"/>
          <w:b w:val="0"/>
          <w:i w:val="0"/>
          <w:color w:val="000000"/>
          <w:sz w:val="24"/>
          <w:vertAlign w:val="superscript"/>
        </w:rPr>
        <w:t>(10)</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eastAsia="Times New Roman"/>
          <w:b w:val="0"/>
          <w:i w:val="0"/>
          <w:color w:val="000000"/>
          <w:sz w:val="24"/>
          <w:vertAlign w:val="superscript"/>
        </w:rPr>
        <w:t>(11,12)</w:t>
      </w:r>
      <w:r>
        <w:rPr>
          <w:rFonts w:ascii="Times New Roman" w:hAnsi="Times New Roman" w:eastAsia="Times New Roman"/>
          <w:b w:val="0"/>
          <w:i w:val="0"/>
          <w:color w:val="000000"/>
          <w:sz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eastAsia="Times New Roman"/>
          <w:b w:val="0"/>
          <w:i w:val="0"/>
          <w:color w:val="000000"/>
          <w:sz w:val="24"/>
          <w:vertAlign w:val="superscript"/>
        </w:rPr>
        <w:t>(12)</w:t>
      </w:r>
      <w:r>
        <w:rPr>
          <w:rFonts w:ascii="Times New Roman" w:hAnsi="Times New Roman" w:eastAsia="Times New Roman"/>
          <w:b w:val="0"/>
          <w:i w:val="0"/>
          <w:color w:val="000000"/>
          <w:sz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eastAsia="Times New Roman"/>
          <w:b w:val="0"/>
          <w:i w:val="0"/>
          <w:color w:val="000000"/>
          <w:sz w:val="24"/>
          <w:vertAlign w:val="superscript"/>
        </w:rPr>
        <w:t>(24)</w:t>
      </w:r>
      <w:r>
        <w:rPr>
          <w:rFonts w:ascii="Times New Roman" w:hAnsi="Times New Roman" w:eastAsia="Times New Roman"/>
          <w:b w:val="0"/>
          <w:i w:val="0"/>
          <w:color w:val="000000"/>
          <w:sz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eastAsia="Times New Roman"/>
          <w:b w:val="0"/>
          <w:i w:val="0"/>
          <w:color w:val="000000"/>
          <w:sz w:val="24"/>
        </w:rPr>
        <w:t xml:space="preserve">Classical flowable resins, filled at approximately 40–55 wt%, wear more rapidly than packable hybrids for precisely these reasons </w:t>
      </w:r>
      <w:r>
        <w:rPr>
          <w:rFonts w:ascii="Times New Roman" w:hAnsi="Times New Roman" w:eastAsia="Times New Roman"/>
          <w:b w:val="0"/>
          <w:i w:val="0"/>
          <w:color w:val="000000"/>
          <w:sz w:val="24"/>
          <w:vertAlign w:val="superscript"/>
        </w:rPr>
        <w:t>(5,13)</w:t>
      </w:r>
      <w:r>
        <w:rPr>
          <w:rFonts w:ascii="Times New Roman" w:hAnsi="Times New Roman" w:eastAsia="Times New Roman"/>
          <w:b w:val="0"/>
          <w:i w:val="0"/>
          <w:color w:val="000000"/>
          <w:sz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eastAsia="Times New Roman"/>
          <w:b w:val="0"/>
          <w:i w:val="0"/>
          <w:color w:val="000000"/>
          <w:sz w:val="24"/>
          <w:vertAlign w:val="superscript"/>
        </w:rPr>
        <w:t>(6,12)</w:t>
      </w:r>
      <w:r>
        <w:rPr>
          <w:rFonts w:ascii="Times New Roman" w:hAnsi="Times New Roman" w:eastAsia="Times New Roman"/>
          <w:b w:val="0"/>
          <w:i w:val="0"/>
          <w:color w:val="000000"/>
          <w:sz w:val="24"/>
        </w:rPr>
        <w:t xml:space="preserve">. Beautifil II LS is listed at 68 vol% </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Laboratory evaluation of toothbrush wear follows ISO/TR 14569-1 </w:t>
      </w:r>
      <w:r>
        <w:rPr>
          <w:rFonts w:ascii="Times New Roman" w:hAnsi="Times New Roman" w:eastAsia="Times New Roman"/>
          <w:b w:val="0"/>
          <w:i w:val="0"/>
          <w:color w:val="000000"/>
          <w:sz w:val="24"/>
          <w:vertAlign w:val="superscript"/>
        </w:rPr>
        <w:t>(3)</w:t>
      </w:r>
      <w:r>
        <w:rPr>
          <w:rFonts w:ascii="Times New Roman" w:hAnsi="Times New Roman" w:eastAsia="Times New Roman"/>
          <w:b w:val="0"/>
          <w:i w:val="0"/>
          <w:color w:val="000000"/>
          <w:sz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eastAsia="Times New Roman"/>
          <w:b w:val="0"/>
          <w:i w:val="0"/>
          <w:color w:val="000000"/>
          <w:sz w:val="24"/>
          <w:vertAlign w:val="superscript"/>
        </w:rPr>
        <w:t>(3,14)</w:t>
      </w:r>
      <w:r>
        <w:rPr>
          <w:rFonts w:ascii="Times New Roman" w:hAnsi="Times New Roman" w:eastAsia="Times New Roman"/>
          <w:b w:val="0"/>
          <w:i w:val="0"/>
          <w:color w:val="000000"/>
          <w:sz w:val="24"/>
        </w:rPr>
        <w:t xml:space="preserve">. Sexson and Phillips estimated that a patient who makes about fifteen strokes per surface, twice daily, produces of the order of 10 000 strokes in a year </w:t>
      </w:r>
      <w:r>
        <w:rPr>
          <w:rFonts w:ascii="Times New Roman" w:hAnsi="Times New Roman" w:eastAsia="Times New Roman"/>
          <w:b w:val="0"/>
          <w:i w:val="0"/>
          <w:color w:val="000000"/>
          <w:sz w:val="24"/>
          <w:vertAlign w:val="superscript"/>
        </w:rPr>
        <w:t>(7)</w:t>
      </w:r>
      <w:r>
        <w:rPr>
          <w:rFonts w:ascii="Times New Roman" w:hAnsi="Times New Roman" w:eastAsia="Times New Roman"/>
          <w:b w:val="0"/>
          <w:i w:val="0"/>
          <w:color w:val="000000"/>
          <w:sz w:val="24"/>
        </w:rPr>
        <w:t xml:space="preserve">. Most subsequent toothbrushing papers have used that figure, or a simple multiple of it, as the laboratory equivalent of one year of hygiene </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eastAsia="Times New Roman"/>
          <w:b w:val="0"/>
          <w:i w:val="0"/>
          <w:color w:val="000000"/>
          <w:sz w:val="24"/>
        </w:rPr>
        <w:t xml:space="preserve">Wear may be quantified as lost volume, as profilometric depth or as lost mass </w:t>
      </w:r>
      <w:r>
        <w:rPr>
          <w:rFonts w:ascii="Times New Roman" w:hAnsi="Times New Roman" w:eastAsia="Times New Roman"/>
          <w:b w:val="0"/>
          <w:i w:val="0"/>
          <w:color w:val="000000"/>
          <w:sz w:val="24"/>
          <w:vertAlign w:val="superscript"/>
        </w:rPr>
        <w:t>(10,15)</w:t>
      </w:r>
      <w:r>
        <w:rPr>
          <w:rFonts w:ascii="Times New Roman" w:hAnsi="Times New Roman" w:eastAsia="Times New Roman"/>
          <w:b w:val="0"/>
          <w:i w:val="0"/>
          <w:color w:val="000000"/>
          <w:sz w:val="24"/>
        </w:rPr>
        <w:t xml:space="preserve">. Gravimetric loss is simple and repeatable when the balance reads to 0.1 mg and the specimen is dried in a consistent way. It does not describe the topography of the worn surface. Volumetric loss from a three-dimensional scan does, but requires equipment that was not used in this study. Heintze and colleagues compared three laboratory methods of wear quantification and showed that they do not always rank materials in the same order </w:t>
      </w:r>
      <w:r>
        <w:rPr>
          <w:rFonts w:ascii="Times New Roman" w:hAnsi="Times New Roman" w:eastAsia="Times New Roman"/>
          <w:b w:val="0"/>
          <w:i w:val="0"/>
          <w:color w:val="000000"/>
          <w:sz w:val="24"/>
          <w:vertAlign w:val="superscript"/>
        </w:rPr>
        <w:t>(15)</w:t>
      </w:r>
      <w:r>
        <w:rPr>
          <w:rFonts w:ascii="Times New Roman" w:hAnsi="Times New Roman" w:eastAsia="Times New Roman"/>
          <w:b w:val="0"/>
          <w:i w:val="0"/>
          <w:color w:val="000000"/>
          <w:sz w:val="24"/>
        </w:rPr>
        <w:t>. The choice of a gravimetric outcome in the present work is therefore a methodological decision, not a claim that mass is equivalent to worn anatomy.</w:t>
      </w:r>
    </w:p>
    <w:p>
      <w:pPr>
        <w:keepNext/>
        <w:widowControl/>
        <w:spacing w:before="240" w:after="0" w:line="480" w:lineRule="auto"/>
        <w:ind w:firstLine="0"/>
        <w:jc w:val="left"/>
      </w:pPr>
      <w:r>
        <w:rPr>
          <w:rFonts w:ascii="Times New Roman" w:hAnsi="Times New Roman" w:eastAsia="Times New Roman"/>
          <w:b/>
          <w:i w:val="0"/>
          <w:color w:val="000000"/>
          <w:sz w:val="28"/>
        </w:rPr>
        <w:t>2.2 Surface roughness</w:t>
      </w:r>
    </w:p>
    <w:p>
      <w:pPr>
        <w:widowControl/>
        <w:spacing w:before="0" w:after="0" w:line="480" w:lineRule="auto"/>
        <w:ind w:firstLine="720"/>
        <w:jc w:val="both"/>
      </w:pPr>
      <w:r>
        <w:rPr>
          <w:rFonts w:ascii="Times New Roman" w:hAnsi="Times New Roman" w:eastAsia="Times New Roman"/>
          <w:b w:val="0"/>
          <w:i w:val="0"/>
          <w:color w:val="000000"/>
          <w:sz w:val="24"/>
        </w:rPr>
        <w:t xml:space="preserve">The arithmetic mean roughness, Ra, is defined in ISO 4287 as the arithmetic mean of the absolute ordinate values of the roughness profile within the sampling length </w:t>
      </w:r>
      <w:r>
        <w:rPr>
          <w:rFonts w:ascii="Times New Roman" w:hAnsi="Times New Roman" w:eastAsia="Times New Roman"/>
          <w:b w:val="0"/>
          <w:i w:val="0"/>
          <w:color w:val="000000"/>
          <w:sz w:val="24"/>
          <w:vertAlign w:val="superscript"/>
        </w:rPr>
        <w:t>(16)</w:t>
      </w:r>
      <w:r>
        <w:rPr>
          <w:rFonts w:ascii="Times New Roman" w:hAnsi="Times New Roman" w:eastAsia="Times New Roman"/>
          <w:b w:val="0"/>
          <w:i w:val="0"/>
          <w:color w:val="000000"/>
          <w:sz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eastAsia="Times New Roman"/>
          <w:b w:val="0"/>
          <w:i w:val="0"/>
          <w:color w:val="000000"/>
          <w:sz w:val="24"/>
          <w:vertAlign w:val="superscript"/>
        </w:rPr>
        <w:t>(4,16)</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eastAsia="Times New Roman"/>
          <w:b w:val="0"/>
          <w:i w:val="0"/>
          <w:color w:val="000000"/>
          <w:sz w:val="24"/>
          <w:vertAlign w:val="superscript"/>
        </w:rPr>
        <w:t>(17)</w:t>
      </w:r>
      <w:r>
        <w:rPr>
          <w:rFonts w:ascii="Times New Roman" w:hAnsi="Times New Roman" w:eastAsia="Times New Roman"/>
          <w:b w:val="0"/>
          <w:i w:val="0"/>
          <w:color w:val="000000"/>
          <w:sz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 xml:space="preserve">. Nanofilled materials, whose particles are small enough to wear with the matrix, generally retain a smoother surface than nanohybrids, in which larger fillers are uncovered or lost </w:t>
      </w:r>
      <w:r>
        <w:rPr>
          <w:rFonts w:ascii="Times New Roman" w:hAnsi="Times New Roman" w:eastAsia="Times New Roman"/>
          <w:b w:val="0"/>
          <w:i w:val="0"/>
          <w:color w:val="000000"/>
          <w:sz w:val="24"/>
          <w:vertAlign w:val="superscript"/>
        </w:rPr>
        <w:t>(8,18)</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eastAsia="Times New Roman"/>
          <w:b w:val="0"/>
          <w:i w:val="0"/>
          <w:color w:val="000000"/>
          <w:sz w:val="24"/>
          <w:vertAlign w:val="superscript"/>
        </w:rPr>
        <w:t>(25)</w:t>
      </w:r>
      <w:r>
        <w:rPr>
          <w:rFonts w:ascii="Times New Roman" w:hAnsi="Times New Roman" w:eastAsia="Times New Roman"/>
          <w:b w:val="0"/>
          <w:i w:val="0"/>
          <w:color w:val="000000"/>
          <w:sz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A single dentifrice was therefore used in the present study, and the results apply to that paste.</w:t>
      </w:r>
    </w:p>
    <w:p>
      <w:pPr>
        <w:keepNext/>
        <w:widowControl/>
        <w:spacing w:before="240" w:after="0" w:line="480" w:lineRule="auto"/>
        <w:ind w:firstLine="0"/>
        <w:jc w:val="left"/>
      </w:pPr>
      <w:r>
        <w:rPr>
          <w:rFonts w:ascii="Times New Roman" w:hAnsi="Times New Roman" w:eastAsia="Times New Roman"/>
          <w:b/>
          <w:i w:val="0"/>
          <w:color w:val="000000"/>
          <w:sz w:val="28"/>
        </w:rPr>
        <w:t>2.3 Injectable composite resins</w:t>
      </w:r>
    </w:p>
    <w:p>
      <w:pPr>
        <w:widowControl/>
        <w:spacing w:before="0" w:after="0" w:line="480" w:lineRule="auto"/>
        <w:ind w:firstLine="720"/>
        <w:jc w:val="both"/>
      </w:pPr>
      <w:r>
        <w:rPr>
          <w:rFonts w:ascii="Times New Roman" w:hAnsi="Times New Roman" w:eastAsia="Times New Roman"/>
          <w:b w:val="0"/>
          <w:i w:val="0"/>
          <w:color w:val="000000"/>
          <w:sz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eastAsia="Times New Roman"/>
          <w:b w:val="0"/>
          <w:i w:val="0"/>
          <w:color w:val="000000"/>
          <w:sz w:val="24"/>
          <w:vertAlign w:val="superscript"/>
        </w:rPr>
        <w:t>(5,13)</w:t>
      </w:r>
      <w:r>
        <w:rPr>
          <w:rFonts w:ascii="Times New Roman" w:hAnsi="Times New Roman" w:eastAsia="Times New Roman"/>
          <w:b w:val="0"/>
          <w:i w:val="0"/>
          <w:color w:val="000000"/>
          <w:sz w:val="24"/>
        </w:rPr>
        <w:t xml:space="preserve">. Baroudi and Rodrigues, in a systematic review, concluded that conventional flowables should not be used as sole restoratives in load-bearing situations </w:t>
      </w:r>
      <w:r>
        <w:rPr>
          <w:rFonts w:ascii="Times New Roman" w:hAnsi="Times New Roman" w:eastAsia="Times New Roman"/>
          <w:b w:val="0"/>
          <w:i w:val="0"/>
          <w:color w:val="000000"/>
          <w:sz w:val="24"/>
          <w:vertAlign w:val="superscript"/>
        </w:rPr>
        <w:t>(13)</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Highly filled injectable resins are a later development. G-ænial Universal Injectable contains barium glass and silica at a filler load of 50 vol% in a dimethacrylate matrix </w:t>
      </w:r>
      <w:r>
        <w:rPr>
          <w:rFonts w:ascii="Times New Roman" w:hAnsi="Times New Roman" w:eastAsia="Times New Roman"/>
          <w:b w:val="0"/>
          <w:i w:val="0"/>
          <w:color w:val="000000"/>
          <w:sz w:val="24"/>
          <w:vertAlign w:val="superscript"/>
        </w:rPr>
        <w:t>(6,18,19)</w:t>
      </w:r>
      <w:r>
        <w:rPr>
          <w:rFonts w:ascii="Times New Roman" w:hAnsi="Times New Roman" w:eastAsia="Times New Roman"/>
          <w:b w:val="0"/>
          <w:i w:val="0"/>
          <w:color w:val="000000"/>
          <w:sz w:val="24"/>
        </w:rPr>
        <w:t xml:space="preserve">. Beautifil Flow Plus X F00 is a zero-flow giomer injectable that incorporates nano-sized surface pre-reacted glass-ionomer (S-PRG) filler </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 xml:space="preserve">. It should not be confused with Beautifil Flow Plus F00, an earlier product that appears in several laboratory papers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The distinction matters when results are compared.</w:t>
      </w:r>
    </w:p>
    <w:p>
      <w:pPr>
        <w:widowControl/>
        <w:spacing w:before="0" w:after="0" w:line="480" w:lineRule="auto"/>
        <w:ind w:firstLine="720"/>
        <w:jc w:val="both"/>
      </w:pPr>
      <w:r>
        <w:rPr>
          <w:rFonts w:ascii="Times New Roman" w:hAnsi="Times New Roman" w:eastAsia="Times New Roman"/>
          <w:b w:val="0"/>
          <w:i w:val="0"/>
          <w:color w:val="000000"/>
          <w:sz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eastAsia="Times New Roman"/>
          <w:b w:val="0"/>
          <w:i w:val="0"/>
          <w:color w:val="000000"/>
          <w:sz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eastAsia="Times New Roman"/>
          <w:b w:val="0"/>
          <w:i w:val="0"/>
          <w:color w:val="000000"/>
          <w:sz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eastAsia="Times New Roman"/>
          <w:b w:val="0"/>
          <w:i w:val="0"/>
          <w:color w:val="000000"/>
          <w:sz w:val="24"/>
          <w:vertAlign w:val="superscript"/>
        </w:rPr>
        <w:t>(20)</w:t>
      </w:r>
      <w:r>
        <w:rPr>
          <w:rFonts w:ascii="Times New Roman" w:hAnsi="Times New Roman" w:eastAsia="Times New Roman"/>
          <w:b w:val="0"/>
          <w:i w:val="0"/>
          <w:color w:val="000000"/>
          <w:sz w:val="24"/>
        </w:rPr>
        <w:t>. Material-to-material scatter is the rule, and a toothbrushing comparison of Beautifil Flow Plus X F00 with Beautifil II LS was not among the studies they included.</w:t>
      </w:r>
    </w:p>
    <w:p>
      <w:pPr>
        <w:keepNext/>
        <w:widowControl/>
        <w:spacing w:before="240" w:after="0" w:line="480" w:lineRule="auto"/>
        <w:ind w:firstLine="0"/>
        <w:jc w:val="left"/>
      </w:pPr>
      <w:r>
        <w:rPr>
          <w:rFonts w:ascii="Times New Roman" w:hAnsi="Times New Roman" w:eastAsia="Times New Roman"/>
          <w:b/>
          <w:i w:val="0"/>
          <w:color w:val="000000"/>
          <w:sz w:val="28"/>
        </w:rPr>
        <w:t>2.4 Conventional nanohybrid resins and giomers</w:t>
      </w:r>
    </w:p>
    <w:p>
      <w:pPr>
        <w:widowControl/>
        <w:spacing w:before="0" w:after="0" w:line="480" w:lineRule="auto"/>
        <w:ind w:firstLine="720"/>
        <w:jc w:val="both"/>
      </w:pPr>
      <w:r>
        <w:rPr>
          <w:rFonts w:ascii="Times New Roman" w:hAnsi="Times New Roman" w:eastAsia="Times New Roman"/>
          <w:b w:val="0"/>
          <w:i w:val="0"/>
          <w:color w:val="000000"/>
          <w:sz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eastAsia="Times New Roman"/>
          <w:b w:val="0"/>
          <w:i w:val="0"/>
          <w:color w:val="000000"/>
          <w:sz w:val="24"/>
          <w:vertAlign w:val="superscript"/>
        </w:rPr>
        <w:t>(23)</w:t>
      </w:r>
      <w:r>
        <w:rPr>
          <w:rFonts w:ascii="Times New Roman" w:hAnsi="Times New Roman" w:eastAsia="Times New Roman"/>
          <w:b w:val="0"/>
          <w:i w:val="0"/>
          <w:color w:val="000000"/>
          <w:sz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eastAsia="Times New Roman"/>
          <w:b w:val="0"/>
          <w:i w:val="0"/>
          <w:color w:val="000000"/>
          <w:sz w:val="24"/>
          <w:vertAlign w:val="superscript"/>
        </w:rPr>
        <w:t>(21)</w:t>
      </w:r>
      <w:r>
        <w:rPr>
          <w:rFonts w:ascii="Times New Roman" w:hAnsi="Times New Roman" w:eastAsia="Times New Roman"/>
          <w:b w:val="0"/>
          <w:i w:val="0"/>
          <w:color w:val="000000"/>
          <w:sz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eastAsia="Times New Roman"/>
          <w:b w:val="0"/>
          <w:i w:val="0"/>
          <w:color w:val="000000"/>
          <w:sz w:val="24"/>
          <w:vertAlign w:val="superscript"/>
        </w:rPr>
        <w:t>(22)</w:t>
      </w:r>
      <w:r>
        <w:rPr>
          <w:rFonts w:ascii="Times New Roman" w:hAnsi="Times New Roman" w:eastAsia="Times New Roman"/>
          <w:b w:val="0"/>
          <w:i w:val="0"/>
          <w:color w:val="000000"/>
          <w:sz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eastAsia="Times New Roman"/>
          <w:b w:val="0"/>
          <w:i w:val="0"/>
          <w:color w:val="000000"/>
          <w:sz w:val="24"/>
        </w:rPr>
        <w:t xml:space="preserve">Packable nanohybrids remain the clinical reference for posterior direct work because of their handling familiarity and their documented wear record </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keepNext/>
        <w:widowControl/>
        <w:spacing w:before="240" w:after="0" w:line="480" w:lineRule="auto"/>
        <w:ind w:firstLine="0"/>
        <w:jc w:val="left"/>
      </w:pPr>
      <w:r>
        <w:rPr>
          <w:rFonts w:ascii="Times New Roman" w:hAnsi="Times New Roman" w:eastAsia="Times New Roman"/>
          <w:b/>
          <w:i w:val="0"/>
          <w:color w:val="000000"/>
          <w:sz w:val="28"/>
        </w:rPr>
        <w:t>2.5 Statement of the problem</w:t>
      </w:r>
    </w:p>
    <w:p>
      <w:pPr>
        <w:widowControl/>
        <w:spacing w:before="0" w:after="0" w:line="480" w:lineRule="auto"/>
        <w:ind w:firstLine="720"/>
        <w:jc w:val="both"/>
      </w:pPr>
      <w:r>
        <w:rPr>
          <w:rFonts w:ascii="Times New Roman" w:hAnsi="Times New Roman" w:eastAsia="Times New Roman"/>
          <w:b w:val="0"/>
          <w:i w:val="0"/>
          <w:color w:val="000000"/>
          <w:sz w:val="24"/>
        </w:rPr>
        <w:t xml:space="preserve">Two-body wear of G-ænial Universal Injectable and Beautifil Flow Plus F00 is favourable in one recent laboratory study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Toothbrush roughness of G-ænial Universal Injectable is favourable against a different nanohybrid in another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 Beautifil Flow Plus X F00 and Beautifil II LS have not been placed beside G-ænial Universal Injectable in a single protocol that records both gravimetric loss and Ra after 10 000 cycles at 2 N. That comparison is the subject of this thesis.</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3</w:t>
      </w:r>
    </w:p>
    <w:p>
      <w:pPr>
        <w:keepNext/>
        <w:widowControl/>
        <w:spacing w:before="0" w:after="360" w:lineRule="auto" w:line="276"/>
        <w:ind w:firstLine="0"/>
        <w:jc w:val="center"/>
      </w:pPr>
      <w:r>
        <w:rPr>
          <w:rFonts w:ascii="Times New Roman" w:hAnsi="Times New Roman" w:eastAsia="Times New Roman"/>
          <w:b/>
          <w:i w:val="0"/>
          <w:color w:val="000000"/>
          <w:sz w:val="36"/>
        </w:rPr>
        <w:t>MATERIALS AND METHODS</w:t>
      </w:r>
    </w:p>
    <w:p>
      <w:pPr>
        <w:keepNext/>
        <w:widowControl/>
        <w:spacing w:before="240" w:after="0" w:line="480" w:lineRule="auto"/>
        <w:ind w:firstLine="0"/>
        <w:jc w:val="left"/>
      </w:pPr>
      <w:r>
        <w:rPr>
          <w:rFonts w:ascii="Times New Roman" w:hAnsi="Times New Roman" w:eastAsia="Times New Roman"/>
          <w:b/>
          <w:i w:val="0"/>
          <w:color w:val="000000"/>
          <w:sz w:val="28"/>
        </w:rPr>
        <w:t>3.1 Study design and sample</w:t>
      </w:r>
    </w:p>
    <w:p>
      <w:pPr>
        <w:widowControl/>
        <w:spacing w:before="0" w:after="0" w:line="480" w:lineRule="auto"/>
        <w:ind w:firstLine="720"/>
        <w:jc w:val="both"/>
      </w:pPr>
      <w:r>
        <w:rPr>
          <w:rFonts w:ascii="Times New Roman" w:hAnsi="Times New Roman" w:eastAsia="Times New Roman"/>
          <w:b w:val="0"/>
          <w:i w:val="0"/>
          <w:color w:val="000000"/>
          <w:sz w:val="24"/>
        </w:rPr>
        <w:t>The investigation was a comparative in-vitro study of three commercially available resin composites. Thirty-six disc-shaped specimens, 10 mm in diameter and 1 mm thick, were prepared in a CAD/CAM Teflon mould. The discs were allocated at random to three equal groups (n = 12) according to the restorative material. An initial sample-size calculation in G*Power had indicated ten specimens per group; twelve were prepared in order to increase the power of the subsequent comparisons.</w:t>
      </w:r>
    </w:p>
    <w:p>
      <w:pPr>
        <w:keepNext/>
        <w:widowControl/>
        <w:spacing w:before="240" w:after="0" w:line="480" w:lineRule="auto"/>
        <w:ind w:firstLine="0"/>
        <w:jc w:val="left"/>
      </w:pPr>
      <w:r>
        <w:rPr>
          <w:rFonts w:ascii="Times New Roman" w:hAnsi="Times New Roman" w:eastAsia="Times New Roman"/>
          <w:b/>
          <w:i w:val="0"/>
          <w:color w:val="000000"/>
          <w:sz w:val="28"/>
        </w:rPr>
        <w:t>3.2 Materials</w:t>
      </w:r>
    </w:p>
    <w:p>
      <w:pPr>
        <w:widowControl/>
        <w:spacing w:before="0" w:after="0" w:line="480" w:lineRule="auto"/>
        <w:ind w:firstLine="720"/>
        <w:jc w:val="both"/>
      </w:pPr>
      <w:r>
        <w:rPr>
          <w:rFonts w:ascii="Times New Roman" w:hAnsi="Times New Roman" w:eastAsia="Times New Roman"/>
          <w:b w:val="0"/>
          <w:i w:val="0"/>
          <w:color w:val="000000"/>
          <w:sz w:val="24"/>
        </w:rPr>
        <w:t>The materials used were:</w:t>
      </w:r>
    </w:p>
    <w:p>
      <w:pPr>
        <w:widowControl/>
        <w:spacing w:before="0" w:after="0" w:line="480" w:lineRule="auto"/>
        <w:ind w:left="720" w:hanging="720"/>
        <w:jc w:val="both"/>
      </w:pPr>
      <w:r>
        <w:rPr>
          <w:rFonts w:ascii="Times New Roman" w:hAnsi="Times New Roman" w:eastAsia="Times New Roman"/>
          <w:b w:val="0"/>
          <w:i w:val="0"/>
          <w:color w:val="000000"/>
          <w:sz w:val="24"/>
        </w:rPr>
        <w:t>1. G-ænial Universal Injectable — highly filled nanofilled injectable composite (GC Corporation, Tokyo, Japan).</w:t>
      </w:r>
    </w:p>
    <w:p>
      <w:pPr>
        <w:widowControl/>
        <w:spacing w:before="0" w:after="0" w:line="480" w:lineRule="auto"/>
        <w:ind w:left="720" w:hanging="720"/>
        <w:jc w:val="both"/>
      </w:pPr>
      <w:r>
        <w:rPr>
          <w:rFonts w:ascii="Times New Roman" w:hAnsi="Times New Roman" w:eastAsia="Times New Roman"/>
          <w:b w:val="0"/>
          <w:i w:val="0"/>
          <w:color w:val="000000"/>
          <w:sz w:val="24"/>
        </w:rPr>
        <w:t>2. Beautifil Flow Plus X F00 — highly filled injectable giomer of zero-flow consistency (Shofu Inc., Kyoto, Japan).</w:t>
      </w:r>
    </w:p>
    <w:p>
      <w:pPr>
        <w:widowControl/>
        <w:spacing w:before="0" w:after="0" w:line="480" w:lineRule="auto"/>
        <w:ind w:left="720" w:hanging="720"/>
        <w:jc w:val="both"/>
      </w:pPr>
      <w:r>
        <w:rPr>
          <w:rFonts w:ascii="Times New Roman" w:hAnsi="Times New Roman" w:eastAsia="Times New Roman"/>
          <w:b w:val="0"/>
          <w:i w:val="0"/>
          <w:color w:val="000000"/>
          <w:sz w:val="24"/>
        </w:rPr>
        <w:t>3. Beautifil II LS — conventional low-shrinkage nanohybrid giomer (Shofu Inc., Kyoto, Japan).</w:t>
      </w:r>
    </w:p>
    <w:p>
      <w:pPr>
        <w:widowControl/>
        <w:spacing w:before="0" w:after="0" w:line="480" w:lineRule="auto"/>
        <w:ind w:left="720" w:hanging="720"/>
        <w:jc w:val="both"/>
      </w:pPr>
      <w:r>
        <w:rPr>
          <w:rFonts w:ascii="Times New Roman" w:hAnsi="Times New Roman" w:eastAsia="Times New Roman"/>
          <w:b w:val="0"/>
          <w:i w:val="0"/>
          <w:color w:val="000000"/>
          <w:sz w:val="24"/>
        </w:rPr>
        <w:t>4. Colgate Total toothpaste.</w:t>
      </w:r>
    </w:p>
    <w:p>
      <w:pPr>
        <w:widowControl/>
        <w:spacing w:before="0" w:after="0" w:line="480" w:lineRule="auto"/>
        <w:ind w:left="720" w:hanging="720"/>
        <w:jc w:val="both"/>
      </w:pPr>
      <w:r>
        <w:rPr>
          <w:rFonts w:ascii="Times New Roman" w:hAnsi="Times New Roman" w:eastAsia="Times New Roman"/>
          <w:b w:val="0"/>
          <w:i w:val="0"/>
          <w:color w:val="000000"/>
          <w:sz w:val="24"/>
        </w:rPr>
        <w:t>5. Distilled water.</w:t>
      </w:r>
    </w:p>
    <w:p>
      <w:pPr>
        <w:widowControl/>
        <w:spacing w:before="0" w:after="0" w:line="480" w:lineRule="auto"/>
        <w:ind w:firstLine="720"/>
        <w:jc w:val="both"/>
      </w:pPr>
      <w:r>
        <w:rPr>
          <w:rFonts w:ascii="Times New Roman" w:hAnsi="Times New Roman" w:eastAsia="Times New Roman"/>
          <w:b w:val="0"/>
          <w:i w:val="0"/>
          <w:color w:val="000000"/>
          <w:sz w:val="24"/>
        </w:rPr>
        <w:t>The composition of the three resins, as stated by the manufacturers, is summarised in Table 3.1.</w:t>
      </w:r>
    </w:p>
    <w:p>
      <w:pPr>
        <w:widowControl/>
        <w:spacing w:before="120" w:after="120" w:line="480" w:lineRule="auto"/>
        <w:ind w:firstLine="0"/>
        <w:jc w:val="both"/>
      </w:pPr>
      <w:r>
        <w:rPr>
          <w:rFonts w:ascii="Times New Roman" w:hAnsi="Times New Roman" w:eastAsia="Times New Roman"/>
          <w:b/>
          <w:i/>
          <w:color w:val="000000"/>
          <w:sz w:val="24"/>
        </w:rPr>
        <w:t>Table 3.1</w:t>
      </w:r>
      <w:r>
        <w:rPr>
          <w:rFonts w:ascii="Times New Roman" w:hAnsi="Times New Roman" w:eastAsia="Times New Roman"/>
          <w:b w:val="0"/>
          <w:i/>
          <w:color w:val="000000"/>
          <w:sz w:val="24"/>
        </w:rPr>
        <w:t xml:space="preserve"> Brand, manufacturer, matrix, filler and load of the resin composites</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Type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Matrix</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Filler</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Load</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Manufacturer</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 (A2)</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injectable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Dimethacrylate monomers</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Barium glass, silica</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50 vol%</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GC, Tokyo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 (A2)</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injectable giomer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Bis-GMA, TEGDMA</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Multifunctional glass and S-PRG filler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47 vol%</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 (A2)</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conventional giomer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Bis-GMA, UDMA, Bis-EMA, PEGMA, TEGDMA</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Multifunctional glass and S-PRG filler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68 vol%</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bl>
    <w:p>
      <w:pPr>
        <w:widowControl/>
        <w:spacing w:before="0" w:after="120" w:lineRule="auto" w:line="240"/>
        <w:ind w:firstLine="0"/>
        <w:jc w:val="both"/>
      </w:pPr>
    </w:p>
    <w:p>
      <w:pPr>
        <w:widowControl/>
        <w:spacing w:before="0" w:after="0" w:line="480" w:lineRule="auto"/>
        <w:ind w:firstLine="720"/>
        <w:jc w:val="both"/>
      </w:pPr>
      <w:r>
        <w:rPr>
          <w:rFonts w:ascii="Times New Roman" w:hAnsi="Times New Roman" w:eastAsia="Times New Roman"/>
          <w:b w:val="0"/>
          <w:i w:val="0"/>
          <w:color w:val="000000"/>
          <w:sz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eastAsia="Times New Roman"/>
          <w:b w:val="0"/>
          <w:i w:val="0"/>
          <w:color w:val="000000"/>
          <w:sz w:val="24"/>
          <w:vertAlign w:val="superscript"/>
        </w:rPr>
        <w:t>(25)</w:t>
      </w:r>
      <w:r>
        <w:rPr>
          <w:rFonts w:ascii="Times New Roman" w:hAnsi="Times New Roman" w:eastAsia="Times New Roman"/>
          <w:b w:val="0"/>
          <w:i w:val="0"/>
          <w:color w:val="000000"/>
          <w:sz w:val="24"/>
        </w:rPr>
        <w:t>.</w:t>
      </w:r>
    </w:p>
    <w:p>
      <w:pPr>
        <w:keepNext/>
        <w:widowControl/>
        <w:spacing w:before="240" w:after="0" w:line="480" w:lineRule="auto"/>
        <w:ind w:firstLine="0"/>
        <w:jc w:val="left"/>
      </w:pPr>
      <w:r>
        <w:rPr>
          <w:rFonts w:ascii="Times New Roman" w:hAnsi="Times New Roman" w:eastAsia="Times New Roman"/>
          <w:b/>
          <w:i w:val="0"/>
          <w:color w:val="000000"/>
          <w:sz w:val="28"/>
        </w:rPr>
        <w:t>3.3 Specimen preparation</w:t>
      </w:r>
    </w:p>
    <w:p>
      <w:pPr>
        <w:widowControl/>
        <w:spacing w:before="0" w:after="0" w:line="480" w:lineRule="auto"/>
        <w:ind w:firstLine="720"/>
        <w:jc w:val="both"/>
      </w:pPr>
      <w:r>
        <w:rPr>
          <w:rFonts w:ascii="Times New Roman" w:hAnsi="Times New Roman" w:eastAsia="Times New Roman"/>
          <w:b w:val="0"/>
          <w:i w:val="0"/>
          <w:color w:val="000000"/>
          <w:sz w:val="24"/>
        </w:rPr>
        <w:t>Each material was placed in the Teflon mould as a single increment. A Mylar strip and a transparent glass slide were applied to exclude air from the test face and to produce a flat surface of uniform thickness. Polymerisation was carried out with an LED curing unit (MiniS, Woodpecker, Guilin, China) for 20 seconds at 800 mW/cm², with the tip in contact with the glass slide, followed by three additional 20-second exposures from different directions to ensure complete polymerisation. Flash was removed with a no. 12 scalpel blade. The discs were identified by group and stored in distilled water at 37 °C for 24 hours before the baseline measurements were made.</w:t>
      </w:r>
    </w:p>
    <w:p>
      <w:pPr>
        <w:keepNext/>
        <w:widowControl/>
        <w:spacing w:before="240" w:after="0" w:line="480" w:lineRule="auto"/>
        <w:ind w:firstLine="0"/>
        <w:jc w:val="left"/>
      </w:pPr>
      <w:r>
        <w:rPr>
          <w:rFonts w:ascii="Times New Roman" w:hAnsi="Times New Roman" w:eastAsia="Times New Roman"/>
          <w:b/>
          <w:i w:val="0"/>
          <w:color w:val="000000"/>
          <w:sz w:val="28"/>
        </w:rPr>
        <w:t>3.4 Baseline measurements</w:t>
      </w:r>
    </w:p>
    <w:p>
      <w:pPr>
        <w:widowControl/>
        <w:spacing w:before="0" w:after="0" w:line="480" w:lineRule="auto"/>
        <w:ind w:firstLine="720"/>
        <w:jc w:val="both"/>
      </w:pPr>
      <w:r>
        <w:rPr>
          <w:rFonts w:ascii="Times New Roman" w:hAnsi="Times New Roman" w:eastAsia="Times New Roman"/>
          <w:b w:val="0"/>
          <w:i w:val="0"/>
          <w:color w:val="000000"/>
          <w:sz w:val="24"/>
        </w:rPr>
        <w:t xml:space="preserve">Each disc was dried and weighed on an electronic analytical balance (RADWAG Wagi Elektroniczne AS 220-R2), which records to 0.0001 g. Surface roughness was measured on the test face with a contact profilometer (MarSurf PS10, Mahr). Five traces were taken at random sites on each disc; the value entered for analysis was the mean of those traces. Ra was determined according to the definition in ISO 4287 </w:t>
      </w:r>
      <w:r>
        <w:rPr>
          <w:rFonts w:ascii="Times New Roman" w:hAnsi="Times New Roman" w:eastAsia="Times New Roman"/>
          <w:b w:val="0"/>
          <w:i w:val="0"/>
          <w:color w:val="000000"/>
          <w:sz w:val="24"/>
          <w:vertAlign w:val="superscript"/>
        </w:rPr>
        <w:t>(16)</w:t>
      </w:r>
      <w:r>
        <w:rPr>
          <w:rFonts w:ascii="Times New Roman" w:hAnsi="Times New Roman" w:eastAsia="Times New Roman"/>
          <w:b w:val="0"/>
          <w:i w:val="0"/>
          <w:color w:val="000000"/>
          <w:sz w:val="24"/>
        </w:rPr>
        <w:t>.</w:t>
      </w:r>
    </w:p>
    <w:p>
      <w:pPr>
        <w:keepNext/>
        <w:widowControl/>
        <w:spacing w:before="240" w:after="0" w:line="480" w:lineRule="auto"/>
        <w:ind w:firstLine="0"/>
        <w:jc w:val="left"/>
      </w:pPr>
      <w:r>
        <w:rPr>
          <w:rFonts w:ascii="Times New Roman" w:hAnsi="Times New Roman" w:eastAsia="Times New Roman"/>
          <w:b/>
          <w:i w:val="0"/>
          <w:color w:val="000000"/>
          <w:sz w:val="28"/>
        </w:rPr>
        <w:t>3.5 Toothbrushing protocol</w:t>
      </w:r>
    </w:p>
    <w:p>
      <w:pPr>
        <w:widowControl/>
        <w:spacing w:before="0" w:after="0" w:line="480" w:lineRule="auto"/>
        <w:ind w:firstLine="720"/>
        <w:jc w:val="both"/>
      </w:pPr>
      <w:r>
        <w:rPr>
          <w:rFonts w:ascii="Times New Roman" w:hAnsi="Times New Roman" w:eastAsia="Times New Roman"/>
          <w:b w:val="0"/>
          <w:i w:val="0"/>
          <w:color w:val="000000"/>
          <w:sz w:val="24"/>
        </w:rPr>
        <w:t xml:space="preserve">The discs were mounted in a custom toothbrushing simulator (Dental Biomaterials Department, Faculty of Dentistry, Alexandria University). A slurry of Colgate Total (relative dentine abrasivity 70) and distilled water was prepared at 250 g of toothpaste per litre of water, in accordance with ISO 11609 and ISO/TR 14569-1 </w:t>
      </w:r>
      <w:r>
        <w:rPr>
          <w:rFonts w:ascii="Times New Roman" w:hAnsi="Times New Roman" w:eastAsia="Times New Roman"/>
          <w:b w:val="0"/>
          <w:i w:val="0"/>
          <w:color w:val="000000"/>
          <w:sz w:val="24"/>
          <w:vertAlign w:val="superscript"/>
        </w:rPr>
        <w:t>(3,14)</w:t>
      </w:r>
      <w:r>
        <w:rPr>
          <w:rFonts w:ascii="Times New Roman" w:hAnsi="Times New Roman" w:eastAsia="Times New Roman"/>
          <w:b w:val="0"/>
          <w:i w:val="0"/>
          <w:color w:val="000000"/>
          <w:sz w:val="24"/>
        </w:rPr>
        <w:t xml:space="preserve">. The brush load was set at 2 N, which lies within the ISO range of 0.5–2.5 N </w:t>
      </w:r>
      <w:r>
        <w:rPr>
          <w:rFonts w:ascii="Times New Roman" w:hAnsi="Times New Roman" w:eastAsia="Times New Roman"/>
          <w:b w:val="0"/>
          <w:i w:val="0"/>
          <w:color w:val="000000"/>
          <w:sz w:val="24"/>
          <w:vertAlign w:val="superscript"/>
        </w:rPr>
        <w:t>(3)</w:t>
      </w:r>
      <w:r>
        <w:rPr>
          <w:rFonts w:ascii="Times New Roman" w:hAnsi="Times New Roman" w:eastAsia="Times New Roman"/>
          <w:b w:val="0"/>
          <w:i w:val="0"/>
          <w:color w:val="000000"/>
          <w:sz w:val="24"/>
        </w:rPr>
        <w:t xml:space="preserve">. Each disc received 10 000 cycles. That count is the conventional laboratory equivalent of one year of twice-daily brushing, following the estimate of Sexson and Phillips </w:t>
      </w:r>
      <w:r>
        <w:rPr>
          <w:rFonts w:ascii="Times New Roman" w:hAnsi="Times New Roman" w:eastAsia="Times New Roman"/>
          <w:b w:val="0"/>
          <w:i w:val="0"/>
          <w:color w:val="000000"/>
          <w:sz w:val="24"/>
          <w:vertAlign w:val="superscript"/>
        </w:rPr>
        <w:t>(7,8)</w:t>
      </w:r>
      <w:r>
        <w:rPr>
          <w:rFonts w:ascii="Times New Roman" w:hAnsi="Times New Roman" w:eastAsia="Times New Roman"/>
          <w:b w:val="0"/>
          <w:i w:val="0"/>
          <w:color w:val="000000"/>
          <w:sz w:val="24"/>
        </w:rPr>
        <w:t>. The slurry was replaced every 5 000 cycles. At the end of the run the discs were rinsed with a stream of water and dried.</w:t>
      </w:r>
    </w:p>
    <w:p>
      <w:pPr>
        <w:keepNext/>
        <w:widowControl/>
        <w:spacing w:before="240" w:after="0" w:line="480" w:lineRule="auto"/>
        <w:ind w:firstLine="0"/>
        <w:jc w:val="left"/>
      </w:pPr>
      <w:r>
        <w:rPr>
          <w:rFonts w:ascii="Times New Roman" w:hAnsi="Times New Roman" w:eastAsia="Times New Roman"/>
          <w:b/>
          <w:i w:val="0"/>
          <w:color w:val="000000"/>
          <w:sz w:val="28"/>
        </w:rPr>
        <w:t>3.6 Post-test measurements and calculations</w:t>
      </w:r>
    </w:p>
    <w:p>
      <w:pPr>
        <w:widowControl/>
        <w:spacing w:before="0" w:after="0" w:line="480" w:lineRule="auto"/>
        <w:ind w:firstLine="720"/>
        <w:jc w:val="both"/>
      </w:pPr>
      <w:r>
        <w:rPr>
          <w:rFonts w:ascii="Times New Roman" w:hAnsi="Times New Roman" w:eastAsia="Times New Roman"/>
          <w:b w:val="0"/>
          <w:i w:val="0"/>
          <w:color w:val="000000"/>
          <w:sz w:val="24"/>
        </w:rPr>
        <w:t>Mass and Ra were recorded again with the same instruments and the same drying procedure as at baseline.</w:t>
      </w:r>
    </w:p>
    <w:p>
      <w:pPr>
        <w:widowControl/>
        <w:spacing w:before="0" w:after="0" w:line="480" w:lineRule="auto"/>
        <w:ind w:firstLine="720"/>
        <w:jc w:val="both"/>
      </w:pPr>
      <w:r>
        <w:rPr>
          <w:rFonts w:ascii="Times New Roman" w:hAnsi="Times New Roman" w:eastAsia="Times New Roman"/>
          <w:b w:val="0"/>
          <w:i w:val="0"/>
          <w:color w:val="000000"/>
          <w:sz w:val="24"/>
        </w:rPr>
        <w:t>Percentage weight loss was calculated for each disc as</w:t>
      </w:r>
    </w:p>
    <w:p>
      <w:pPr>
        <w:widowControl/>
        <w:spacing w:before="120" w:after="120" w:line="480" w:lineRule="auto"/>
        <w:ind w:firstLine="0"/>
        <w:jc w:val="center"/>
      </w:pPr>
      <w:r>
        <w:rPr>
          <w:rFonts w:ascii="Times New Roman" w:hAnsi="Times New Roman" w:eastAsia="Times New Roman"/>
          <w:b w:val="0"/>
          <w:i w:val="0"/>
          <w:color w:val="000000"/>
          <w:sz w:val="24"/>
        </w:rPr>
        <w:t>[(W₁ − W₂) / W₁] × 100</w:t>
      </w:r>
    </w:p>
    <w:p>
      <w:pPr>
        <w:widowControl/>
        <w:spacing w:before="0" w:after="0" w:line="480" w:lineRule="auto"/>
        <w:ind w:firstLine="720"/>
        <w:jc w:val="both"/>
      </w:pPr>
      <w:r>
        <w:rPr>
          <w:rFonts w:ascii="Times New Roman" w:hAnsi="Times New Roman" w:eastAsia="Times New Roman"/>
          <w:b w:val="0"/>
          <w:i w:val="0"/>
          <w:color w:val="000000"/>
          <w:sz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20" w:after="120" w:line="480" w:lineRule="auto"/>
        <w:ind w:firstLine="0"/>
        <w:jc w:val="center"/>
      </w:pPr>
      <w:r>
        <w:rPr>
          <w:rFonts w:ascii="Times New Roman" w:hAnsi="Times New Roman" w:eastAsia="Times New Roman"/>
          <w:b w:val="0"/>
          <w:i w:val="0"/>
          <w:color w:val="000000"/>
          <w:sz w:val="24"/>
        </w:rPr>
        <w:t>Absolute loss in milligrams was calculated as (W₁ − W₂) × 1000.</w:t>
      </w:r>
    </w:p>
    <w:p>
      <w:pPr>
        <w:widowControl/>
        <w:spacing w:before="0" w:after="0" w:line="480" w:lineRule="auto"/>
        <w:ind w:firstLine="720"/>
        <w:jc w:val="both"/>
      </w:pPr>
      <w:r>
        <w:rPr>
          <w:rFonts w:ascii="Times New Roman" w:hAnsi="Times New Roman" w:eastAsia="Times New Roman"/>
          <w:b w:val="0"/>
          <w:i w:val="0"/>
          <w:color w:val="000000"/>
          <w:sz w:val="24"/>
        </w:rPr>
        <w:t>The change in roughness was calculated for each disc as</w:t>
      </w:r>
    </w:p>
    <w:p>
      <w:pPr>
        <w:widowControl/>
        <w:spacing w:before="120" w:after="120" w:line="480" w:lineRule="auto"/>
        <w:ind w:firstLine="0"/>
        <w:jc w:val="center"/>
      </w:pPr>
      <w:r>
        <w:rPr>
          <w:rFonts w:ascii="Times New Roman" w:hAnsi="Times New Roman" w:eastAsia="Times New Roman"/>
          <w:b w:val="0"/>
          <w:i w:val="0"/>
          <w:color w:val="000000"/>
          <w:sz w:val="24"/>
        </w:rPr>
        <w:t>ΔRa (µm) = Ra after − Ra before.</w:t>
      </w:r>
    </w:p>
    <w:p>
      <w:pPr>
        <w:keepNext/>
        <w:widowControl/>
        <w:spacing w:before="240" w:after="0" w:line="480" w:lineRule="auto"/>
        <w:ind w:firstLine="0"/>
        <w:jc w:val="left"/>
      </w:pPr>
      <w:r>
        <w:rPr>
          <w:rFonts w:ascii="Times New Roman" w:hAnsi="Times New Roman" w:eastAsia="Times New Roman"/>
          <w:b/>
          <w:i w:val="0"/>
          <w:color w:val="000000"/>
          <w:sz w:val="28"/>
        </w:rPr>
        <w:t>3.7 Statistical analysis</w:t>
      </w:r>
    </w:p>
    <w:p>
      <w:pPr>
        <w:widowControl/>
        <w:spacing w:before="0" w:after="0" w:line="480" w:lineRule="auto"/>
        <w:ind w:firstLine="720"/>
        <w:jc w:val="both"/>
      </w:pPr>
      <w:r>
        <w:rPr>
          <w:rFonts w:ascii="Times New Roman" w:hAnsi="Times New Roman" w:eastAsia="Times New Roman"/>
          <w:b w:val="0"/>
          <w:i w:val="0"/>
          <w:color w:val="000000"/>
          <w:sz w:val="24"/>
        </w:rPr>
        <w:t>Descriptive statistics are presented as mean ± standard deviation. Percentage weight loss was compared among the three groups by one-way analysis of variance. Ra after brushing was compared by the Kruskal–Wallis test, with pairwise post-hoc comparisons between groups. The choice of a parametric test for weight loss and a non-parametric test for roughness follows the distributions of the two outcomes in the experimental spreadsheet. The level of significance was set at α = 0.05.</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4</w:t>
      </w:r>
    </w:p>
    <w:p>
      <w:pPr>
        <w:keepNext/>
        <w:widowControl/>
        <w:spacing w:before="0" w:after="360" w:lineRule="auto" w:line="276"/>
        <w:ind w:firstLine="0"/>
        <w:jc w:val="center"/>
      </w:pPr>
      <w:r>
        <w:rPr>
          <w:rFonts w:ascii="Times New Roman" w:hAnsi="Times New Roman" w:eastAsia="Times New Roman"/>
          <w:b/>
          <w:i w:val="0"/>
          <w:color w:val="000000"/>
          <w:sz w:val="36"/>
        </w:rPr>
        <w:t>RESULTS</w:t>
      </w:r>
    </w:p>
    <w:p>
      <w:pPr>
        <w:widowControl/>
        <w:spacing w:before="0" w:after="0" w:line="480" w:lineRule="auto"/>
        <w:ind w:firstLine="720"/>
        <w:jc w:val="both"/>
      </w:pPr>
      <w:r>
        <w:rPr>
          <w:rFonts w:ascii="Times New Roman" w:hAnsi="Times New Roman" w:eastAsia="Times New Roman"/>
          <w:b w:val="0"/>
          <w:i w:val="0"/>
          <w:color w:val="000000"/>
          <w:sz w:val="24"/>
        </w:rPr>
        <w:t>Thirty-six discs were tested, twelve in each group. All discs completed 10 000 cycles at 2 N. Wear is reported as mass; roughness is reported as Ra.</w:t>
      </w:r>
    </w:p>
    <w:p>
      <w:pPr>
        <w:keepNext/>
        <w:widowControl/>
        <w:spacing w:before="240" w:after="0" w:line="480" w:lineRule="auto"/>
        <w:ind w:firstLine="0"/>
        <w:jc w:val="left"/>
      </w:pPr>
      <w:r>
        <w:rPr>
          <w:rFonts w:ascii="Times New Roman" w:hAnsi="Times New Roman" w:eastAsia="Times New Roman"/>
          <w:b/>
          <w:i w:val="0"/>
          <w:color w:val="000000"/>
          <w:sz w:val="28"/>
        </w:rPr>
        <w:t>4.1 Weight loss</w:t>
      </w:r>
    </w:p>
    <w:p>
      <w:pPr>
        <w:widowControl/>
        <w:spacing w:before="0" w:after="0" w:line="480" w:lineRule="auto"/>
        <w:ind w:firstLine="720"/>
        <w:jc w:val="both"/>
      </w:pPr>
      <w:r>
        <w:rPr>
          <w:rFonts w:ascii="Times New Roman" w:hAnsi="Times New Roman" w:eastAsia="Times New Roman"/>
          <w:b w:val="0"/>
          <w:i w:val="0"/>
          <w:color w:val="000000"/>
          <w:sz w:val="24"/>
        </w:rPr>
        <w:t>Mean mass before and after brushing, and percentage loss, are given in Table 4.1 and illustrated in Figure 4.1.</w:t>
      </w:r>
    </w:p>
    <w:p>
      <w:pPr>
        <w:widowControl/>
        <w:spacing w:before="120" w:after="120" w:line="480" w:lineRule="auto"/>
        <w:ind w:firstLine="0"/>
        <w:jc w:val="both"/>
      </w:pPr>
      <w:r>
        <w:rPr>
          <w:rFonts w:ascii="Times New Roman" w:hAnsi="Times New Roman" w:eastAsia="Times New Roman"/>
          <w:b/>
          <w:i/>
          <w:color w:val="000000"/>
          <w:sz w:val="24"/>
        </w:rPr>
        <w:t>Table 4.1</w:t>
      </w:r>
      <w:r>
        <w:rPr>
          <w:rFonts w:ascii="Times New Roman" w:hAnsi="Times New Roman" w:eastAsia="Times New Roman"/>
          <w:b w:val="0"/>
          <w:i/>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before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after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loss (%)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0.1602 ± 0.0074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0.1576 ± 0.0031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1.49 ± 3.14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0.1630 ± 0.0102</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0.1619 ± 0.0106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0.65 ± 0.37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0.329†</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0.2313 ± 0.0154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0.2303 ± 0.0156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0.41 ± 0.25</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widowControl/>
        <w:spacing w:before="0" w:after="120" w:lineRule="auto" w:line="240"/>
        <w:ind w:firstLine="0"/>
        <w:jc w:val="both"/>
      </w:pPr>
    </w:p>
    <w:p>
      <w:pPr>
        <w:widowControl/>
        <w:spacing w:before="0" w:after="0" w:lineRule="auto" w:line="276"/>
        <w:ind w:firstLine="0"/>
        <w:jc w:val="both"/>
      </w:pPr>
      <w:r>
        <w:rPr>
          <w:rFonts w:ascii="Times New Roman" w:hAnsi="Times New Roman" w:eastAsia="Times New Roman"/>
          <w:b w:val="0"/>
          <w:i/>
          <w:color w:val="000000"/>
          <w:sz w:val="20"/>
        </w:rPr>
        <w:t>† One-way ANOVA. Values are mean ± standard deviation.</w:t>
      </w:r>
    </w:p>
    <w:p>
      <w:pPr>
        <w:widowControl/>
        <w:spacing w:before="120" w:after="120" w:lineRule="auto" w:line="240"/>
        <w:ind w:firstLine="0"/>
        <w:jc w:val="center"/>
      </w:pPr>
      <w:r>
        <w:drawing>
          <wp:inline xmlns:a="http://schemas.openxmlformats.org/drawingml/2006/main" xmlns:pic="http://schemas.openxmlformats.org/drawingml/2006/picture">
            <wp:extent cx="5212080" cy="3628734"/>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1"/>
                    <a:stretch>
                      <a:fillRect/>
                    </a:stretch>
                  </pic:blipFill>
                  <pic:spPr>
                    <a:xfrm>
                      <a:off x="0" y="0"/>
                      <a:ext cx="5212080" cy="3628734"/>
                    </a:xfrm>
                    <a:prstGeom prst="rect"/>
                  </pic:spPr>
                </pic:pic>
              </a:graphicData>
            </a:graphic>
          </wp:inline>
        </w:drawing>
      </w:r>
    </w:p>
    <w:p>
      <w:pPr>
        <w:widowControl/>
        <w:spacing w:before="120" w:after="120" w:line="480" w:lineRule="auto"/>
        <w:ind w:firstLine="0"/>
        <w:jc w:val="both"/>
      </w:pPr>
      <w:r>
        <w:rPr>
          <w:rFonts w:ascii="Times New Roman" w:hAnsi="Times New Roman" w:eastAsia="Times New Roman"/>
          <w:b/>
          <w:i/>
          <w:color w:val="000000"/>
          <w:sz w:val="24"/>
        </w:rPr>
        <w:t>Figure 4.1</w:t>
      </w:r>
      <w:r>
        <w:rPr>
          <w:rFonts w:ascii="Times New Roman" w:hAnsi="Times New Roman" w:eastAsia="Times New Roman"/>
          <w:b w:val="0"/>
          <w:i/>
          <w:color w:val="000000"/>
          <w:sz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eastAsia="Times New Roman"/>
          <w:b w:val="0"/>
          <w:i w:val="0"/>
          <w:color w:val="000000"/>
          <w:sz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eastAsia="Times New Roman"/>
          <w:b w:val="0"/>
          <w:i w:val="0"/>
          <w:color w:val="000000"/>
          <w:sz w:val="24"/>
        </w:rPr>
        <w:t>Absolute loss is set out in Table 4.2 because percentage loss on a lighter disc can exaggerate a small mass change, and because the outlying specimen is easier to see in milligrams.</w:t>
      </w:r>
    </w:p>
    <w:p>
      <w:pPr>
        <w:widowControl/>
        <w:spacing w:before="120" w:after="120" w:line="480" w:lineRule="auto"/>
        <w:ind w:firstLine="0"/>
        <w:jc w:val="both"/>
      </w:pPr>
      <w:r>
        <w:rPr>
          <w:rFonts w:ascii="Times New Roman" w:hAnsi="Times New Roman" w:eastAsia="Times New Roman"/>
          <w:b/>
          <w:i/>
          <w:color w:val="000000"/>
          <w:sz w:val="24"/>
        </w:rPr>
        <w:t>Table 4.2</w:t>
      </w:r>
      <w:r>
        <w:rPr>
          <w:rFonts w:ascii="Times New Roman" w:hAnsi="Times New Roman" w:eastAsia="Times New Roman"/>
          <w:b w:val="0"/>
          <w:i/>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Absolute weight loss (mg) Mean ± SD</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Range (mg)</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2.58 ± 5.91</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20.7</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1.07 ± 0.62</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1.9</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0.95 ± 0.58</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 – 1.8</w:t>
            </w:r>
          </w:p>
        </w:tc>
      </w:tr>
    </w:tbl>
    <w:p>
      <w:pPr>
        <w:widowControl/>
        <w:spacing w:before="0" w:after="120" w:lineRule="auto" w:line="240"/>
        <w:ind w:firstLine="0"/>
        <w:jc w:val="both"/>
      </w:pPr>
    </w:p>
    <w:p>
      <w:pPr>
        <w:widowControl/>
        <w:spacing w:before="0" w:after="0" w:lineRule="auto" w:line="276"/>
        <w:ind w:firstLine="0"/>
        <w:jc w:val="both"/>
      </w:pPr>
      <w:r>
        <w:rPr>
          <w:rFonts w:ascii="Times New Roman" w:hAnsi="Times New Roman" w:eastAsia="Times New Roman"/>
          <w:b w:val="0"/>
          <w:i/>
          <w:color w:val="000000"/>
          <w:sz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eastAsia="Times New Roman"/>
          <w:b w:val="0"/>
          <w:i w:val="0"/>
          <w:color w:val="000000"/>
          <w:sz w:val="24"/>
        </w:rPr>
        <w:t>The standard deviation of Beautifil Flow Plus X F00 mass fell from 7.4 mg before brushing to 3.1 mg after brushing. This is consistent with the heaviest disc in that group shedding 20.7 mg and landing near the group mean.</w:t>
      </w:r>
    </w:p>
    <w:p>
      <w:pPr>
        <w:keepNext/>
        <w:widowControl/>
        <w:spacing w:before="240" w:after="0" w:line="480" w:lineRule="auto"/>
        <w:ind w:firstLine="0"/>
        <w:jc w:val="left"/>
      </w:pPr>
      <w:r>
        <w:rPr>
          <w:rFonts w:ascii="Times New Roman" w:hAnsi="Times New Roman" w:eastAsia="Times New Roman"/>
          <w:b/>
          <w:i w:val="0"/>
          <w:color w:val="000000"/>
          <w:sz w:val="28"/>
        </w:rPr>
        <w:t>4.2 Surface roughness</w:t>
      </w:r>
    </w:p>
    <w:p>
      <w:pPr>
        <w:widowControl/>
        <w:spacing w:before="0" w:after="0" w:line="480" w:lineRule="auto"/>
        <w:ind w:firstLine="720"/>
        <w:jc w:val="both"/>
      </w:pPr>
      <w:r>
        <w:rPr>
          <w:rFonts w:ascii="Times New Roman" w:hAnsi="Times New Roman" w:eastAsia="Times New Roman"/>
          <w:b w:val="0"/>
          <w:i w:val="0"/>
          <w:color w:val="000000"/>
          <w:sz w:val="24"/>
        </w:rPr>
        <w:t>Mean Ra before and after brushing, and ΔRa, are given in Table 4.3 and illustrated in Figures 4.2 and 4.3.</w:t>
      </w:r>
    </w:p>
    <w:p>
      <w:pPr>
        <w:widowControl/>
        <w:spacing w:before="120" w:after="120" w:line="480" w:lineRule="auto"/>
        <w:ind w:firstLine="0"/>
        <w:jc w:val="both"/>
      </w:pPr>
      <w:r>
        <w:rPr>
          <w:rFonts w:ascii="Times New Roman" w:hAnsi="Times New Roman" w:eastAsia="Times New Roman"/>
          <w:b/>
          <w:i/>
          <w:color w:val="000000"/>
          <w:sz w:val="24"/>
        </w:rPr>
        <w:t>Table 4.3</w:t>
      </w:r>
      <w:r>
        <w:rPr>
          <w:rFonts w:ascii="Times New Roman" w:hAnsi="Times New Roman" w:eastAsia="Times New Roman"/>
          <w:b w:val="0"/>
          <w:i/>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before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after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ΔRa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0.038 ± 0.011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0.104 ± 0.017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0.066 ± 0.021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0.054 ± 0.010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0.100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0.046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&lt; 0.001‡</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0.119 ± 0.054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0.194 ± 0.050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0.075 ± 0.066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widowControl/>
        <w:spacing w:before="0" w:after="120" w:lineRule="auto" w:line="240"/>
        <w:ind w:firstLine="0"/>
        <w:jc w:val="both"/>
      </w:pPr>
    </w:p>
    <w:p>
      <w:pPr>
        <w:widowControl/>
        <w:spacing w:before="0" w:after="0" w:lineRule="auto" w:line="276"/>
        <w:ind w:firstLine="0"/>
        <w:jc w:val="both"/>
      </w:pPr>
      <w:r>
        <w:rPr>
          <w:rFonts w:ascii="Times New Roman" w:hAnsi="Times New Roman" w:eastAsia="Times New Roman"/>
          <w:b w:val="0"/>
          <w:i/>
          <w:color w:val="000000"/>
          <w:sz w:val="20"/>
        </w:rPr>
        <w:t>‡ Kruskal–Wallis test. Pairwise comparisons: each injectable versus Beautifil II LS, p &lt; 0.001; the two injectables, not significant. Values are mean ± standard deviation.</w:t>
      </w:r>
    </w:p>
    <w:p>
      <w:pPr>
        <w:widowControl/>
        <w:spacing w:before="120" w:after="120" w:lineRule="auto" w:line="240"/>
        <w:ind w:firstLine="0"/>
        <w:jc w:val="center"/>
      </w:pPr>
      <w:r>
        <w:drawing>
          <wp:inline xmlns:a="http://schemas.openxmlformats.org/drawingml/2006/main" xmlns:pic="http://schemas.openxmlformats.org/drawingml/2006/picture">
            <wp:extent cx="5212080" cy="3281774"/>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2"/>
                    <a:stretch>
                      <a:fillRect/>
                    </a:stretch>
                  </pic:blipFill>
                  <pic:spPr>
                    <a:xfrm>
                      <a:off x="0" y="0"/>
                      <a:ext cx="5212080" cy="3281774"/>
                    </a:xfrm>
                    <a:prstGeom prst="rect"/>
                  </pic:spPr>
                </pic:pic>
              </a:graphicData>
            </a:graphic>
          </wp:inline>
        </w:drawing>
      </w:r>
    </w:p>
    <w:p>
      <w:pPr>
        <w:widowControl/>
        <w:spacing w:before="120" w:after="120" w:line="480" w:lineRule="auto"/>
        <w:ind w:firstLine="0"/>
        <w:jc w:val="both"/>
      </w:pPr>
      <w:r>
        <w:rPr>
          <w:rFonts w:ascii="Times New Roman" w:hAnsi="Times New Roman" w:eastAsia="Times New Roman"/>
          <w:b/>
          <w:i/>
          <w:color w:val="000000"/>
          <w:sz w:val="24"/>
        </w:rPr>
        <w:t>Figure 4.2</w:t>
      </w:r>
      <w:r>
        <w:rPr>
          <w:rFonts w:ascii="Times New Roman" w:hAnsi="Times New Roman" w:eastAsia="Times New Roman"/>
          <w:b w:val="0"/>
          <w:i/>
          <w:color w:val="000000"/>
          <w:sz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w:t>
      </w:r>
    </w:p>
    <w:p>
      <w:pPr>
        <w:widowControl/>
        <w:spacing w:before="0" w:after="0" w:line="480" w:lineRule="auto"/>
        <w:ind w:firstLine="720"/>
        <w:jc w:val="both"/>
      </w:pPr>
      <w:r>
        <w:rPr>
          <w:rFonts w:ascii="Times New Roman" w:hAnsi="Times New Roman" w:eastAsia="Times New Roman"/>
          <w:b w:val="0"/>
          <w:i w:val="0"/>
          <w:color w:val="000000"/>
          <w:sz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w:t>
      </w:r>
    </w:p>
    <w:p>
      <w:pPr>
        <w:widowControl/>
        <w:spacing w:before="120" w:after="120" w:lineRule="auto" w:line="240"/>
        <w:ind w:firstLine="0"/>
        <w:jc w:val="center"/>
      </w:pPr>
      <w:r>
        <w:drawing>
          <wp:inline xmlns:a="http://schemas.openxmlformats.org/drawingml/2006/main" xmlns:pic="http://schemas.openxmlformats.org/drawingml/2006/picture">
            <wp:extent cx="5212080" cy="3442945"/>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3"/>
                    <a:stretch>
                      <a:fillRect/>
                    </a:stretch>
                  </pic:blipFill>
                  <pic:spPr>
                    <a:xfrm>
                      <a:off x="0" y="0"/>
                      <a:ext cx="5212080" cy="3442945"/>
                    </a:xfrm>
                    <a:prstGeom prst="rect"/>
                  </pic:spPr>
                </pic:pic>
              </a:graphicData>
            </a:graphic>
          </wp:inline>
        </w:drawing>
      </w:r>
    </w:p>
    <w:p>
      <w:pPr>
        <w:widowControl/>
        <w:spacing w:before="120" w:after="120" w:line="480" w:lineRule="auto"/>
        <w:ind w:firstLine="0"/>
        <w:jc w:val="both"/>
      </w:pPr>
      <w:r>
        <w:rPr>
          <w:rFonts w:ascii="Times New Roman" w:hAnsi="Times New Roman" w:eastAsia="Times New Roman"/>
          <w:b/>
          <w:i/>
          <w:color w:val="000000"/>
          <w:sz w:val="24"/>
        </w:rPr>
        <w:t>Figure 4.3</w:t>
      </w:r>
      <w:r>
        <w:rPr>
          <w:rFonts w:ascii="Times New Roman" w:hAnsi="Times New Roman" w:eastAsia="Times New Roman"/>
          <w:b w:val="0"/>
          <w:i/>
          <w:color w:val="000000"/>
          <w:sz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eastAsia="Times New Roman"/>
          <w:b w:val="0"/>
          <w:i w:val="0"/>
          <w:color w:val="000000"/>
          <w:sz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eastAsia="Times New Roman"/>
          <w:b w:val="0"/>
          <w:i w:val="0"/>
          <w:color w:val="000000"/>
          <w:sz w:val="24"/>
        </w:rPr>
        <w:t xml:space="preserve">Relative to the 0.2 µm plaque-retention threshold </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w:t>
      </w:r>
    </w:p>
    <w:p>
      <w:pPr>
        <w:keepNext/>
        <w:widowControl/>
        <w:spacing w:before="240" w:after="0" w:line="480" w:lineRule="auto"/>
        <w:ind w:firstLine="0"/>
        <w:jc w:val="left"/>
      </w:pPr>
      <w:r>
        <w:rPr>
          <w:rFonts w:ascii="Times New Roman" w:hAnsi="Times New Roman" w:eastAsia="Times New Roman"/>
          <w:b/>
          <w:i w:val="0"/>
          <w:color w:val="000000"/>
          <w:sz w:val="28"/>
        </w:rPr>
        <w:t>4.3 Summary of the findings</w:t>
      </w:r>
    </w:p>
    <w:p>
      <w:pPr>
        <w:widowControl/>
        <w:spacing w:before="0" w:after="0" w:line="480" w:lineRule="auto"/>
        <w:ind w:firstLine="720"/>
        <w:jc w:val="both"/>
      </w:pPr>
      <w:r>
        <w:rPr>
          <w:rFonts w:ascii="Times New Roman" w:hAnsi="Times New Roman" w:eastAsia="Times New Roman"/>
          <w:b w:val="0"/>
          <w:i w:val="0"/>
          <w:color w:val="000000"/>
          <w:sz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5</w:t>
      </w:r>
    </w:p>
    <w:p>
      <w:pPr>
        <w:keepNext/>
        <w:widowControl/>
        <w:spacing w:before="0" w:after="360" w:lineRule="auto" w:line="276"/>
        <w:ind w:firstLine="0"/>
        <w:jc w:val="center"/>
      </w:pPr>
      <w:r>
        <w:rPr>
          <w:rFonts w:ascii="Times New Roman" w:hAnsi="Times New Roman" w:eastAsia="Times New Roman"/>
          <w:b/>
          <w:i w:val="0"/>
          <w:color w:val="000000"/>
          <w:sz w:val="36"/>
        </w:rPr>
        <w:t>DISCUSSION</w:t>
      </w:r>
    </w:p>
    <w:p>
      <w:pPr>
        <w:widowControl/>
        <w:spacing w:before="0" w:after="0" w:line="480" w:lineRule="auto"/>
        <w:ind w:firstLine="720"/>
        <w:jc w:val="both"/>
      </w:pPr>
      <w:r>
        <w:rPr>
          <w:rFonts w:ascii="Times New Roman" w:hAnsi="Times New Roman" w:eastAsia="Times New Roman"/>
          <w:b w:val="0"/>
          <w:i w:val="0"/>
          <w:color w:val="000000"/>
          <w:sz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keepNext/>
        <w:widowControl/>
        <w:spacing w:before="240" w:after="0" w:line="480" w:lineRule="auto"/>
        <w:ind w:firstLine="0"/>
        <w:jc w:val="left"/>
      </w:pPr>
      <w:r>
        <w:rPr>
          <w:rFonts w:ascii="Times New Roman" w:hAnsi="Times New Roman" w:eastAsia="Times New Roman"/>
          <w:b/>
          <w:i w:val="0"/>
          <w:color w:val="000000"/>
          <w:sz w:val="28"/>
        </w:rPr>
        <w:t>5.1 Interpretation of the weight-loss findings</w:t>
      </w:r>
    </w:p>
    <w:p>
      <w:pPr>
        <w:widowControl/>
        <w:spacing w:before="0" w:after="0" w:line="480" w:lineRule="auto"/>
        <w:ind w:firstLine="720"/>
        <w:jc w:val="both"/>
      </w:pPr>
      <w:r>
        <w:rPr>
          <w:rFonts w:ascii="Times New Roman" w:hAnsi="Times New Roman" w:eastAsia="Times New Roman"/>
          <w:b w:val="0"/>
          <w:i w:val="0"/>
          <w:color w:val="000000"/>
          <w:sz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eastAsia="Times New Roman"/>
          <w:b w:val="0"/>
          <w:i w:val="0"/>
          <w:color w:val="000000"/>
          <w:sz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eastAsia="Times New Roman"/>
          <w:b w:val="0"/>
          <w:i w:val="0"/>
          <w:color w:val="000000"/>
          <w:sz w:val="24"/>
          <w:vertAlign w:val="superscript"/>
        </w:rPr>
        <w:t>(12)</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keepNext/>
        <w:widowControl/>
        <w:spacing w:before="240" w:after="0" w:line="480" w:lineRule="auto"/>
        <w:ind w:firstLine="0"/>
        <w:jc w:val="left"/>
      </w:pPr>
      <w:r>
        <w:rPr>
          <w:rFonts w:ascii="Times New Roman" w:hAnsi="Times New Roman" w:eastAsia="Times New Roman"/>
          <w:b/>
          <w:i w:val="0"/>
          <w:color w:val="000000"/>
          <w:sz w:val="28"/>
        </w:rPr>
        <w:t>5.2 Interpretation of the roughness findings</w:t>
      </w:r>
    </w:p>
    <w:p>
      <w:pPr>
        <w:widowControl/>
        <w:spacing w:before="0" w:after="0" w:line="480" w:lineRule="auto"/>
        <w:ind w:firstLine="720"/>
        <w:jc w:val="both"/>
      </w:pPr>
      <w:r>
        <w:rPr>
          <w:rFonts w:ascii="Times New Roman" w:hAnsi="Times New Roman" w:eastAsia="Times New Roman"/>
          <w:b w:val="0"/>
          <w:i w:val="0"/>
          <w:color w:val="000000"/>
          <w:sz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eastAsia="Times New Roman"/>
          <w:b w:val="0"/>
          <w:i w:val="0"/>
          <w:color w:val="000000"/>
          <w:sz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eastAsia="Times New Roman"/>
          <w:b w:val="0"/>
          <w:i w:val="0"/>
          <w:color w:val="000000"/>
          <w:sz w:val="24"/>
          <w:vertAlign w:val="superscript"/>
        </w:rPr>
        <w:t>(6,18,24)</w:t>
      </w:r>
      <w:r>
        <w:rPr>
          <w:rFonts w:ascii="Times New Roman" w:hAnsi="Times New Roman" w:eastAsia="Times New Roman"/>
          <w:b w:val="0"/>
          <w:i w:val="0"/>
          <w:color w:val="000000"/>
          <w:sz w:val="24"/>
        </w:rPr>
        <w:t xml:space="preserve">. A nanohybrid that contains larger S-PRG and pre-polymerised particles loses the resin-rich surface first; the larger fillers are then uncovered or plucked, leaving a coarser profile </w:t>
      </w:r>
      <w:r>
        <w:rPr>
          <w:rFonts w:ascii="Times New Roman" w:hAnsi="Times New Roman" w:eastAsia="Times New Roman"/>
          <w:b w:val="0"/>
          <w:i w:val="0"/>
          <w:color w:val="000000"/>
          <w:sz w:val="24"/>
          <w:vertAlign w:val="superscript"/>
        </w:rPr>
        <w:t>(4,18)</w:t>
      </w:r>
      <w:r>
        <w:rPr>
          <w:rFonts w:ascii="Times New Roman" w:hAnsi="Times New Roman" w:eastAsia="Times New Roman"/>
          <w:b w:val="0"/>
          <w:i w:val="0"/>
          <w:color w:val="000000"/>
          <w:sz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eastAsia="Times New Roman"/>
          <w:b w:val="0"/>
          <w:i w:val="0"/>
          <w:color w:val="000000"/>
          <w:sz w:val="24"/>
          <w:vertAlign w:val="superscript"/>
        </w:rPr>
        <w:t>(18)</w:t>
      </w:r>
      <w:r>
        <w:rPr>
          <w:rFonts w:ascii="Times New Roman" w:hAnsi="Times New Roman" w:eastAsia="Times New Roman"/>
          <w:b w:val="0"/>
          <w:i w:val="0"/>
          <w:color w:val="000000"/>
          <w:sz w:val="24"/>
        </w:rPr>
        <w:t xml:space="preserve">. Heintze et al. had already shown that hybrid and microhybrid pastes deteriorate more with load and time than microfilled resins </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 xml:space="preserve">, and da Costa et al. found that composites with smaller average fillers lost less gloss and gained less roughness when brushed with Colgate Total </w:t>
      </w:r>
      <w:r>
        <w:rPr>
          <w:rFonts w:ascii="Times New Roman" w:hAnsi="Times New Roman" w:eastAsia="Times New Roman"/>
          <w:b w:val="0"/>
          <w:i w:val="0"/>
          <w:color w:val="000000"/>
          <w:sz w:val="24"/>
          <w:vertAlign w:val="superscript"/>
        </w:rPr>
        <w:t>(25)</w:t>
      </w:r>
      <w:r>
        <w:rPr>
          <w:rFonts w:ascii="Times New Roman" w:hAnsi="Times New Roman" w:eastAsia="Times New Roman"/>
          <w:b w:val="0"/>
          <w:i w:val="0"/>
          <w:color w:val="000000"/>
          <w:sz w:val="24"/>
        </w:rPr>
        <w:t>. The present results sit within that literature rather than against it.</w:t>
      </w:r>
    </w:p>
    <w:p>
      <w:pPr>
        <w:widowControl/>
        <w:spacing w:before="0" w:after="0" w:line="480" w:lineRule="auto"/>
        <w:ind w:firstLine="720"/>
        <w:jc w:val="both"/>
      </w:pPr>
      <w:r>
        <w:rPr>
          <w:rFonts w:ascii="Times New Roman" w:hAnsi="Times New Roman" w:eastAsia="Times New Roman"/>
          <w:b w:val="0"/>
          <w:i w:val="0"/>
          <w:color w:val="000000"/>
          <w:sz w:val="24"/>
        </w:rPr>
        <w:t xml:space="preserve">The 0.2 µm threshold of Bollen, Lambrechts and Quirynen remains the clinically useful reference </w:t>
      </w:r>
      <w:r>
        <w:rPr>
          <w:rFonts w:ascii="Times New Roman" w:hAnsi="Times New Roman" w:eastAsia="Times New Roman"/>
          <w:b w:val="0"/>
          <w:i w:val="0"/>
          <w:color w:val="000000"/>
          <w:sz w:val="24"/>
          <w:vertAlign w:val="superscript"/>
        </w:rPr>
        <w:t>(1,17)</w:t>
      </w:r>
      <w:r>
        <w:rPr>
          <w:rFonts w:ascii="Times New Roman" w:hAnsi="Times New Roman" w:eastAsia="Times New Roman"/>
          <w:b w:val="0"/>
          <w:i w:val="0"/>
          <w:color w:val="000000"/>
          <w:sz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eastAsia="Times New Roman"/>
          <w:b w:val="0"/>
          <w:i w:val="0"/>
          <w:color w:val="000000"/>
          <w:sz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keepNext/>
        <w:widowControl/>
        <w:spacing w:before="240" w:after="0" w:line="480" w:lineRule="auto"/>
        <w:ind w:firstLine="0"/>
        <w:jc w:val="left"/>
      </w:pPr>
      <w:r>
        <w:rPr>
          <w:rFonts w:ascii="Times New Roman" w:hAnsi="Times New Roman" w:eastAsia="Times New Roman"/>
          <w:b/>
          <w:i w:val="0"/>
          <w:color w:val="000000"/>
          <w:sz w:val="28"/>
        </w:rPr>
        <w:t>5.3 Clinical implications</w:t>
      </w:r>
    </w:p>
    <w:p>
      <w:pPr>
        <w:widowControl/>
        <w:spacing w:before="0" w:after="0" w:line="480" w:lineRule="auto"/>
        <w:ind w:firstLine="720"/>
        <w:jc w:val="both"/>
      </w:pPr>
      <w:r>
        <w:rPr>
          <w:rFonts w:ascii="Times New Roman" w:hAnsi="Times New Roman" w:eastAsia="Times New Roman"/>
          <w:b w:val="0"/>
          <w:i w:val="0"/>
          <w:color w:val="000000"/>
          <w:sz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eastAsia="Times New Roman"/>
          <w:b w:val="0"/>
          <w:i w:val="0"/>
          <w:color w:val="000000"/>
          <w:sz w:val="24"/>
          <w:vertAlign w:val="superscript"/>
        </w:rPr>
        <w:t>(1,17)</w:t>
      </w:r>
      <w:r>
        <w:rPr>
          <w:rFonts w:ascii="Times New Roman" w:hAnsi="Times New Roman" w:eastAsia="Times New Roman"/>
          <w:b w:val="0"/>
          <w:i w:val="0"/>
          <w:color w:val="000000"/>
          <w:sz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eastAsia="Times New Roman"/>
          <w:b w:val="0"/>
          <w:i w:val="0"/>
          <w:color w:val="000000"/>
          <w:sz w:val="24"/>
          <w:vertAlign w:val="superscript"/>
        </w:rPr>
        <w:t>(20)</w:t>
      </w:r>
      <w:r>
        <w:rPr>
          <w:rFonts w:ascii="Times New Roman" w:hAnsi="Times New Roman" w:eastAsia="Times New Roman"/>
          <w:b w:val="0"/>
          <w:i w:val="0"/>
          <w:color w:val="000000"/>
          <w:sz w:val="24"/>
        </w:rPr>
        <w:t>.</w:t>
      </w:r>
    </w:p>
    <w:p>
      <w:pPr>
        <w:widowControl/>
        <w:spacing w:before="0" w:after="0" w:line="480" w:lineRule="auto"/>
        <w:ind w:firstLine="720"/>
        <w:jc w:val="both"/>
      </w:pPr>
      <w:r>
        <w:rPr>
          <w:rFonts w:ascii="Times New Roman" w:hAnsi="Times New Roman" w:eastAsia="Times New Roman"/>
          <w:b w:val="0"/>
          <w:i w:val="0"/>
          <w:color w:val="000000"/>
          <w:sz w:val="24"/>
        </w:rPr>
        <w:t>Beautifil II LS remains a reasonable packable control. Its higher baseline Ra may reflect the size and distribution of its fillers, the finishing of the disc, or both. If the nanohybrid was left with a coarser as-cured or as-finished surface, part of the after-brushing difference was already present at baseline. The comparison after abrasion is nevertheless valid: the three groups were treated identically and were compared as they stood at the end of the test.</w:t>
      </w:r>
    </w:p>
    <w:p>
      <w:pPr>
        <w:keepNext/>
        <w:widowControl/>
        <w:spacing w:before="240" w:after="0" w:line="480" w:lineRule="auto"/>
        <w:ind w:firstLine="0"/>
        <w:jc w:val="left"/>
      </w:pPr>
      <w:r>
        <w:rPr>
          <w:rFonts w:ascii="Times New Roman" w:hAnsi="Times New Roman" w:eastAsia="Times New Roman"/>
          <w:b/>
          <w:i w:val="0"/>
          <w:color w:val="000000"/>
          <w:sz w:val="28"/>
        </w:rPr>
        <w:t>5.4 Strengths of the study</w:t>
      </w:r>
    </w:p>
    <w:p>
      <w:pPr>
        <w:widowControl/>
        <w:spacing w:before="0" w:after="0" w:line="480" w:lineRule="auto"/>
        <w:ind w:firstLine="720"/>
        <w:jc w:val="both"/>
      </w:pPr>
      <w:r>
        <w:rPr>
          <w:rFonts w:ascii="Times New Roman" w:hAnsi="Times New Roman" w:eastAsia="Times New Roman"/>
          <w:b w:val="0"/>
          <w:i w:val="0"/>
          <w:color w:val="000000"/>
          <w:sz w:val="24"/>
        </w:rPr>
        <w:t xml:space="preserve">The three products are current commercial materials, and the Shofu injectable is the X-generation Flow Plus rather than the earlier F00 formulation used by Rajabi et al. </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 xml:space="preserve">. Twelve specimens were tested in each group rather than the ten indicated by the original power calculation. Mass and Ra were recorded on the same discs, so the two outcomes describe the same surfaces. The brushing load and the cycle count follow published ISO guidance and the Sexson–Phillips estimate </w:t>
      </w:r>
      <w:r>
        <w:rPr>
          <w:rFonts w:ascii="Times New Roman" w:hAnsi="Times New Roman" w:eastAsia="Times New Roman"/>
          <w:b w:val="0"/>
          <w:i w:val="0"/>
          <w:color w:val="000000"/>
          <w:sz w:val="24"/>
          <w:vertAlign w:val="superscript"/>
        </w:rPr>
        <w:t>(3,7)</w:t>
      </w:r>
      <w:r>
        <w:rPr>
          <w:rFonts w:ascii="Times New Roman" w:hAnsi="Times New Roman" w:eastAsia="Times New Roman"/>
          <w:b w:val="0"/>
          <w:i w:val="0"/>
          <w:color w:val="000000"/>
          <w:sz w:val="24"/>
        </w:rPr>
        <w:t>. The statistical tests were chosen to match the distributions of the two outcomes. The outlying specimen was retained and identified rather than discarded.</w:t>
      </w:r>
    </w:p>
    <w:p>
      <w:pPr>
        <w:keepNext/>
        <w:widowControl/>
        <w:spacing w:before="240" w:after="0" w:line="480" w:lineRule="auto"/>
        <w:ind w:firstLine="0"/>
        <w:jc w:val="left"/>
      </w:pPr>
      <w:r>
        <w:rPr>
          <w:rFonts w:ascii="Times New Roman" w:hAnsi="Times New Roman" w:eastAsia="Times New Roman"/>
          <w:b/>
          <w:i w:val="0"/>
          <w:color w:val="000000"/>
          <w:sz w:val="28"/>
        </w:rPr>
        <w:t>5.5 Limitations of the study</w:t>
      </w:r>
    </w:p>
    <w:p>
      <w:pPr>
        <w:widowControl/>
        <w:spacing w:before="0" w:after="0" w:line="480" w:lineRule="auto"/>
        <w:ind w:firstLine="720"/>
        <w:jc w:val="both"/>
      </w:pPr>
      <w:r>
        <w:rPr>
          <w:rFonts w:ascii="Times New Roman" w:hAnsi="Times New Roman" w:eastAsia="Times New Roman"/>
          <w:b w:val="0"/>
          <w:i w:val="0"/>
          <w:color w:val="000000"/>
          <w:sz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eastAsia="Times New Roman"/>
          <w:b w:val="0"/>
          <w:i w:val="0"/>
          <w:color w:val="000000"/>
          <w:sz w:val="24"/>
          <w:vertAlign w:val="superscript"/>
        </w:rPr>
        <w:t>(10)</w:t>
      </w:r>
      <w:r>
        <w:rPr>
          <w:rFonts w:ascii="Times New Roman" w:hAnsi="Times New Roman" w:eastAsia="Times New Roman"/>
          <w:b w:val="0"/>
          <w:i w:val="0"/>
          <w:color w:val="000000"/>
          <w:sz w:val="24"/>
        </w:rPr>
        <w:t xml:space="preserve">. Gravimetric loss is not worn volume and is not worn anatomy </w:t>
      </w:r>
      <w:r>
        <w:rPr>
          <w:rFonts w:ascii="Times New Roman" w:hAnsi="Times New Roman" w:eastAsia="Times New Roman"/>
          <w:b w:val="0"/>
          <w:i w:val="0"/>
          <w:color w:val="000000"/>
          <w:sz w:val="24"/>
          <w:vertAlign w:val="superscript"/>
        </w:rPr>
        <w:t>(15)</w:t>
      </w:r>
      <w:r>
        <w:rPr>
          <w:rFonts w:ascii="Times New Roman" w:hAnsi="Times New Roman" w:eastAsia="Times New Roman"/>
          <w:b w:val="0"/>
          <w:i w:val="0"/>
          <w:color w:val="000000"/>
          <w:sz w:val="24"/>
        </w:rPr>
        <w:t xml:space="preserve">. A single dentifrice of moderate abrasivity was used; a whitening paste of higher RDA might enlarge the roughness differences </w:t>
      </w:r>
      <w:r>
        <w:rPr>
          <w:rFonts w:ascii="Times New Roman" w:hAnsi="Times New Roman" w:eastAsia="Times New Roman"/>
          <w:b w:val="0"/>
          <w:i w:val="0"/>
          <w:color w:val="000000"/>
          <w:sz w:val="24"/>
          <w:vertAlign w:val="superscript"/>
        </w:rPr>
        <w:t>(8,25)</w:t>
      </w:r>
      <w:r>
        <w:rPr>
          <w:rFonts w:ascii="Times New Roman" w:hAnsi="Times New Roman" w:eastAsia="Times New Roman"/>
          <w:b w:val="0"/>
          <w:i w:val="0"/>
          <w:color w:val="000000"/>
          <w:sz w:val="24"/>
        </w:rPr>
        <w:t>. Brush stiffness and the exact slurry ratio were not fully specified. Scanning electron microscopy was not performed, so the inference that larger fillers are uncovered or plucked rests on the roughness numbers and on the published literature rather than on micrographs of these discs. Ten thousand cycles represent one conventional laboratory year, not a year of any particular patient’s hygiene. Disc geometry is not a Class II cavity, and the results should not be read as a prediction of wear at an occlusal contact or at a gingival margin.</w:t>
      </w:r>
    </w:p>
    <w:p>
      <w:pPr>
        <w:keepNext/>
        <w:widowControl/>
        <w:spacing w:before="240" w:after="0" w:line="480" w:lineRule="auto"/>
        <w:ind w:firstLine="0"/>
        <w:jc w:val="left"/>
      </w:pPr>
      <w:r>
        <w:rPr>
          <w:rFonts w:ascii="Times New Roman" w:hAnsi="Times New Roman" w:eastAsia="Times New Roman"/>
          <w:b/>
          <w:i w:val="0"/>
          <w:color w:val="000000"/>
          <w:sz w:val="28"/>
        </w:rPr>
        <w:t>5.6 Concluding remarks of the discussion</w:t>
      </w:r>
    </w:p>
    <w:p>
      <w:pPr>
        <w:widowControl/>
        <w:spacing w:before="0" w:after="0" w:line="480" w:lineRule="auto"/>
        <w:ind w:firstLine="720"/>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6</w:t>
      </w:r>
    </w:p>
    <w:p>
      <w:pPr>
        <w:keepNext/>
        <w:widowControl/>
        <w:spacing w:before="0" w:after="360" w:lineRule="auto" w:line="276"/>
        <w:ind w:firstLine="0"/>
        <w:jc w:val="center"/>
      </w:pPr>
      <w:r>
        <w:rPr>
          <w:rFonts w:ascii="Times New Roman" w:hAnsi="Times New Roman" w:eastAsia="Times New Roman"/>
          <w:b/>
          <w:i w:val="0"/>
          <w:color w:val="000000"/>
          <w:sz w:val="36"/>
        </w:rPr>
        <w:t>CONCLUSIONS AND RECOMMENDATIONS</w:t>
      </w:r>
    </w:p>
    <w:p>
      <w:pPr>
        <w:keepNext/>
        <w:widowControl/>
        <w:spacing w:before="240" w:after="0" w:line="480" w:lineRule="auto"/>
        <w:ind w:firstLine="0"/>
        <w:jc w:val="left"/>
      </w:pPr>
      <w:r>
        <w:rPr>
          <w:rFonts w:ascii="Times New Roman" w:hAnsi="Times New Roman" w:eastAsia="Times New Roman"/>
          <w:b/>
          <w:i w:val="0"/>
          <w:color w:val="000000"/>
          <w:sz w:val="28"/>
        </w:rPr>
        <w:t>6.1 Conclusions</w:t>
      </w:r>
    </w:p>
    <w:p>
      <w:pPr>
        <w:widowControl/>
        <w:spacing w:before="0" w:after="0" w:line="480" w:lineRule="auto"/>
        <w:ind w:firstLine="720"/>
        <w:jc w:val="both"/>
      </w:pPr>
      <w:r>
        <w:rPr>
          <w:rFonts w:ascii="Times New Roman" w:hAnsi="Times New Roman" w:eastAsia="Times New Roman"/>
          <w:b w:val="0"/>
          <w:i w:val="0"/>
          <w:color w:val="000000"/>
          <w:sz w:val="24"/>
        </w:rPr>
        <w:t>Under the conditions of this in-vitro study:</w:t>
      </w:r>
    </w:p>
    <w:p>
      <w:pPr>
        <w:widowControl/>
        <w:spacing w:before="0" w:after="0" w:line="480" w:lineRule="auto"/>
        <w:ind w:left="720" w:hanging="72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720"/>
        <w:jc w:val="both"/>
      </w:pPr>
      <w:r>
        <w:rPr>
          <w:rFonts w:ascii="Times New Roman" w:hAnsi="Times New Roman" w:eastAsia="Times New Roman"/>
          <w:b w:val="0"/>
          <w:i w:val="0"/>
          <w:color w:val="000000"/>
          <w:sz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720"/>
        <w:jc w:val="both"/>
      </w:pPr>
      <w:r>
        <w:rPr>
          <w:rFonts w:ascii="Times New Roman" w:hAnsi="Times New Roman" w:eastAsia="Times New Roman"/>
          <w:b w:val="0"/>
          <w:i w:val="0"/>
          <w:color w:val="000000"/>
          <w:sz w:val="24"/>
        </w:rPr>
        <w:t>3. Mean Ra of both injectable resins remained below 0.2 µm. Mean Ra of Beautifil II LS was 0.194 µm.</w:t>
      </w:r>
    </w:p>
    <w:p>
      <w:pPr>
        <w:widowControl/>
        <w:spacing w:before="0" w:after="0" w:line="480" w:lineRule="auto"/>
        <w:ind w:left="720" w:hanging="720"/>
        <w:jc w:val="both"/>
      </w:pPr>
      <w:r>
        <w:rPr>
          <w:rFonts w:ascii="Times New Roman" w:hAnsi="Times New Roman" w:eastAsia="Times New Roman"/>
          <w:b w:val="0"/>
          <w:i w:val="0"/>
          <w:color w:val="000000"/>
          <w:sz w:val="24"/>
        </w:rPr>
        <w:t>4. One Beautifil Flow Plus X F00 disc lost approximately 11.4 % of its mass and is the source of that group’s large standard deviation.</w:t>
      </w:r>
    </w:p>
    <w:p>
      <w:pPr>
        <w:widowControl/>
        <w:spacing w:before="0" w:after="0" w:line="480" w:lineRule="auto"/>
        <w:ind w:left="720" w:hanging="720"/>
        <w:jc w:val="both"/>
      </w:pPr>
      <w:r>
        <w:rPr>
          <w:rFonts w:ascii="Times New Roman" w:hAnsi="Times New Roman" w:eastAsia="Times New Roman"/>
          <w:b w:val="0"/>
          <w:i w:val="0"/>
          <w:color w:val="000000"/>
          <w:sz w:val="24"/>
        </w:rPr>
        <w:t>5. The first null hypothesis is retained. The second is rejected.</w:t>
      </w:r>
    </w:p>
    <w:p>
      <w:pPr>
        <w:keepNext/>
        <w:widowControl/>
        <w:spacing w:before="240" w:after="0" w:line="480" w:lineRule="auto"/>
        <w:ind w:firstLine="0"/>
        <w:jc w:val="left"/>
      </w:pPr>
      <w:r>
        <w:rPr>
          <w:rFonts w:ascii="Times New Roman" w:hAnsi="Times New Roman" w:eastAsia="Times New Roman"/>
          <w:b/>
          <w:i w:val="0"/>
          <w:color w:val="000000"/>
          <w:sz w:val="28"/>
        </w:rPr>
        <w:t>6.2 Recommendations</w:t>
      </w:r>
    </w:p>
    <w:p>
      <w:pPr>
        <w:widowControl/>
        <w:spacing w:before="0" w:after="0" w:line="480" w:lineRule="auto"/>
        <w:ind w:firstLine="720"/>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finishing sequence, the brush and the slurry ratio should be stated in full.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determine whether the difference between approximately 0.10 µm and 0.19 µm after a laboratory year is associated with a difference in plaque accumulation, staining or restoration survival.</w:t>
      </w:r>
    </w:p>
    <w:p>
      <w:pPr>
        <w:widowControl/>
        <w:spacing w:before="0" w:after="0" w:lineRule="auto" w:line="240"/>
        <w:ind w:firstLine="0"/>
        <w:jc w:val="both"/>
      </w:pPr>
      <w:r>
        <w:br w:type="page"/>
      </w:r>
    </w:p>
    <w:p>
      <w:pPr>
        <w:keepNext/>
        <w:widowControl/>
        <w:spacing w:before="240" w:after="360" w:lineRule="auto" w:line="276"/>
        <w:ind w:firstLine="0"/>
        <w:jc w:val="center"/>
      </w:pPr>
      <w:r>
        <w:rPr>
          <w:rFonts w:ascii="Times New Roman" w:hAnsi="Times New Roman" w:eastAsia="Times New Roman"/>
          <w:b/>
          <w:i w:val="0"/>
          <w:color w:val="000000"/>
          <w:sz w:val="36"/>
        </w:rPr>
        <w:t>CHAPTER 7</w:t>
      </w:r>
    </w:p>
    <w:p>
      <w:pPr>
        <w:keepNext/>
        <w:widowControl/>
        <w:spacing w:before="0" w:after="360" w:lineRule="auto" w:line="276"/>
        <w:ind w:firstLine="0"/>
        <w:jc w:val="center"/>
      </w:pPr>
      <w:r>
        <w:rPr>
          <w:rFonts w:ascii="Times New Roman" w:hAnsi="Times New Roman" w:eastAsia="Times New Roman"/>
          <w:b/>
          <w:i w:val="0"/>
          <w:color w:val="000000"/>
          <w:sz w:val="36"/>
        </w:rPr>
        <w:t>REFERENCES</w:t>
      </w:r>
    </w:p>
    <w:p>
      <w:pPr>
        <w:widowControl/>
        <w:spacing w:before="0" w:after="0" w:line="480" w:lineRule="auto"/>
        <w:ind w:left="720" w:hanging="720"/>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:258-269.</w:t>
      </w:r>
    </w:p>
    <w:p>
      <w:pPr>
        <w:widowControl/>
        <w:spacing w:before="0" w:after="0" w:line="480" w:lineRule="auto"/>
        <w:ind w:left="720" w:hanging="720"/>
        <w:jc w:val="both"/>
      </w:pPr>
      <w:r>
        <w:rPr>
          <w:rFonts w:ascii="Times New Roman" w:hAnsi="Times New Roman" w:eastAsia="Times New Roman"/>
          <w:b w:val="0"/>
          <w:i w:val="0"/>
          <w:color w:val="000000"/>
          <w:sz w:val="24"/>
        </w:rPr>
        <w:t>2. Jones CS, Billington RW, Pearson GJ. The in vivo perception of roughness of restorations. Br Dent J. 2004;196</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:42-45.</w:t>
      </w:r>
    </w:p>
    <w:p>
      <w:pPr>
        <w:widowControl/>
        <w:spacing w:before="0" w:after="0" w:line="480" w:lineRule="auto"/>
        <w:ind w:left="720" w:hanging="720"/>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widowControl/>
        <w:spacing w:before="0" w:after="0" w:line="480" w:lineRule="auto"/>
        <w:ind w:left="720" w:hanging="720"/>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:306-319.</w:t>
      </w:r>
    </w:p>
    <w:p>
      <w:pPr>
        <w:widowControl/>
        <w:spacing w:before="0" w:after="0" w:line="480" w:lineRule="auto"/>
        <w:ind w:left="720" w:hanging="720"/>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:567-577.</w:t>
      </w:r>
    </w:p>
    <w:p>
      <w:pPr>
        <w:widowControl/>
        <w:spacing w:before="0" w:after="0" w:line="480" w:lineRule="auto"/>
        <w:ind w:left="720" w:hanging="720"/>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w:t>
      </w:r>
      <w:r>
        <w:rPr>
          <w:rFonts w:ascii="Times New Roman" w:hAnsi="Times New Roman" w:eastAsia="Times New Roman"/>
          <w:b w:val="0"/>
          <w:i w:val="0"/>
          <w:color w:val="000000"/>
          <w:sz w:val="24"/>
          <w:vertAlign w:val="superscript"/>
        </w:rPr>
        <w:t>(19)</w:t>
      </w:r>
      <w:r>
        <w:rPr>
          <w:rFonts w:ascii="Times New Roman" w:hAnsi="Times New Roman" w:eastAsia="Times New Roman"/>
          <w:b w:val="0"/>
          <w:i w:val="0"/>
          <w:color w:val="000000"/>
          <w:sz w:val="24"/>
        </w:rPr>
        <w:t>:4749.</w:t>
      </w:r>
    </w:p>
    <w:p>
      <w:pPr>
        <w:widowControl/>
        <w:spacing w:before="0" w:after="0" w:line="480" w:lineRule="auto"/>
        <w:ind w:left="720" w:hanging="720"/>
        <w:jc w:val="both"/>
      </w:pPr>
      <w:r>
        <w:rPr>
          <w:rFonts w:ascii="Times New Roman" w:hAnsi="Times New Roman" w:eastAsia="Times New Roman"/>
          <w:b w:val="0"/>
          <w:i w:val="0"/>
          <w:color w:val="000000"/>
          <w:sz w:val="24"/>
        </w:rPr>
        <w:t>7. Sexson JC, Phillips RW. Studies on the effects of abrasives on acrylic resins. J Prosthet Dent. 1951;1</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:454-471.</w:t>
      </w:r>
    </w:p>
    <w:p>
      <w:pPr>
        <w:widowControl/>
        <w:spacing w:before="0" w:after="0" w:line="480" w:lineRule="auto"/>
        <w:ind w:left="720" w:hanging="720"/>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w:t>
      </w:r>
      <w:r>
        <w:rPr>
          <w:rFonts w:ascii="Times New Roman" w:hAnsi="Times New Roman" w:eastAsia="Times New Roman"/>
          <w:b w:val="0"/>
          <w:i w:val="0"/>
          <w:color w:val="000000"/>
          <w:sz w:val="24"/>
          <w:vertAlign w:val="superscript"/>
        </w:rPr>
        <w:t>(7)</w:t>
      </w:r>
      <w:r>
        <w:rPr>
          <w:rFonts w:ascii="Times New Roman" w:hAnsi="Times New Roman" w:eastAsia="Times New Roman"/>
          <w:b w:val="0"/>
          <w:i w:val="0"/>
          <w:color w:val="000000"/>
          <w:sz w:val="24"/>
        </w:rPr>
        <w:t>:1-5.</w:t>
      </w:r>
    </w:p>
    <w:p>
      <w:pPr>
        <w:widowControl/>
        <w:spacing w:before="0" w:after="0" w:line="480" w:lineRule="auto"/>
        <w:ind w:left="720" w:hanging="720"/>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widowControl/>
        <w:spacing w:before="0" w:after="0" w:line="480" w:lineRule="auto"/>
        <w:ind w:left="720" w:hanging="720"/>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:693-701.</w:t>
      </w:r>
    </w:p>
    <w:p>
      <w:pPr>
        <w:widowControl/>
        <w:spacing w:before="0" w:after="0" w:line="480" w:lineRule="auto"/>
        <w:ind w:left="720" w:hanging="720"/>
        <w:jc w:val="both"/>
      </w:pPr>
      <w:r>
        <w:rPr>
          <w:rFonts w:ascii="Times New Roman" w:hAnsi="Times New Roman" w:eastAsia="Times New Roman"/>
          <w:b w:val="0"/>
          <w:i w:val="0"/>
          <w:color w:val="000000"/>
          <w:sz w:val="24"/>
        </w:rPr>
        <w:t>11. Ferracane JL. Resin composite—state of the art. Dent Mater. 2011;27</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:29-38.</w:t>
      </w:r>
    </w:p>
    <w:p>
      <w:pPr>
        <w:widowControl/>
        <w:spacing w:before="0" w:after="0" w:line="480" w:lineRule="auto"/>
        <w:ind w:left="720" w:hanging="720"/>
        <w:jc w:val="both"/>
      </w:pPr>
      <w:r>
        <w:rPr>
          <w:rFonts w:ascii="Times New Roman" w:hAnsi="Times New Roman" w:eastAsia="Times New Roman"/>
          <w:b w:val="0"/>
          <w:i w:val="0"/>
          <w:color w:val="000000"/>
          <w:sz w:val="24"/>
        </w:rPr>
        <w:t>12. Condon JR, Ferracane JL. In vitro wear of composite with varied cure, filler level, and filler treatment. J Dent Res. 1997;76</w:t>
      </w:r>
      <w:r>
        <w:rPr>
          <w:rFonts w:ascii="Times New Roman" w:hAnsi="Times New Roman" w:eastAsia="Times New Roman"/>
          <w:b w:val="0"/>
          <w:i w:val="0"/>
          <w:color w:val="000000"/>
          <w:sz w:val="24"/>
          <w:vertAlign w:val="superscript"/>
        </w:rPr>
        <w:t>(7)</w:t>
      </w:r>
      <w:r>
        <w:rPr>
          <w:rFonts w:ascii="Times New Roman" w:hAnsi="Times New Roman" w:eastAsia="Times New Roman"/>
          <w:b w:val="0"/>
          <w:i w:val="0"/>
          <w:color w:val="000000"/>
          <w:sz w:val="24"/>
        </w:rPr>
        <w:t>:1405-1411.</w:t>
      </w:r>
    </w:p>
    <w:p>
      <w:pPr>
        <w:widowControl/>
        <w:spacing w:before="0" w:after="0" w:line="480" w:lineRule="auto"/>
        <w:ind w:left="720" w:hanging="720"/>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w:t>
      </w:r>
      <w:r>
        <w:rPr>
          <w:rFonts w:ascii="Times New Roman" w:hAnsi="Times New Roman" w:eastAsia="Times New Roman"/>
          <w:b w:val="0"/>
          <w:i w:val="0"/>
          <w:color w:val="000000"/>
          <w:sz w:val="24"/>
          <w:vertAlign w:val="superscript"/>
        </w:rPr>
        <w:t>(6)</w:t>
      </w:r>
      <w:r>
        <w:rPr>
          <w:rFonts w:ascii="Times New Roman" w:hAnsi="Times New Roman" w:eastAsia="Times New Roman"/>
          <w:b w:val="0"/>
          <w:i w:val="0"/>
          <w:color w:val="000000"/>
          <w:sz w:val="24"/>
        </w:rPr>
        <w:t>:ZE18-ZE24.</w:t>
      </w:r>
    </w:p>
    <w:p>
      <w:pPr>
        <w:widowControl/>
        <w:spacing w:before="0" w:after="0" w:line="480" w:lineRule="auto"/>
        <w:ind w:left="720" w:hanging="720"/>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widowControl/>
        <w:spacing w:before="0" w:after="0" w:line="480" w:lineRule="auto"/>
        <w:ind w:left="720" w:hanging="720"/>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:1051-1062.</w:t>
      </w:r>
    </w:p>
    <w:p>
      <w:pPr>
        <w:widowControl/>
        <w:spacing w:before="0" w:after="0" w:line="480" w:lineRule="auto"/>
        <w:ind w:left="720" w:hanging="720"/>
        <w:jc w:val="both"/>
      </w:pPr>
      <w:r>
        <w:rPr>
          <w:rFonts w:ascii="Times New Roman" w:hAnsi="Times New Roman" w:eastAsia="Times New Roman"/>
          <w:b w:val="0"/>
          <w:i w:val="0"/>
          <w:color w:val="000000"/>
          <w:sz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720"/>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:1-14.</w:t>
      </w:r>
    </w:p>
    <w:p>
      <w:pPr>
        <w:widowControl/>
        <w:spacing w:before="0" w:after="0" w:line="480" w:lineRule="auto"/>
        <w:ind w:left="720" w:hanging="720"/>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720"/>
        <w:jc w:val="both"/>
      </w:pPr>
      <w:r>
        <w:rPr>
          <w:rFonts w:ascii="Times New Roman" w:hAnsi="Times New Roman" w:eastAsia="Times New Roman"/>
          <w:b w:val="0"/>
          <w:i w:val="0"/>
          <w:color w:val="000000"/>
          <w:sz w:val="24"/>
        </w:rPr>
        <w:t>19. Shofu Inc. Beautifil II LS product information; Beautifil Flow Plus X product information. Kyoto: Shofu; [accessed 2026].</w:t>
      </w:r>
    </w:p>
    <w:p>
      <w:pPr>
        <w:widowControl/>
        <w:spacing w:before="0" w:after="0" w:line="480" w:lineRule="auto"/>
        <w:ind w:left="720" w:hanging="720"/>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w:t>
      </w:r>
      <w:r>
        <w:rPr>
          <w:rFonts w:ascii="Times New Roman" w:hAnsi="Times New Roman" w:eastAsia="Times New Roman"/>
          <w:b w:val="0"/>
          <w:i w:val="0"/>
          <w:color w:val="000000"/>
          <w:sz w:val="24"/>
          <w:vertAlign w:val="superscript"/>
        </w:rPr>
        <w:t>(14)</w:t>
      </w:r>
      <w:r>
        <w:rPr>
          <w:rFonts w:ascii="Times New Roman" w:hAnsi="Times New Roman" w:eastAsia="Times New Roman"/>
          <w:b w:val="0"/>
          <w:i w:val="0"/>
          <w:color w:val="000000"/>
          <w:sz w:val="24"/>
        </w:rPr>
        <w:t>:3370.</w:t>
      </w:r>
    </w:p>
    <w:p>
      <w:pPr>
        <w:widowControl/>
        <w:spacing w:before="0" w:after="0" w:line="480" w:lineRule="auto"/>
        <w:ind w:left="720" w:hanging="720"/>
        <w:jc w:val="both"/>
      </w:pPr>
      <w:r>
        <w:rPr>
          <w:rFonts w:ascii="Times New Roman" w:hAnsi="Times New Roman" w:eastAsia="Times New Roman"/>
          <w:b w:val="0"/>
          <w:i w:val="0"/>
          <w:color w:val="000000"/>
          <w:sz w:val="24"/>
        </w:rPr>
        <w:t>21. Yap AU, Tan SH, Wee SS, Lee CW, Lim EL, Zeng KY. Chemical degradation of composite restoratives. J Oral Rehabil. 2001;28</w:t>
      </w:r>
      <w:r>
        <w:rPr>
          <w:rFonts w:ascii="Times New Roman" w:hAnsi="Times New Roman" w:eastAsia="Times New Roman"/>
          <w:b w:val="0"/>
          <w:i w:val="0"/>
          <w:color w:val="000000"/>
          <w:sz w:val="24"/>
          <w:vertAlign w:val="superscript"/>
        </w:rPr>
        <w:t>(11)</w:t>
      </w:r>
      <w:r>
        <w:rPr>
          <w:rFonts w:ascii="Times New Roman" w:hAnsi="Times New Roman" w:eastAsia="Times New Roman"/>
          <w:b w:val="0"/>
          <w:i w:val="0"/>
          <w:color w:val="000000"/>
          <w:sz w:val="24"/>
        </w:rPr>
        <w:t>:1015-1021.</w:t>
      </w:r>
    </w:p>
    <w:p>
      <w:pPr>
        <w:widowControl/>
        <w:spacing w:before="0" w:after="0" w:line="480" w:lineRule="auto"/>
        <w:ind w:left="720" w:hanging="720"/>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:621-627.</w:t>
      </w:r>
    </w:p>
    <w:p>
      <w:pPr>
        <w:widowControl/>
        <w:spacing w:before="0" w:after="0" w:line="480" w:lineRule="auto"/>
        <w:ind w:left="720" w:hanging="720"/>
        <w:jc w:val="both"/>
      </w:pPr>
      <w:r>
        <w:rPr>
          <w:rFonts w:ascii="Times New Roman" w:hAnsi="Times New Roman" w:eastAsia="Times New Roman"/>
          <w:b w:val="0"/>
          <w:i w:val="0"/>
          <w:color w:val="000000"/>
          <w:sz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:236.</w:t>
      </w:r>
    </w:p>
    <w:p>
      <w:pPr>
        <w:widowControl/>
        <w:spacing w:before="0" w:after="0" w:line="480" w:lineRule="auto"/>
        <w:ind w:left="720" w:hanging="720"/>
        <w:jc w:val="both"/>
      </w:pPr>
      <w:r>
        <w:rPr>
          <w:rFonts w:ascii="Times New Roman" w:hAnsi="Times New Roman" w:eastAsia="Times New Roman"/>
          <w:b w:val="0"/>
          <w:i w:val="0"/>
          <w:color w:val="000000"/>
          <w:sz w:val="24"/>
        </w:rPr>
        <w:t>24. Turssi CP, Ferracane JL, Vogel K. Filler features and their effects on wear and degree of conversion of particulate dental resin composites. Biomaterials. 2005;26</w:t>
      </w:r>
      <w:r>
        <w:rPr>
          <w:rFonts w:ascii="Times New Roman" w:hAnsi="Times New Roman" w:eastAsia="Times New Roman"/>
          <w:b w:val="0"/>
          <w:i w:val="0"/>
          <w:color w:val="000000"/>
          <w:sz w:val="24"/>
          <w:vertAlign w:val="superscript"/>
        </w:rPr>
        <w:t>(24)</w:t>
      </w:r>
      <w:r>
        <w:rPr>
          <w:rFonts w:ascii="Times New Roman" w:hAnsi="Times New Roman" w:eastAsia="Times New Roman"/>
          <w:b w:val="0"/>
          <w:i w:val="0"/>
          <w:color w:val="000000"/>
          <w:sz w:val="24"/>
        </w:rPr>
        <w:t>:4932-4937.</w:t>
      </w:r>
    </w:p>
    <w:p>
      <w:pPr>
        <w:widowControl/>
        <w:spacing w:before="0" w:after="0" w:line="480" w:lineRule="auto"/>
        <w:ind w:left="720" w:hanging="720"/>
        <w:jc w:val="both"/>
      </w:pPr>
      <w:r>
        <w:rPr>
          <w:rFonts w:ascii="Times New Roman" w:hAnsi="Times New Roman" w:eastAsia="Times New Roman"/>
          <w:b w:val="0"/>
          <w:i w:val="0"/>
          <w:color w:val="000000"/>
          <w:sz w:val="24"/>
        </w:rPr>
        <w:t>25. da Costa J, Adams-Belusko A, Riley K, Ferracane JL. The effect of various dentifrices on surface roughness and gloss of resin composites. J Dent. 2010;38(Suppl 2):e123-e128.</w:t>
      </w:r>
    </w:p>
    <w:sectPr w:rsidR="00FC693F" w:rsidRPr="0006063C" w:rsidSect="00034616">
      <w:headerReference w:type="default" r:id="rId9"/>
      <w:footerReference w:type="default" r:id="rId10"/>
      <w:pgSz w:w="11906" w:h="16838"/>
      <w:pgMar w:top="1928" w:right="1134" w:bottom="2041" w:left="1701" w:header="283"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40" w:lineRule="auto"/>
      <w:jc w:val="center"/>
      <w:pBdr>
        <w:top w:val="single" w:sz="12" w:space="4" w:color="000000"/>
      </w:pBdr>
    </w:pPr>
    <w:r>
      <w:rPr>
        <w:rFonts w:ascii="Times New Roman" w:hAnsi="Times New Roman" w:eastAsia="Times New Roman"/>
        <w:b w:val="0"/>
        <w:i w:val="0"/>
        <w:color w:val="000000"/>
        <w:sz w:val="16"/>
      </w:rPr>
      <w:t>Address: P.O. Box 37, Sidi Gaber, Canal El Mahmoudia Street, Smouha, Alexandria, Egypt</w:t>
    </w:r>
  </w:p>
  <w:p>
    <w:pPr>
      <w:spacing w:before="0" w:after="0" w:line="240" w:lineRule="auto"/>
      <w:jc w:val="center"/>
    </w:pPr>
    <w:r>
      <w:rPr>
        <w:rFonts w:ascii="Times New Roman" w:hAnsi="Times New Roman" w:eastAsia="Times New Roman"/>
        <w:b w:val="0"/>
        <w:i w:val="0"/>
        <w:color w:val="000000"/>
        <w:sz w:val="16"/>
      </w:rPr>
      <w:t>العنوان: صندوق بريد ٣٧ سيدي جابر – شارع قناة المحمودية – سموحة – الإسكندرية – مصر</w:t>
    </w:r>
  </w:p>
  <w:p>
    <w:pPr>
      <w:spacing w:before="0" w:after="0" w:line="240" w:lineRule="auto"/>
      <w:jc w:val="center"/>
    </w:pPr>
    <w:r>
      <w:rPr>
        <w:rFonts w:ascii="Times New Roman" w:hAnsi="Times New Roman" w:eastAsia="Times New Roman"/>
        <w:b w:val="0"/>
        <w:i w:val="0"/>
        <w:color w:val="000000"/>
        <w:sz w:val="16"/>
      </w:rPr>
      <w:t>Phone: +(203) 38 77 026     Fax: +(203) 383 0249</w:t>
    </w:r>
  </w:p>
  <w:p>
    <w:pPr>
      <w:spacing w:before="0" w:after="0" w:line="240" w:lineRule="auto"/>
      <w:jc w:val="center"/>
    </w:pPr>
    <w:r>
      <w:rPr>
        <w:rFonts w:ascii="Times New Roman" w:hAnsi="Times New Roman" w:eastAsia="Times New Roman"/>
        <w:b w:val="0"/>
        <w:i w:val="0"/>
        <w:color w:val="000000"/>
        <w:sz w:val="16"/>
      </w:rPr>
      <w:t>E-mail: Dentistry@pua.edu.eg     Web Site: www.pua.edu.eg</w:t>
    </w:r>
  </w:p>
  <w:p>
    <w:pPr>
      <w:spacing w:before="40" w:after="0" w:line="240" w:lineRule="auto"/>
      <w:jc w:val="center"/>
    </w:pPr>
    <w:r>
      <w:rPr>
        <w:rFonts w:ascii="Times New Roman" w:hAnsi="Times New Roman" w:eastAsia="Times New Roman"/>
        <w:b w:val="0"/>
        <w:i w:val="0"/>
        <w:color w:val="000000"/>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center"/>
      <w:pBdr>
        <w:bottom w:val="single" w:sz="12" w:space="4" w:color="000000"/>
      </w:pBdr>
    </w:pPr>
    <w:r>
      <w:drawing>
        <wp:inline xmlns:a="http://schemas.openxmlformats.org/drawingml/2006/main" xmlns:pic="http://schemas.openxmlformats.org/drawingml/2006/picture">
          <wp:extent cx="5760000" cy="7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5760000" cy="768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