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24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72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280" w:after="200" w:lineRule="auto" w:line="312"/>
        <w:ind w:firstLine="0"/>
        <w:jc w:val="left"/>
      </w:pPr>
      <w:r>
        <w:rPr>
          <w:rFonts w:ascii="Times New Roman" w:hAnsi="Times New Roman" w:cs="Times New Roman" w:eastAsia="Times New Roman"/>
          <w:b/>
          <w:i/>
          <w:color w:val="000000"/>
          <w:sz w:val="24"/>
          <w:szCs w:val="24"/>
        </w:rPr>
        <w:t>English Title:</w:t>
      </w:r>
    </w:p>
    <w:p>
      <w:pPr>
        <w:widowControl/>
        <w:spacing w:before="24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240" w:after="160" w:lineRule="auto" w:line="312"/>
        <w:ind w:firstLine="0"/>
        <w:jc w:val="left"/>
      </w:pPr>
      <w:r>
        <w:rPr>
          <w:rFonts w:ascii="Times New Roman" w:hAnsi="Times New Roman" w:cs="Times New Roman" w:eastAsia="Times New Roman"/>
          <w:b/>
          <w:i/>
          <w:color w:val="000000"/>
          <w:sz w:val="24"/>
          <w:szCs w:val="24"/>
        </w:rPr>
        <w:t>Arabic Title:</w:t>
      </w:r>
    </w:p>
    <w:p>
      <w:pPr>
        <w:widowControl/>
        <w:spacing w:before="20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200" w:after="32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r>
        <w:br w:type="page"/>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38</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LIST OF ABBREVIATIONS</w:t>
      </w:r>
    </w:p>
    <w:tbl>
      <w:tblPr>
        <w:jc w:val="center"/>
        <w:tblLook w:firstColumn="1" w:firstRow="1" w:lastColumn="0" w:lastRow="0" w:noHBand="0" w:noVBand="1" w:val="04A0"/>
        <w:tblW w:w="8958" w:type="dxa"/>
        <w:tblLayout w:type="fixed"/>
      </w:tblPr>
      <w:tblGrid>
        <w:gridCol w:w="2494"/>
        <w:gridCol w:w="6463"/>
      </w:tblGrid>
      <w:tr>
        <w:trPr>
          <w:cantSplit/>
          <w:tblHeader/>
        </w:trPr>
        <w:tc>
          <w:tcPr>
            <w:tcW w:type="dxa" w:w="2494"/>
            <w:tcW w:w="2494"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Abbreviation</w:t>
            </w:r>
          </w:p>
        </w:tc>
        <w:tc>
          <w:tcPr>
            <w:tcW w:type="dxa" w:w="6463"/>
            <w:tcW w:w="6463"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Meaning</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ANOVA</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analysis of variance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CAD/CAM</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computer-aided design / computer-aided manufacture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ISO</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International Organization for Standardization</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LED</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light-emitting diode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Ra</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arithmetic mean roughness</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RDA</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relative dentine abrasivity</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SD</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standard deviation</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S-PRG</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surface pre-reacted glass-ionomer</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vol%</w:t>
            </w:r>
          </w:p>
        </w:tc>
        <w:tc>
          <w:tcPr>
            <w:tcW w:type="dxa" w:w="6463"/>
            <w:tcW w:w="6463"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percentage by volume</w:t>
            </w:r>
          </w:p>
        </w:tc>
      </w:tr>
      <w:tr>
        <w:trPr>
          <w:cantSplit/>
        </w:trPr>
        <w:tc>
          <w:tcPr>
            <w:tcW w:type="dxa" w:w="2494"/>
            <w:tcW w:w="2494"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ΔRa</w:t>
            </w:r>
          </w:p>
        </w:tc>
        <w:tc>
          <w:tcPr>
            <w:tcW w:type="dxa" w:w="6463"/>
            <w:tcW w:w="6463"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change in Ra (after − before)</w:t>
            </w:r>
          </w:p>
        </w:tc>
      </w:tr>
    </w:tbl>
    <w:p>
      <w:pPr>
        <w:widowControl/>
        <w:spacing w:before="0" w:after="240" w:line="240" w:lineRule="auto"/>
        <w:ind w:firstLine="0"/>
        <w:jc w:val="both"/>
      </w:pP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360" w:after="128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jc w:val="center"/>
        <w:tblLook w:firstColumn="1" w:firstRow="1" w:lastColumn="0" w:lastRow="0" w:noHBand="0" w:noVBand="1" w:val="04A0"/>
        <w:tblW w:w="8958" w:type="dxa"/>
        <w:tblLayout w:type="fixed"/>
      </w:tblPr>
      <w:tblGrid>
        <w:gridCol w:w="1445"/>
        <w:gridCol w:w="1247"/>
        <w:gridCol w:w="1814"/>
        <w:gridCol w:w="1871"/>
        <w:gridCol w:w="963"/>
        <w:gridCol w:w="1615"/>
      </w:tblGrid>
      <w:tr>
        <w:trPr>
          <w:cantSplit/>
          <w:tblHeader/>
        </w:trPr>
        <w:tc>
          <w:tcPr>
            <w:tcW w:type="dxa" w:w="1446"/>
            <w:tcW w:w="144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w:t>
            </w:r>
          </w:p>
        </w:tc>
        <w:tc>
          <w:tcPr>
            <w:tcW w:type="dxa" w:w="1247"/>
            <w:tcW w:w="1247"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Type</w:t>
            </w:r>
          </w:p>
        </w:tc>
        <w:tc>
          <w:tcPr>
            <w:tcW w:type="dxa" w:w="1814"/>
            <w:tcW w:w="181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Matrix</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Filler</w:t>
            </w:r>
          </w:p>
        </w:tc>
        <w:tc>
          <w:tcPr>
            <w:tcW w:type="dxa" w:w="964"/>
            <w:tcW w:w="963"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Load</w:t>
            </w:r>
          </w:p>
        </w:tc>
        <w:tc>
          <w:tcPr>
            <w:tcW w:type="dxa" w:w="1616"/>
            <w:tcW w:w="161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Manufacturer</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Dimethacrylate monomers</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Barium glass, silica</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50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GC, Tokyo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47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conventional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UDMA, Bis-EMA, PEGMA,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68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before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after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loss (%)</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0.1602 ± 0.0074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0.1576 ± 0.0031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1.49 ± 3.14</w:t>
            </w:r>
          </w:p>
        </w:tc>
        <w:tc>
          <w:tcPr>
            <w:tcW w:type="dxa" w:w="1361"/>
            <w:tcW w:w="1360" w:type="dxa"/>
            <w:vAlign w:val="center"/>
            <w:tcMar>
              <w:top w:w="50" w:type="dxa"/>
              <w:left w:w="50" w:type="dxa"/>
              <w:bottom w:w="50" w:type="dxa"/>
              <w:right w:w="50" w:type="dxa"/>
            </w:tcMa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0.329†</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0.1630 ± 0.0102</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0.1619 ± 0.0106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0.65 ± 0.37</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0.2313 ± 0.0154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0.2303 ± 0.0156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0.41 ± 0.25</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jc w:val="center"/>
        <w:tblLook w:firstColumn="1" w:firstRow="1" w:lastColumn="0" w:lastRow="0" w:noHBand="0" w:noVBand="1" w:val="04A0"/>
        <w:tblW w:w="8958" w:type="dxa"/>
        <w:tblLayout w:type="fixed"/>
      </w:tblPr>
      <w:tblGrid>
        <w:gridCol w:w="3288"/>
        <w:gridCol w:w="3118"/>
        <w:gridCol w:w="2551"/>
      </w:tblGrid>
      <w:tr>
        <w:trPr>
          <w:cantSplit/>
          <w:tblHeader/>
        </w:trPr>
        <w:tc>
          <w:tcPr>
            <w:tcW w:type="dxa" w:w="3288"/>
            <w:tcW w:w="328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3118"/>
            <w:tcW w:w="311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Absolute weight loss (mg)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2551"/>
            <w:tcW w:w="2551"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Range (mg)</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2.58 ± 5.91</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20.7</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1.07 ± 0.62</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1.9</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0.95 ± 0.58</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before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after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ΔRa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0.038 ± 0.011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0.104 ± 0.017</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0.066 ± 0.021</w:t>
            </w:r>
          </w:p>
        </w:tc>
        <w:tc>
          <w:tcPr>
            <w:tcW w:type="dxa" w:w="1361"/>
            <w:tcW w:w="1360" w:type="dxa"/>
            <w:vAlign w:val="center"/>
            <w:tcMar>
              <w:top w:w="50" w:type="dxa"/>
              <w:left w:w="50" w:type="dxa"/>
              <w:bottom w:w="50" w:type="dxa"/>
              <w:right w:w="50" w:type="dxa"/>
            </w:tcMa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&lt; 0.001‡</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0.054 ± 0.010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0.100 ± 0.023</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0.046 ± 0.023</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0.119 ± 0.054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0.194 ± 0.050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0.075 ± 0.066</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9"/>
      <w:footerReference w:type="default" r:id="rId10"/>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737"/>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12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440" w:after="28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