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Rule="auto" w:line="312"/>
        <w:ind w:firstLine="0"/>
        <w:jc w:val="left"/>
      </w:pPr>
      <w:r>
        <w:rPr>
          <w:rFonts w:ascii="Times New Roman" w:hAnsi="Times New Roman" w:cs="Times New Roman" w:eastAsia="Times New Roman"/>
          <w:b/>
          <w:i w:val="0"/>
          <w:color w:val="000000"/>
          <w:sz w:val="24"/>
          <w:szCs w:val="24"/>
        </w:rPr>
        <w:t>Pharos University in Alexandria</w:t>
      </w:r>
    </w:p>
    <w:p>
      <w:pPr>
        <w:widowControl/>
        <w:spacing w:before="0" w:after="0" w:lineRule="auto" w:line="312"/>
        <w:ind w:firstLine="0"/>
        <w:jc w:val="left"/>
      </w:pPr>
      <w:r>
        <w:rPr>
          <w:rFonts w:ascii="Times New Roman" w:hAnsi="Times New Roman" w:cs="Times New Roman" w:eastAsia="Times New Roman"/>
          <w:b/>
          <w:i w:val="0"/>
          <w:color w:val="000000"/>
          <w:sz w:val="24"/>
          <w:szCs w:val="24"/>
        </w:rPr>
        <w:t>Faculty of Dentistry</w:t>
      </w:r>
    </w:p>
    <w:p>
      <w:pPr>
        <w:widowControl/>
        <w:spacing w:before="0" w:after="0" w:lineRule="auto" w:line="312"/>
        <w:ind w:firstLine="0"/>
        <w:jc w:val="left"/>
      </w:pPr>
      <w:r>
        <w:rPr>
          <w:rFonts w:ascii="Times New Roman" w:hAnsi="Times New Roman" w:cs="Times New Roman" w:eastAsia="Times New Roman"/>
          <w:b w:val="0"/>
          <w:i w:val="0"/>
          <w:color w:val="000000"/>
          <w:sz w:val="24"/>
          <w:szCs w:val="24"/>
        </w:rPr>
        <w:t>Department of Restorative Dentistry</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Student Code No. 202203112</w:t>
      </w:r>
    </w:p>
    <w:p>
      <w:pPr>
        <w:widowControl/>
        <w:spacing w:before="200" w:after="0" w:lineRule="auto" w:line="312"/>
        <w:ind w:firstLine="0"/>
        <w:jc w:val="center"/>
      </w:pPr>
      <w:r>
        <w:rPr>
          <w:rFonts w:ascii="Times New Roman" w:hAnsi="Times New Roman" w:cs="Times New Roman" w:eastAsia="Times New Roman"/>
          <w:b/>
          <w:i w:val="0"/>
          <w:color w:val="000000"/>
          <w:sz w:val="24"/>
          <w:szCs w:val="24"/>
        </w:rPr>
        <w:t>A Thesis submitted in partial fulfilment of the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requirements for the degree of Master of Science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in Conservative Dentistry</w:t>
      </w:r>
    </w:p>
    <w:p>
      <w:pPr>
        <w:widowControl/>
        <w:spacing w:before="0" w:after="400" w:lineRule="auto" w:line="312"/>
        <w:ind w:firstLine="0"/>
        <w:jc w:val="center"/>
      </w:pPr>
      <w:r>
        <w:rPr>
          <w:rFonts w:ascii="Times New Roman" w:hAnsi="Times New Roman" w:cs="Times New Roman" w:eastAsia="Times New Roman"/>
          <w:b/>
          <w:i w:val="0"/>
          <w:color w:val="000000"/>
          <w:sz w:val="24"/>
          <w:szCs w:val="24"/>
        </w:rPr>
        <w:t>Academic Year 2024–2025 / 2025–2026</w:t>
      </w:r>
    </w:p>
    <w:p>
      <w:pPr>
        <w:widowControl/>
        <w:spacing w:before="160" w:after="240" w:lineRule="auto" w:line="312"/>
        <w:ind w:firstLine="0"/>
        <w:jc w:val="center"/>
      </w:pPr>
      <w:r>
        <w:rPr>
          <w:rFonts w:ascii="Times New Roman" w:hAnsi="Times New Roman" w:cs="Times New Roman" w:eastAsia="Times New Roman"/>
          <w:b w:val="0"/>
          <w:i w:val="0"/>
          <w:color w:val="000000"/>
          <w:sz w:val="24"/>
          <w:szCs w:val="24"/>
        </w:rPr>
        <w:t>Name of Candidate</w:t>
      </w:r>
    </w:p>
    <w:p>
      <w:pPr>
        <w:widowControl/>
        <w:spacing w:before="0" w:after="720" w:lineRule="auto" w:line="312"/>
        <w:ind w:firstLine="0"/>
        <w:jc w:val="center"/>
      </w:pPr>
      <w:r>
        <w:rPr>
          <w:rFonts w:ascii="Times New Roman" w:hAnsi="Times New Roman" w:cs="Times New Roman" w:eastAsia="Times New Roman"/>
          <w:b/>
          <w:i w:val="0"/>
          <w:color w:val="000000"/>
          <w:sz w:val="28"/>
          <w:szCs w:val="28"/>
        </w:rPr>
        <w:t>Mohamed Talaat Mohamed AbdelMoaty ElAbd</w:t>
      </w:r>
    </w:p>
    <w:p>
      <w:pPr>
        <w:widowControl/>
        <w:spacing w:before="280" w:after="200" w:lineRule="auto" w:line="312"/>
        <w:ind w:firstLine="0"/>
        <w:jc w:val="left"/>
      </w:pPr>
      <w:r>
        <w:rPr>
          <w:rFonts w:ascii="Times New Roman" w:hAnsi="Times New Roman" w:cs="Times New Roman" w:eastAsia="Times New Roman"/>
          <w:b/>
          <w:i/>
          <w:color w:val="000000"/>
          <w:sz w:val="24"/>
          <w:szCs w:val="24"/>
        </w:rPr>
        <w:t>English Title:</w:t>
      </w:r>
    </w:p>
    <w:p>
      <w:pPr>
        <w:widowControl/>
        <w:spacing w:before="240" w:after="0" w:lineRule="auto" w:line="312"/>
        <w:ind w:firstLine="0"/>
        <w:jc w:val="center"/>
      </w:pPr>
      <w:r>
        <w:rPr>
          <w:rFonts w:ascii="Times New Roman" w:hAnsi="Times New Roman" w:cs="Times New Roman" w:eastAsia="Times New Roman"/>
          <w:b/>
          <w:i w:val="0"/>
          <w:color w:val="000000"/>
          <w:sz w:val="24"/>
          <w:szCs w:val="24"/>
        </w:rPr>
        <w:t>COMPARATIVE STUDY OF WEAR RESISTANCE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AND SURFACE ROUGHNESS OF INJECTABLE VERSUS</w:t>
      </w:r>
    </w:p>
    <w:p>
      <w:pPr>
        <w:widowControl/>
        <w:spacing w:before="0" w:after="320" w:lineRule="auto" w:line="312"/>
        <w:ind w:firstLine="0"/>
        <w:jc w:val="center"/>
      </w:pPr>
      <w:r>
        <w:rPr>
          <w:rFonts w:ascii="Times New Roman" w:hAnsi="Times New Roman" w:cs="Times New Roman" w:eastAsia="Times New Roman"/>
          <w:b/>
          <w:i w:val="0"/>
          <w:color w:val="000000"/>
          <w:sz w:val="24"/>
          <w:szCs w:val="24"/>
        </w:rPr>
        <w:t>CONVENTIONAL COMPOSITE RESIN — IN VITRO STUDY</w:t>
      </w:r>
    </w:p>
    <w:p>
      <w:pPr>
        <w:widowControl/>
        <w:spacing w:before="240" w:after="160" w:lineRule="auto" w:line="312"/>
        <w:ind w:firstLine="0"/>
        <w:jc w:val="left"/>
      </w:pPr>
      <w:r>
        <w:rPr>
          <w:rFonts w:ascii="Times New Roman" w:hAnsi="Times New Roman" w:cs="Times New Roman" w:eastAsia="Times New Roman"/>
          <w:b/>
          <w:i/>
          <w:color w:val="000000"/>
          <w:sz w:val="24"/>
          <w:szCs w:val="24"/>
        </w:rPr>
        <w:t>Arabic Title:</w:t>
      </w:r>
    </w:p>
    <w:p>
      <w:pPr>
        <w:widowControl/>
        <w:spacing w:before="200" w:after="320" w:lineRule="auto" w:line="312"/>
        <w:ind w:firstLine="0"/>
        <w:jc w:val="center"/>
      </w:pPr>
      <w:r>
        <w:rPr>
          <w:rFonts w:ascii="Times New Roman" w:hAnsi="Times New Roman" w:cs="Noto Naskh Arabic" w:eastAsia="Times New Roman"/>
          <w:b/>
          <w:i w:val="0"/>
          <w:color w:val="000000"/>
          <w:sz w:val="24"/>
          <w:szCs w:val="24"/>
        </w:rPr>
        <w:t>دراسة مقارنة للتآكل وخشونة سطح الراتينج المركب القابل للحقن والتقليدي – دراسة في المختبر</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 xml:space="preserve">Keywords: </w:t>
      </w:r>
      <w:r>
        <w:rPr>
          <w:rFonts w:ascii="Times New Roman" w:hAnsi="Times New Roman" w:cs="Times New Roman" w:eastAsia="Times New Roman"/>
          <w:b w:val="0"/>
          <w:i w:val="0"/>
          <w:color w:val="000000"/>
          <w:sz w:val="24"/>
          <w:szCs w:val="24"/>
        </w:rPr>
        <w:t>Surface roughness, wear, injectable composite, conventional composite.</w:t>
      </w:r>
    </w:p>
    <w:p>
      <w:pPr>
        <w:widowControl/>
        <w:spacing w:before="200" w:after="320" w:lineRule="auto" w:line="312"/>
        <w:ind w:firstLine="0"/>
        <w:jc w:val="center"/>
      </w:pPr>
      <w:r>
        <w:rPr>
          <w:rFonts w:ascii="Times New Roman" w:hAnsi="Times New Roman" w:cs="Times New Roman" w:eastAsia="Times New Roman"/>
          <w:b/>
          <w:i w:val="0"/>
          <w:color w:val="000000"/>
          <w:sz w:val="24"/>
          <w:szCs w:val="24"/>
        </w:rPr>
        <w:t>Supervision Committee</w:t>
      </w:r>
    </w:p>
    <w:p>
      <w:pPr>
        <w:widowControl/>
        <w:spacing w:before="0" w:after="160" w:lineRule="auto" w:line="312"/>
        <w:ind w:firstLine="0"/>
        <w:jc w:val="center"/>
      </w:pPr>
      <w:r>
        <w:rPr>
          <w:rFonts w:ascii="Times New Roman" w:hAnsi="Times New Roman" w:cs="Times New Roman" w:eastAsia="Times New Roman"/>
          <w:b w:val="0"/>
          <w:i w:val="0"/>
          <w:color w:val="000000"/>
          <w:sz w:val="24"/>
          <w:szCs w:val="24"/>
        </w:rPr>
        <w:t>1. Prof. Wegdan M. Abdel-Fattah</w:t>
      </w:r>
    </w:p>
    <w:p>
      <w:pPr>
        <w:widowControl/>
        <w:spacing w:before="0" w:after="0" w:lineRule="auto" w:line="312"/>
        <w:ind w:firstLine="0"/>
        <w:jc w:val="center"/>
      </w:pPr>
      <w:r>
        <w:rPr>
          <w:rFonts w:ascii="Times New Roman" w:hAnsi="Times New Roman" w:cs="Times New Roman" w:eastAsia="Times New Roman"/>
          <w:b w:val="0"/>
          <w:i w:val="0"/>
          <w:color w:val="000000"/>
          <w:sz w:val="24"/>
          <w:szCs w:val="24"/>
        </w:rPr>
        <w:t>2. Asst. Prof. Emad M. El-Sayed  (Main supervisor)</w:t>
      </w:r>
    </w:p>
    <w:p>
      <w:pPr>
        <w:sectPr>
          <w:headerReference w:type="default" r:id="rId9"/>
          <w:footerReference w:type="default" r:id="rId10"/>
          <w:pgSz w:w="11906" w:h="16838"/>
          <w:pgMar w:top="1049" w:right="1247" w:bottom="964" w:left="1701" w:header="113" w:footer="102" w:gutter="0"/>
          <w:cols w:space="720"/>
          <w:docGrid w:linePitch="360"/>
        </w:sectPr>
      </w:pP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ROLE OF SUPERVISORS</w:t>
      </w:r>
    </w:p>
    <w:p>
      <w:pPr>
        <w:widowControl/>
        <w:spacing w:before="120" w:after="160" w:lineRule="auto" w:line="312"/>
        <w:ind w:left="720" w:hanging="357"/>
        <w:jc w:val="both"/>
      </w:pPr>
      <w:r>
        <w:rPr>
          <w:rFonts w:ascii="Times New Roman" w:hAnsi="Times New Roman" w:cs="Times New Roman" w:eastAsia="Times New Roman"/>
          <w:b w:val="0"/>
          <w:i w:val="0"/>
          <w:color w:val="000000"/>
          <w:sz w:val="24"/>
          <w:szCs w:val="24"/>
        </w:rPr>
        <w:t xml:space="preserve">1. </w:t>
      </w:r>
      <w:r>
        <w:rPr>
          <w:rFonts w:ascii="Times New Roman" w:hAnsi="Times New Roman" w:cs="Times New Roman" w:eastAsia="Times New Roman"/>
          <w:b/>
          <w:i w:val="0"/>
          <w:color w:val="000000"/>
          <w:sz w:val="24"/>
          <w:szCs w:val="24"/>
        </w:rPr>
        <w:t>Prof. Wegdan M. Abdel-Fattah</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Analysis and interpretation of study results.</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Guidance of paper/thesis writing.</w:t>
      </w:r>
    </w:p>
    <w:p>
      <w:pPr>
        <w:widowControl/>
        <w:spacing w:before="120" w:after="160" w:lineRule="auto" w:line="312"/>
        <w:ind w:left="720" w:hanging="357"/>
        <w:jc w:val="both"/>
      </w:pPr>
      <w:r>
        <w:rPr>
          <w:rFonts w:ascii="Times New Roman" w:hAnsi="Times New Roman" w:cs="Times New Roman" w:eastAsia="Times New Roman"/>
          <w:b w:val="0"/>
          <w:i w:val="0"/>
          <w:color w:val="000000"/>
          <w:sz w:val="24"/>
          <w:szCs w:val="24"/>
        </w:rPr>
        <w:t xml:space="preserve">2. </w:t>
      </w:r>
      <w:r>
        <w:rPr>
          <w:rFonts w:ascii="Times New Roman" w:hAnsi="Times New Roman" w:cs="Times New Roman" w:eastAsia="Times New Roman"/>
          <w:b/>
          <w:i w:val="0"/>
          <w:color w:val="000000"/>
          <w:sz w:val="24"/>
          <w:szCs w:val="24"/>
        </w:rPr>
        <w:t>Asst. Prof. Emad M. El-Sayed</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the clinical/experimental procedures.</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Revising the thesis and/or manuscript.</w:t>
      </w:r>
    </w:p>
    <w:p>
      <w:pPr>
        <w:pStyle w:val="Heading1"/>
        <w:keepNext/>
        <w:pageBreakBefore/>
        <w:widowControl/>
        <w:spacing w:before="240" w:after="840" w:line="240" w:lineRule="auto"/>
        <w:ind w:firstLine="0"/>
        <w:jc w:val="center"/>
      </w:pPr>
      <w:r>
        <w:rPr>
          <w:rFonts w:ascii="Times New Roman" w:hAnsi="Times New Roman" w:cs="Times New Roman" w:eastAsia="Times New Roman"/>
          <w:b/>
          <w:i w:val="0"/>
          <w:color w:val="000000"/>
          <w:sz w:val="32"/>
          <w:szCs w:val="32"/>
        </w:rPr>
        <w:t>ACKNOWLEDGEMENTS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I am grateful to Prof. Wegdan M. Abdel-Fattah and Asst. Prof. Emad M. El-Sayed for supervising this work from the protocol through the writing of the thesis. The discs were prepared in the laboratory of the Faculty of Dentistry, Pharos University in Alexandria, and the toothbrushing runs were carried out in the Dental Biomaterials Department of the Faculty of Dentistry, Alexandria University. I thank the staff of both laboratories. I am indebted to my family for the time this degree has taken from them.</w:t>
      </w:r>
    </w:p>
    <w:p>
      <w:pPr>
        <w:pStyle w:val="Heading1"/>
        <w:keepNext/>
        <w:pageBreakBefore/>
        <w:widowControl/>
        <w:spacing w:before="240" w:after="840" w:line="240" w:lineRule="auto"/>
        <w:ind w:firstLine="0"/>
        <w:jc w:val="center"/>
      </w:pPr>
      <w:r>
        <w:rPr>
          <w:rFonts w:ascii="Times New Roman" w:hAnsi="Times New Roman" w:cs="Times New Roman" w:eastAsia="Times New Roman"/>
          <w:b/>
          <w:i w:val="0"/>
          <w:color w:val="000000"/>
          <w:sz w:val="32"/>
          <w:szCs w:val="32"/>
        </w:rPr>
        <w:t>CONTENTS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Contents</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ROLE OF SUPERVISORS</w:t>
      </w:r>
      <w:r>
        <w:rPr>
          <w:rFonts w:ascii="Times New Roman" w:hAnsi="Times New Roman" w:cs="Times New Roman" w:eastAsia="Times New Roman"/>
          <w:b w:val="0"/>
          <w:i w:val="0"/>
          <w:color w:val="000000"/>
          <w:sz w:val="24"/>
          <w:szCs w:val="24"/>
        </w:rPr>
        <w:tab/>
        <w:t>2</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ACKNOWLEDGEMENTS</w:t>
      </w:r>
      <w:r>
        <w:rPr>
          <w:rFonts w:ascii="Times New Roman" w:hAnsi="Times New Roman" w:cs="Times New Roman" w:eastAsia="Times New Roman"/>
          <w:b w:val="0"/>
          <w:i w:val="0"/>
          <w:color w:val="000000"/>
          <w:sz w:val="24"/>
          <w:szCs w:val="24"/>
        </w:rPr>
        <w:tab/>
        <w:t>3</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TABLES</w:t>
      </w:r>
      <w:r>
        <w:rPr>
          <w:rFonts w:ascii="Times New Roman" w:hAnsi="Times New Roman" w:cs="Times New Roman" w:eastAsia="Times New Roman"/>
          <w:b w:val="0"/>
          <w:i w:val="0"/>
          <w:color w:val="000000"/>
          <w:sz w:val="24"/>
          <w:szCs w:val="24"/>
        </w:rPr>
        <w:tab/>
        <w:t>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FIGURES</w:t>
      </w:r>
      <w:r>
        <w:rPr>
          <w:rFonts w:ascii="Times New Roman" w:hAnsi="Times New Roman" w:cs="Times New Roman" w:eastAsia="Times New Roman"/>
          <w:b w:val="0"/>
          <w:i w:val="0"/>
          <w:color w:val="000000"/>
          <w:sz w:val="24"/>
          <w:szCs w:val="24"/>
        </w:rPr>
        <w:tab/>
        <w:t>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ABBREVIATIONS</w:t>
      </w:r>
      <w:r>
        <w:rPr>
          <w:rFonts w:ascii="Times New Roman" w:hAnsi="Times New Roman" w:cs="Times New Roman" w:eastAsia="Times New Roman"/>
          <w:b w:val="0"/>
          <w:i w:val="0"/>
          <w:color w:val="000000"/>
          <w:sz w:val="24"/>
          <w:szCs w:val="24"/>
        </w:rPr>
        <w:tab/>
        <w:t>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ABSTRACT</w:t>
      </w:r>
      <w:r>
        <w:rPr>
          <w:rFonts w:ascii="Times New Roman" w:hAnsi="Times New Roman" w:cs="Times New Roman" w:eastAsia="Times New Roman"/>
          <w:b w:val="0"/>
          <w:i w:val="0"/>
          <w:color w:val="000000"/>
          <w:sz w:val="24"/>
          <w:szCs w:val="24"/>
        </w:rPr>
        <w:tab/>
        <w:t>8</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INTRODUCTION</w:t>
      </w:r>
      <w:r>
        <w:rPr>
          <w:rFonts w:ascii="Times New Roman" w:hAnsi="Times New Roman" w:cs="Times New Roman" w:eastAsia="Times New Roman"/>
          <w:b w:val="0"/>
          <w:i w:val="0"/>
          <w:color w:val="000000"/>
          <w:sz w:val="24"/>
          <w:szCs w:val="24"/>
        </w:rPr>
        <w:tab/>
        <w:t>10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REVIEW OF LITERATURE</w:t>
      </w:r>
      <w:r>
        <w:rPr>
          <w:rFonts w:ascii="Times New Roman" w:hAnsi="Times New Roman" w:cs="Times New Roman" w:eastAsia="Times New Roman"/>
          <w:b w:val="0"/>
          <w:i w:val="0"/>
          <w:color w:val="000000"/>
          <w:sz w:val="24"/>
          <w:szCs w:val="24"/>
        </w:rPr>
        <w:tab/>
        <w:t>13</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MATERIALS AND METHODS</w:t>
      </w:r>
      <w:r>
        <w:rPr>
          <w:rFonts w:ascii="Times New Roman" w:hAnsi="Times New Roman" w:cs="Times New Roman" w:eastAsia="Times New Roman"/>
          <w:b w:val="0"/>
          <w:i w:val="0"/>
          <w:color w:val="000000"/>
          <w:sz w:val="24"/>
          <w:szCs w:val="24"/>
        </w:rPr>
        <w:tab/>
        <w:t>20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RESULTS</w:t>
      </w:r>
      <w:r>
        <w:rPr>
          <w:rFonts w:ascii="Times New Roman" w:hAnsi="Times New Roman" w:cs="Times New Roman" w:eastAsia="Times New Roman"/>
          <w:b w:val="0"/>
          <w:i w:val="0"/>
          <w:color w:val="000000"/>
          <w:sz w:val="24"/>
          <w:szCs w:val="24"/>
        </w:rPr>
        <w:tab/>
        <w:t>25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DISCUSSION</w:t>
      </w:r>
      <w:r>
        <w:rPr>
          <w:rFonts w:ascii="Times New Roman" w:hAnsi="Times New Roman" w:cs="Times New Roman" w:eastAsia="Times New Roman"/>
          <w:b w:val="0"/>
          <w:i w:val="0"/>
          <w:color w:val="000000"/>
          <w:sz w:val="24"/>
          <w:szCs w:val="24"/>
        </w:rPr>
        <w:tab/>
        <w:t>31</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CONCLUSIONS AND RECOMMENDATIONS</w:t>
      </w:r>
      <w:r>
        <w:rPr>
          <w:rFonts w:ascii="Times New Roman" w:hAnsi="Times New Roman" w:cs="Times New Roman" w:eastAsia="Times New Roman"/>
          <w:b w:val="0"/>
          <w:i w:val="0"/>
          <w:color w:val="000000"/>
          <w:sz w:val="24"/>
          <w:szCs w:val="24"/>
        </w:rPr>
        <w:tab/>
        <w:t>37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REFERENCES</w:t>
      </w:r>
      <w:r>
        <w:rPr>
          <w:rFonts w:ascii="Times New Roman" w:hAnsi="Times New Roman" w:cs="Times New Roman" w:eastAsia="Times New Roman"/>
          <w:b w:val="0"/>
          <w:i w:val="0"/>
          <w:color w:val="000000"/>
          <w:sz w:val="24"/>
          <w:szCs w:val="24"/>
        </w:rPr>
        <w:tab/>
        <w:t>39</w:t>
      </w:r>
    </w:p>
    <w:p>
      <w:pPr>
        <w:pStyle w:val="Heading1"/>
        <w:keepNext/>
        <w:pageBreakBefore/>
        <w:widowControl/>
        <w:spacing w:before="240" w:after="840" w:line="240" w:lineRule="auto"/>
        <w:ind w:firstLine="0"/>
        <w:jc w:val="center"/>
      </w:pPr>
      <w:r>
        <w:rPr>
          <w:rFonts w:ascii="Times New Roman" w:hAnsi="Times New Roman" w:cs="Times New Roman" w:eastAsia="Times New Roman"/>
          <w:b/>
          <w:i w:val="0"/>
          <w:color w:val="000000"/>
          <w:sz w:val="32"/>
          <w:szCs w:val="32"/>
        </w:rPr>
        <w:t>LIST OF TABLES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3.1 Composition of the resin composites</w:t>
      </w:r>
      <w:r>
        <w:rPr>
          <w:rFonts w:ascii="Times New Roman" w:hAnsi="Times New Roman" w:cs="Times New Roman" w:eastAsia="Times New Roman"/>
          <w:b w:val="0"/>
          <w:i w:val="0"/>
          <w:color w:val="000000"/>
          <w:sz w:val="24"/>
          <w:szCs w:val="24"/>
        </w:rPr>
        <w:tab/>
        <w:t>21</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4.1 Weight before and after brushing and percentage weight loss</w:t>
      </w:r>
      <w:r>
        <w:rPr>
          <w:rFonts w:ascii="Times New Roman" w:hAnsi="Times New Roman" w:cs="Times New Roman" w:eastAsia="Times New Roman"/>
          <w:b w:val="0"/>
          <w:i w:val="0"/>
          <w:color w:val="000000"/>
          <w:sz w:val="24"/>
          <w:szCs w:val="24"/>
        </w:rPr>
        <w:tab/>
        <w:t>25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4.2 Absolute weight loss after 10 000 brushing cycles</w:t>
      </w:r>
      <w:r>
        <w:rPr>
          <w:rFonts w:ascii="Times New Roman" w:hAnsi="Times New Roman" w:cs="Times New Roman" w:eastAsia="Times New Roman"/>
          <w:b w:val="0"/>
          <w:i w:val="0"/>
          <w:color w:val="000000"/>
          <w:sz w:val="24"/>
          <w:szCs w:val="24"/>
        </w:rPr>
        <w:tab/>
        <w:t>27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4.3 Ra before and after brushing and ΔRa</w:t>
      </w:r>
      <w:r>
        <w:rPr>
          <w:rFonts w:ascii="Times New Roman" w:hAnsi="Times New Roman" w:cs="Times New Roman" w:eastAsia="Times New Roman"/>
          <w:b w:val="0"/>
          <w:i w:val="0"/>
          <w:color w:val="000000"/>
          <w:sz w:val="24"/>
          <w:szCs w:val="24"/>
        </w:rPr>
        <w:tab/>
        <w:t>27</w:t>
      </w:r>
    </w:p>
    <w:p>
      <w:pPr>
        <w:pStyle w:val="Heading1"/>
        <w:keepNext/>
        <w:pageBreakBefore/>
        <w:widowControl/>
        <w:spacing w:before="240" w:after="840" w:line="240" w:lineRule="auto"/>
        <w:ind w:firstLine="0"/>
        <w:jc w:val="center"/>
      </w:pPr>
      <w:r>
        <w:rPr>
          <w:rFonts w:ascii="Times New Roman" w:hAnsi="Times New Roman" w:cs="Times New Roman" w:eastAsia="Times New Roman"/>
          <w:b/>
          <w:i w:val="0"/>
          <w:color w:val="000000"/>
          <w:sz w:val="32"/>
          <w:szCs w:val="32"/>
        </w:rPr>
        <w:t>LIST OF FIGURES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4.1 Mean percentage weight loss after 10 000 brushing cycles</w:t>
      </w:r>
      <w:r>
        <w:rPr>
          <w:rFonts w:ascii="Times New Roman" w:hAnsi="Times New Roman" w:cs="Times New Roman" w:eastAsia="Times New Roman"/>
          <w:b w:val="0"/>
          <w:i w:val="0"/>
          <w:color w:val="000000"/>
          <w:sz w:val="24"/>
          <w:szCs w:val="24"/>
        </w:rPr>
        <w:tab/>
        <w:t>26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4.2 Mean Ra before and after brushing (0.2 µm threshold)</w:t>
      </w:r>
      <w:r>
        <w:rPr>
          <w:rFonts w:ascii="Times New Roman" w:hAnsi="Times New Roman" w:cs="Times New Roman" w:eastAsia="Times New Roman"/>
          <w:b w:val="0"/>
          <w:i w:val="0"/>
          <w:color w:val="000000"/>
          <w:sz w:val="24"/>
          <w:szCs w:val="24"/>
        </w:rPr>
        <w:tab/>
        <w:t>28</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4.3 Mean change in surface roughness (ΔRa)</w:t>
      </w:r>
      <w:r>
        <w:rPr>
          <w:rFonts w:ascii="Times New Roman" w:hAnsi="Times New Roman" w:cs="Times New Roman" w:eastAsia="Times New Roman"/>
          <w:b w:val="0"/>
          <w:i w:val="0"/>
          <w:color w:val="000000"/>
          <w:sz w:val="24"/>
          <w:szCs w:val="24"/>
        </w:rPr>
        <w:tab/>
        <w:t>29</w:t>
      </w:r>
    </w:p>
    <w:p>
      <w:pPr>
        <w:pStyle w:val="Heading1"/>
        <w:keepNext/>
        <w:pageBreakBefore/>
        <w:widowControl/>
        <w:spacing w:before="240" w:after="840" w:line="240" w:lineRule="auto"/>
        <w:ind w:firstLine="0"/>
        <w:jc w:val="center"/>
      </w:pPr>
      <w:r>
        <w:rPr>
          <w:rFonts w:ascii="Times New Roman" w:hAnsi="Times New Roman" w:cs="Times New Roman" w:eastAsia="Times New Roman"/>
          <w:b/>
          <w:i w:val="0"/>
          <w:color w:val="000000"/>
          <w:sz w:val="32"/>
          <w:szCs w:val="32"/>
        </w:rPr>
        <w:t>LIST OF ABBREVIATIONS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ANOVA — analysis of variance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CAD/CAM — computer-aided design / computer-aided manufacture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ISO — International Organization for Standardization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LED — light-emitting diode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Ra — arithmetic mean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RDA — relative dentine abrasivity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SD — standard deviation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S-PRG — surface pre-reacted glass-ionomer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vol% — percentage by volume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ΔRa — change in Ra (after − before)</w:t>
      </w:r>
    </w:p>
    <w:p>
      <w:pPr>
        <w:pStyle w:val="Heading1"/>
        <w:keepNext/>
        <w:pageBreakBefore/>
        <w:widowControl/>
        <w:spacing w:before="240" w:after="840" w:line="240" w:lineRule="auto"/>
        <w:ind w:firstLine="0"/>
        <w:jc w:val="center"/>
      </w:pPr>
      <w:r>
        <w:rPr>
          <w:rFonts w:ascii="Times New Roman" w:hAnsi="Times New Roman" w:cs="Times New Roman" w:eastAsia="Times New Roman"/>
          <w:b/>
          <w:i w:val="0"/>
          <w:color w:val="000000"/>
          <w:sz w:val="32"/>
          <w:szCs w:val="32"/>
        </w:rPr>
        <w:t>ABSTRACT</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Background.</w:t>
      </w:r>
      <w:r>
        <w:rPr>
          <w:rFonts w:ascii="Times New Roman" w:hAnsi="Times New Roman" w:cs="Times New Roman" w:eastAsia="Times New Roman"/>
          <w:b w:val="0"/>
          <w:i w:val="0"/>
          <w:color w:val="000000"/>
          <w:sz w:val="24"/>
          <w:szCs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Aim.</w:t>
      </w:r>
      <w:r>
        <w:rPr>
          <w:rFonts w:ascii="Times New Roman" w:hAnsi="Times New Roman" w:cs="Times New Roman" w:eastAsia="Times New Roman"/>
          <w:b w:val="0"/>
          <w:i w:val="0"/>
          <w:color w:val="000000"/>
          <w:sz w:val="24"/>
          <w:szCs w:val="24"/>
        </w:rPr>
        <w:t xml:space="preserve"> To compare percentage weight loss and arithmetic mean roughness (Ra) of Beautifil Flow Plus X F00, G-ænial Universal Injectable and Beautifil II LS after 10 000 toothbrushing cycles.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Methods.</w:t>
      </w:r>
      <w:r>
        <w:rPr>
          <w:rFonts w:ascii="Times New Roman" w:hAnsi="Times New Roman" w:cs="Times New Roman" w:eastAsia="Times New Roman"/>
          <w:b w:val="0"/>
          <w:i w:val="0"/>
          <w:color w:val="000000"/>
          <w:sz w:val="24"/>
          <w:szCs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Results.</w:t>
      </w:r>
      <w:r>
        <w:rPr>
          <w:rFonts w:ascii="Times New Roman" w:hAnsi="Times New Roman" w:cs="Times New Roman" w:eastAsia="Times New Roman"/>
          <w:b w:val="0"/>
          <w:i w:val="0"/>
          <w:color w:val="000000"/>
          <w:sz w:val="24"/>
          <w:szCs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Conclusions.</w:t>
      </w:r>
      <w:r>
        <w:rPr>
          <w:rFonts w:ascii="Times New Roman" w:hAnsi="Times New Roman" w:cs="Times New Roman" w:eastAsia="Times New Roman"/>
          <w:b w:val="0"/>
          <w:i w:val="0"/>
          <w:color w:val="000000"/>
          <w:sz w:val="24"/>
          <w:szCs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Keywords.</w:t>
      </w:r>
      <w:r>
        <w:rPr>
          <w:rFonts w:ascii="Times New Roman" w:hAnsi="Times New Roman" w:cs="Times New Roman" w:eastAsia="Times New Roman"/>
          <w:b w:val="0"/>
          <w:i w:val="0"/>
          <w:color w:val="000000"/>
          <w:sz w:val="24"/>
          <w:szCs w:val="24"/>
        </w:rPr>
        <w:t xml:space="preserve"> Injectable composite; nanohybrid composite; toothbrush abrasion; wear; surface roughness; giomer.</w:t>
      </w:r>
    </w:p>
    <w:p>
      <w:pPr>
        <w:pStyle w:val="Heading1"/>
        <w:keepNext/>
        <w:pageBreakBefore/>
        <w:widowControl/>
        <w:spacing w:before="240" w:after="200" w:line="240" w:lineRule="auto"/>
        <w:ind w:firstLine="0"/>
        <w:jc w:val="center"/>
      </w:pPr>
      <w:r>
        <w:rPr>
          <w:rFonts w:ascii="Times New Roman" w:hAnsi="Times New Roman" w:cs="Times New Roman" w:eastAsia="Times New Roman"/>
          <w:b/>
          <w:i w:val="0"/>
          <w:color w:val="000000"/>
          <w:sz w:val="32"/>
          <w:szCs w:val="32"/>
        </w:rPr>
        <w:t>CHAPTER 1</w:t>
      </w: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INTRODUCTION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w:t>
      </w:r>
      <w:r>
        <w:rPr>
          <w:rFonts w:ascii="Times New Roman" w:hAnsi="Times New Roman" w:cs="Times New Roman" w:eastAsia="Times New Roman"/>
          <w:b w:val="0"/>
          <w:i w:val="0"/>
          <w:color w:val="000000"/>
          <w:sz w:val="24"/>
          <w:szCs w:val="24"/>
          <w:vertAlign w:val="superscript"/>
        </w:rPr>
        <w:t>(3,4)</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 xml:space="preserve">. A later generation of highly filled injectable composites was formulated to close that gap. By combining a higher inorganic load, a smaller mean particle size and improved silane treatment, manufacturers produced pastes that can still be injected from a syringe, often as a single increment, yet are offered for use in Class I and II restorations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Two such products, G-ænial Universal Injectable (GC Corporation, Tokyo, Japan) and Beautifil Flow Plus X F00 (Shofu Inc., Kyoto, Japan), are now in routine clinical use. Both were tested in shade A2. Beautifil II LS (Shofu Inc.), a sculptable low-shrinkage nanohybrid giomer in the same shade, remains a representative conventional paste and was chosen as the control.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three products were not chosen at random. G-ænial Universal Injectable is a nanofilled dimethacrylate paste with barium glass and silica. Beautifil Flow Plus X F00 is a zero-flow giomer injectable. Beautifil II LS is a packable giomer from the same manufacturer as the Shofu injectable. The comparison therefore asks two separate questions: whether two current injectables of different filler chemistry behave alike under the toothbrush, and whether either of them is at a disadvantage beside a conventional nanohybrid of higher filler volume.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laboratory literature on these products is uneven. Two-body chewing-simulator studies, in which a steatite antagonist is loaded at about 49 N, have reported favourable volumetric wear and flexural strength for highly filled injectables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Those data describe occlusal-contact wear. They do not describe the three-body abrasion produced by a toothbrush and a dentifrice slurry, which is the wear mode that acts on free cleanable surfaces — including the labial and palatal faces of anterior restorations — and on margins throughout the life of a restoration. Toothbrushing tests conducted according to ISO/TR 14569-1, at a load of 2 N and for 10 000 strokes, are conventionally treated as the laboratory equivalent of one year of twice-daily brushing </w:t>
      </w:r>
      <w:r>
        <w:rPr>
          <w:rFonts w:ascii="Times New Roman" w:hAnsi="Times New Roman" w:cs="Times New Roman" w:eastAsia="Times New Roman"/>
          <w:b w:val="0"/>
          <w:i w:val="0"/>
          <w:color w:val="000000"/>
          <w:sz w:val="24"/>
          <w:szCs w:val="24"/>
          <w:vertAlign w:val="superscript"/>
        </w:rPr>
        <w:t>(3,7,8)</w:t>
      </w:r>
      <w:r>
        <w:rPr>
          <w:rFonts w:ascii="Times New Roman" w:hAnsi="Times New Roman" w:cs="Times New Roman" w:eastAsia="Times New Roman"/>
          <w:b w:val="0"/>
          <w:i w:val="0"/>
          <w:color w:val="000000"/>
          <w:sz w:val="24"/>
          <w:szCs w:val="24"/>
        </w:rPr>
        <w:t>. Direct comparison of Beautifil Flow Plus X F00, G-ænial Universal Injectable and Beautifil II LS under that protocol has not been published.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later showed that volunteers can detect roughness with the tip of the tongue once Ra lies between 0.25 µm and 0.50 µm, and they advised finishing restorations to no more than 0.50 µm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These two figures provide the frame within which the roughness results of the present study are interpreted.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1.1 Aim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To compare wear resistance, expressed as percentage weight loss, and surface roughness (Ra) of two highly filled injectable composites with a conventional nanohybrid composite after standardised toothbrushing.</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1.2 Objectives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To measure specimen mass before and after 10 000 brushing cycles and to calculate percentage and absolute weight loss.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To measure Ra before and after the same abrasion and to calculate ΔRa.</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To compare the three materials using the statistical tests appropriate to each outcome.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1.3 Null hypotheses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There is no significant difference in percentage weight loss among Beautifil Flow Plus X F00, G-ænial Universal Injectable and Beautifil II LS.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There is no significant difference in Ra after toothbrushing among the same three materials.</w:t>
      </w:r>
    </w:p>
    <w:p>
      <w:pPr>
        <w:pStyle w:val="Heading1"/>
        <w:keepNext/>
        <w:pageBreakBefore/>
        <w:widowControl/>
        <w:spacing w:before="240" w:after="200" w:line="240" w:lineRule="auto"/>
        <w:ind w:firstLine="0"/>
        <w:jc w:val="center"/>
      </w:pPr>
      <w:r>
        <w:rPr>
          <w:rFonts w:ascii="Times New Roman" w:hAnsi="Times New Roman" w:cs="Times New Roman" w:eastAsia="Times New Roman"/>
          <w:b/>
          <w:i w:val="0"/>
          <w:color w:val="000000"/>
          <w:sz w:val="32"/>
          <w:szCs w:val="32"/>
        </w:rPr>
        <w:t>CHAPTER 2</w:t>
      </w: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REVIEW OF LITERATURE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2.1 Wear of restorative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is the progressive loss of substance from two surfaces that are in relative motion </w:t>
      </w:r>
      <w:r>
        <w:rPr>
          <w:rFonts w:ascii="Times New Roman" w:hAnsi="Times New Roman" w:cs="Times New Roman" w:eastAsia="Times New Roman"/>
          <w:b w:val="0"/>
          <w:i w:val="0"/>
          <w:color w:val="000000"/>
          <w:sz w:val="24"/>
          <w:szCs w:val="24"/>
          <w:vertAlign w:val="superscript"/>
        </w:rPr>
        <w:t>(9)</w:t>
      </w:r>
      <w:r>
        <w:rPr>
          <w:rFonts w:ascii="Times New Roman" w:hAnsi="Times New Roman" w:cs="Times New Roman" w:eastAsia="Times New Roman"/>
          <w:b w:val="0"/>
          <w:i w:val="0"/>
          <w:color w:val="000000"/>
          <w:sz w:val="24"/>
          <w:szCs w:val="24"/>
        </w:rPr>
        <w:t xml:space="preserve">.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w:t>
      </w:r>
      <w:r>
        <w:rPr>
          <w:rFonts w:ascii="Times New Roman" w:hAnsi="Times New Roman" w:cs="Times New Roman" w:eastAsia="Times New Roman"/>
          <w:b w:val="0"/>
          <w:i w:val="0"/>
          <w:color w:val="000000"/>
          <w:sz w:val="24"/>
          <w:szCs w:val="24"/>
          <w:vertAlign w:val="superscript"/>
        </w:rPr>
        <w:t>(9,10)</w:t>
      </w:r>
      <w:r>
        <w:rPr>
          <w:rFonts w:ascii="Times New Roman" w:hAnsi="Times New Roman" w:cs="Times New Roman" w:eastAsia="Times New Roman"/>
          <w:b w:val="0"/>
          <w:i w:val="0"/>
          <w:color w:val="000000"/>
          <w:sz w:val="24"/>
          <w:szCs w:val="24"/>
        </w:rPr>
        <w:t xml:space="preserve">. Laboratory tests isolate one or two of these mechanisms in order to rank materials. They do not reproduce the multifactorial environment of the mouth and therefore cannot be read as a clinical lifetime </w:t>
      </w:r>
      <w:r>
        <w:rPr>
          <w:rFonts w:ascii="Times New Roman" w:hAnsi="Times New Roman" w:cs="Times New Roman" w:eastAsia="Times New Roman"/>
          <w:b w:val="0"/>
          <w:i w:val="0"/>
          <w:color w:val="000000"/>
          <w:sz w:val="24"/>
          <w:szCs w:val="24"/>
          <w:vertAlign w:val="superscript"/>
        </w:rPr>
        <w:t>(10)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wear resistance of a resin composite is governed by the filler, the matrix and the interface between them. Filler volume fraction, particle size and shape, inter-particle spacing, the degree of conversion of the resin and the quality of the silane coupling layer all contribute </w:t>
      </w:r>
      <w:r>
        <w:rPr>
          <w:rFonts w:ascii="Times New Roman" w:hAnsi="Times New Roman" w:cs="Times New Roman" w:eastAsia="Times New Roman"/>
          <w:b w:val="0"/>
          <w:i w:val="0"/>
          <w:color w:val="000000"/>
          <w:sz w:val="24"/>
          <w:szCs w:val="24"/>
          <w:vertAlign w:val="superscript"/>
        </w:rPr>
        <w:t>(11,12)</w:t>
      </w:r>
      <w:r>
        <w:rPr>
          <w:rFonts w:ascii="Times New Roman" w:hAnsi="Times New Roman" w:cs="Times New Roman" w:eastAsia="Times New Roman"/>
          <w:b w:val="0"/>
          <w:i w:val="0"/>
          <w:color w:val="000000"/>
          <w:sz w:val="24"/>
          <w:szCs w:val="24"/>
        </w:rPr>
        <w:t xml:space="preserve">.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Turssi, Ferracane and Vogel later showed, in a set of experimental composites, that reducing filler size improved three-body abrasion resistance for both spherical and irregular particles, provided that conversion was not compromised </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 The practical consequence of this work is that a well-coupled bed of small particles protects the resin from the abrasive and limits the size of the pits left when a particle is lost.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Classical flowable resins, filled at approximately 40–55 wt%, wear more rapidly than packable hybrids for precisely these reasons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w:t>
      </w:r>
      <w:r>
        <w:rPr>
          <w:rFonts w:ascii="Times New Roman" w:hAnsi="Times New Roman" w:cs="Times New Roman" w:eastAsia="Times New Roman"/>
          <w:b w:val="0"/>
          <w:i w:val="0"/>
          <w:color w:val="000000"/>
          <w:sz w:val="24"/>
          <w:szCs w:val="24"/>
          <w:vertAlign w:val="superscript"/>
        </w:rPr>
        <w:t>(6,12)</w:t>
      </w:r>
      <w:r>
        <w:rPr>
          <w:rFonts w:ascii="Times New Roman" w:hAnsi="Times New Roman" w:cs="Times New Roman" w:eastAsia="Times New Roman"/>
          <w:b w:val="0"/>
          <w:i w:val="0"/>
          <w:color w:val="000000"/>
          <w:sz w:val="24"/>
          <w:szCs w:val="24"/>
        </w:rPr>
        <w:t xml:space="preserve">. Beautifil II LS is listed at 68 vol%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Laboratory evaluation of toothbrush wear follows ISO/TR 14569-1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The stated scope of that technical report is the wear of artificial teeth and veneering materials, but the recommended brush load (0.5–2.5 N) and the requirement that the dentifrice comply with ISO 11609 have been adopted widely for the screening of restorative composites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Sexson and Phillips estimated that a patient who makes about fifteen strokes per surface, twice daily, produces of the order of 10 000 strokes in a year </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 xml:space="preserve">. Most subsequent toothbrushing papers have used that figure, or a simple multiple of it, as the laboratory equivalent of one year of hygiene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The conversion is an estimate; brushing habits vary, and the laboratory brush does not reproduce the anatomy of a restoration. It remains, nevertheless, the convention against which the present cycle count is set.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may be quantified as lost volume, as profilometric depth or as lost mass </w:t>
      </w:r>
      <w:r>
        <w:rPr>
          <w:rFonts w:ascii="Times New Roman" w:hAnsi="Times New Roman" w:cs="Times New Roman" w:eastAsia="Times New Roman"/>
          <w:b w:val="0"/>
          <w:i w:val="0"/>
          <w:color w:val="000000"/>
          <w:sz w:val="24"/>
          <w:szCs w:val="24"/>
          <w:vertAlign w:val="superscript"/>
        </w:rPr>
        <w:t>(10,15)</w:t>
      </w:r>
      <w:r>
        <w:rPr>
          <w:rFonts w:ascii="Times New Roman" w:hAnsi="Times New Roman" w:cs="Times New Roman" w:eastAsia="Times New Roman"/>
          <w:b w:val="0"/>
          <w:i w:val="0"/>
          <w:color w:val="000000"/>
          <w:sz w:val="24"/>
          <w:szCs w:val="24"/>
        </w:rPr>
        <w:t xml:space="preserve">. Gravimetric loss is simple and repeatable when the balance reads to 0.1 mg and the specimen is dried in a consistent way. It does not describe the topography of the worn surface, and it cannot separate true abrasive loss from a change in water content if the drying step is not the same before and after the test. Volumetric loss from a three-dimensional scan does describe the worn anatomy, but requires equipment that was not used in this study. Heintze and colleagues compared three laboratory methods of wear quantification and showed that they do not always rank materials in the same order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The choice of a gravimetric outcome in the present work is therefore a methodological decision, not a claim that mass is equivalent to worn anatomy.</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arithmetic mean roughness, Ra, is defined in ISO 4287 as the arithmetic mean of the absolute ordinate values of the roughness profile within the sampling length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 xml:space="preserve">.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w:t>
      </w:r>
      <w:r>
        <w:rPr>
          <w:rFonts w:ascii="Times New Roman" w:hAnsi="Times New Roman" w:cs="Times New Roman" w:eastAsia="Times New Roman"/>
          <w:b w:val="0"/>
          <w:i w:val="0"/>
          <w:color w:val="000000"/>
          <w:sz w:val="24"/>
          <w:szCs w:val="24"/>
          <w:vertAlign w:val="superscript"/>
        </w:rPr>
        <w:t>(4,16)</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importance of Ra was established in two independent lines of work. Quirynen and Bollen showed that surface roughness and surface-free energy together determine the amount of plaque that accumulates on restorations </w:t>
      </w:r>
      <w:r>
        <w:rPr>
          <w:rFonts w:ascii="Times New Roman" w:hAnsi="Times New Roman" w:cs="Times New Roman" w:eastAsia="Times New Roman"/>
          <w:b w:val="0"/>
          <w:i w:val="0"/>
          <w:color w:val="000000"/>
          <w:sz w:val="24"/>
          <w:szCs w:val="24"/>
          <w:vertAlign w:val="superscript"/>
        </w:rPr>
        <w:t>(17)</w:t>
      </w:r>
      <w:r>
        <w:rPr>
          <w:rFonts w:ascii="Times New Roman" w:hAnsi="Times New Roman" w:cs="Times New Roman" w:eastAsia="Times New Roman"/>
          <w:b w:val="0"/>
          <w:i w:val="0"/>
          <w:color w:val="000000"/>
          <w:sz w:val="24"/>
          <w:szCs w:val="24"/>
        </w:rPr>
        <w:t xml:space="preserve">. Bollen, Lambrechts and Quirynen then reviewed the available evidence and proposed 0.2 µm as the threshold above which bacterial adhesion increases to a clinically relevant degree; surfaces smoother than this showed no further reduction in plaque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asked volunteers to rank composite discs of known roughness with the tip of the tongue. Discrimination lay between 0.25 µm and 0.50 µm, and the authors recommended that restorations be finished to no more than 0.50 µm if they are not to be felt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Nanofilled materials, whose particles are small enough to wear with the matrix, generally retain a smoother surface than nanohybrids, in which larger fillers are uncovered or lost </w:t>
      </w:r>
      <w:r>
        <w:rPr>
          <w:rFonts w:ascii="Times New Roman" w:hAnsi="Times New Roman" w:cs="Times New Roman" w:eastAsia="Times New Roman"/>
          <w:b w:val="0"/>
          <w:i w:val="0"/>
          <w:color w:val="000000"/>
          <w:sz w:val="24"/>
          <w:szCs w:val="24"/>
          <w:vertAlign w:val="superscript"/>
        </w:rPr>
        <w:t>(8,18)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xml:space="preserve">. Monteiro and Spohr, using a different set of dentifrices, also recorded an increase in Ra after simulated brushing but found that the manufacturer’s RDA value did not predict the roughness result in a simple way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A single dentifrice was therefore used in the present study, and the results apply to that paste.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How the surface is finished before the first measurement also matters. A Mylar-covered, as-cured face is resin-rich and is not the surface that a dentist leaves after rotary finishing and polishing. AlAli, Silikas and Satterthwaite polished three nanohybrid pastes and then brushed them at intervals up to 20 000 cycles. Ra rose and gloss fell at every interval; after 10 000 cycles the polished nanohybrids were already rougher than they had been at baseline, and by 20 000 cycles mean Ra lay between 0.41 µm and 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Their baseline values (0.14–0.22 µm) were those of a polished paste, not of a Mylar film. The present discs were left as cured against Mylar. That choice follows the approved protocol. It means that the baseline Ra reported in Chapter 4 describes the as-cured film, and that any comparison with a polished-specimen paper has to be made with that difference in mind. Gloss was not measured here.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2.3 Injectable composite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Baroudi and Rodrigues, in a systematic review, concluded that conventional flowables should not be used as sole restoratives in load-bearing situations </w:t>
      </w:r>
      <w:r>
        <w:rPr>
          <w:rFonts w:ascii="Times New Roman" w:hAnsi="Times New Roman" w:cs="Times New Roman" w:eastAsia="Times New Roman"/>
          <w:b w:val="0"/>
          <w:i w:val="0"/>
          <w:color w:val="000000"/>
          <w:sz w:val="24"/>
          <w:szCs w:val="24"/>
          <w:vertAlign w:val="superscript"/>
        </w:rPr>
        <w:t>(13)</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Highly filled injectable resins are a later development. G-ænial Universal Injectable contains barium glass and silica at a filler load of 50 vol% in a dimethacrylate matrix </w:t>
      </w:r>
      <w:r>
        <w:rPr>
          <w:rFonts w:ascii="Times New Roman" w:hAnsi="Times New Roman" w:cs="Times New Roman" w:eastAsia="Times New Roman"/>
          <w:b w:val="0"/>
          <w:i w:val="0"/>
          <w:color w:val="000000"/>
          <w:sz w:val="24"/>
          <w:szCs w:val="24"/>
          <w:vertAlign w:val="superscript"/>
        </w:rPr>
        <w:t>(6,18,19)</w:t>
      </w:r>
      <w:r>
        <w:rPr>
          <w:rFonts w:ascii="Times New Roman" w:hAnsi="Times New Roman" w:cs="Times New Roman" w:eastAsia="Times New Roman"/>
          <w:b w:val="0"/>
          <w:i w:val="0"/>
          <w:color w:val="000000"/>
          <w:sz w:val="24"/>
          <w:szCs w:val="24"/>
        </w:rPr>
        <w:t xml:space="preserve">. Beautifil Flow Plus X F00 is a zero-flow giomer injectable that incorporates nano-sized surface pre-reacted glass-ionomer (S-PRG) filler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 xml:space="preserve">. It should not be confused with Beautifil Flow Plus F00, an earlier product that appears in several laboratory papers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distinction matters when results are compared.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Syringeability and wear are not the same property. Imai and colleagues measured extrusion force and thread formation together with flexural strength and sliding-impact wear in a set of newer flowable resins. Some of those flowables wore as little as, or less than, the conventional pastes in the same study. Handling did not predict wear: a paste that left the syringe easily was not, on that account, the weaker material under the antagonist </w:t>
      </w:r>
      <w:r>
        <w:rPr>
          <w:rFonts w:ascii="Times New Roman" w:hAnsi="Times New Roman" w:cs="Times New Roman" w:eastAsia="Times New Roman"/>
          <w:b w:val="0"/>
          <w:i w:val="0"/>
          <w:color w:val="000000"/>
          <w:sz w:val="24"/>
          <w:szCs w:val="24"/>
          <w:vertAlign w:val="superscript"/>
        </w:rPr>
        <w:t>(27)</w:t>
      </w:r>
      <w:r>
        <w:rPr>
          <w:rFonts w:ascii="Times New Roman" w:hAnsi="Times New Roman" w:cs="Times New Roman" w:eastAsia="Times New Roman"/>
          <w:b w:val="0"/>
          <w:i w:val="0"/>
          <w:color w:val="000000"/>
          <w:sz w:val="24"/>
          <w:szCs w:val="24"/>
        </w:rPr>
        <w:t>. The finding supports the manufacturer’s claim that a highly filled injectable can be used where a packable paste would otherwise be chosen. It does not, on its own, describe toothbrush abrasion.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finding is favourable to highly filled injectables, but the wear mode is two-body contact without toothpaste. It cannot be transferred to a toothbrushing assay.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That design is closer to the present study, although the nanohybrid control and the injectable giomer were not the products tested here.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 Material-to-material scatter is the rule, and a toothbrushing comparison of Beautifil Flow Plus X F00 with Beautifil II LS was not among the studies they included.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2.4 Conventional nanohybrid resins and giomers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Nanohybrid composites combine nano-sized particles with larger submicron or micron fillers. The dual size distribution is intended to increase packing density, improve polishability and raise filler load, which commonly exceeds 70–80 wt%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xml:space="preserve">. Beautifil II LS belongs to this class. Its filler load is 68 vol%. The resin contains Bis-GMA, UDMA, Bis-EMA, PEGMA and TEGDMA, and the filler includes multifunctional glass and S-PRG particles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S-PRG filler is a three-layered particle: a fluoro-boro-aluminosilicate glass core, a pre-reacted glass-ionomer hydrogel phase and an outer silica coating. It releases fluoride, strontium, borate, sodium, silicate and aluminium ions and can be recharged with fluoride </w:t>
      </w:r>
      <w:r>
        <w:rPr>
          <w:rFonts w:ascii="Times New Roman" w:hAnsi="Times New Roman" w:cs="Times New Roman" w:eastAsia="Times New Roman"/>
          <w:b w:val="0"/>
          <w:i w:val="0"/>
          <w:color w:val="000000"/>
          <w:sz w:val="24"/>
          <w:szCs w:val="24"/>
          <w:vertAlign w:val="superscript"/>
        </w:rPr>
        <w:t>(23)</w:t>
      </w:r>
      <w:r>
        <w:rPr>
          <w:rFonts w:ascii="Times New Roman" w:hAnsi="Times New Roman" w:cs="Times New Roman" w:eastAsia="Times New Roman"/>
          <w:b w:val="0"/>
          <w:i w:val="0"/>
          <w:color w:val="000000"/>
          <w:sz w:val="24"/>
          <w:szCs w:val="24"/>
        </w:rPr>
        <w:t xml:space="preserve">. These ion-exchange properties are the basis of the giomer concept and are clinically attractive. They are not, however, a guarantee of surface stability. Yap and colleagues showed that chemical challenge can roughen composite surfaces by softening the matrix and exposing filler </w:t>
      </w:r>
      <w:r>
        <w:rPr>
          <w:rFonts w:ascii="Times New Roman" w:hAnsi="Times New Roman" w:cs="Times New Roman" w:eastAsia="Times New Roman"/>
          <w:b w:val="0"/>
          <w:i w:val="0"/>
          <w:color w:val="000000"/>
          <w:sz w:val="24"/>
          <w:szCs w:val="24"/>
          <w:vertAlign w:val="superscript"/>
        </w:rPr>
        <w:t>(21)</w:t>
      </w:r>
      <w:r>
        <w:rPr>
          <w:rFonts w:ascii="Times New Roman" w:hAnsi="Times New Roman" w:cs="Times New Roman" w:eastAsia="Times New Roman"/>
          <w:b w:val="0"/>
          <w:i w:val="0"/>
          <w:color w:val="000000"/>
          <w:sz w:val="24"/>
          <w:szCs w:val="24"/>
        </w:rPr>
        <w:t xml:space="preserve">, and the same ion-exchange behaviour that buffers acid may leave a more irregular topography once the resin-rich layer has been brushed away. Larger and irregular fillers, once uncovered, produce a higher Ra than a uniform nanofilled injectable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w:t>
      </w:r>
      <w:r>
        <w:rPr>
          <w:rFonts w:ascii="Times New Roman" w:hAnsi="Times New Roman" w:cs="Times New Roman" w:eastAsia="Times New Roman"/>
          <w:b w:val="0"/>
          <w:i w:val="0"/>
          <w:color w:val="000000"/>
          <w:sz w:val="24"/>
          <w:szCs w:val="24"/>
          <w:vertAlign w:val="superscript"/>
        </w:rPr>
        <w:t>(22)</w:t>
      </w:r>
      <w:r>
        <w:rPr>
          <w:rFonts w:ascii="Times New Roman" w:hAnsi="Times New Roman" w:cs="Times New Roman" w:eastAsia="Times New Roman"/>
          <w:b w:val="0"/>
          <w:i w:val="0"/>
          <w:color w:val="000000"/>
          <w:sz w:val="24"/>
          <w:szCs w:val="24"/>
        </w:rPr>
        <w:t>. That series establishes that S-PRG pastes have been used as definitive restoratives for many years. It does not describe the toothbrush roughness of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Packable nanohybrids remain the clinical reference for posterior direct work because of their handling familiarity and their documented wear record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2.5 Statement of the problem</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Two-body wear of G-ænial Universal Injectable and Beautifil Flow Plus F00 is favourable in one recent laboratory study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Toothbrush roughness of G-ænial Universal Injectable is favourable against a different nanohybrid in another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Beautifil Flow Plus X F00 and Beautifil II LS have not been placed beside G-ænial Universal Injectable in a single protocol that records both gravimetric loss and Ra after 10 000 cycles at 2 N. That comparison is the subject of this thesis.</w:t>
      </w:r>
    </w:p>
    <w:p>
      <w:pPr>
        <w:pStyle w:val="Heading1"/>
        <w:keepNext/>
        <w:pageBreakBefore/>
        <w:widowControl/>
        <w:spacing w:before="240" w:after="200" w:line="240" w:lineRule="auto"/>
        <w:ind w:firstLine="0"/>
        <w:jc w:val="center"/>
      </w:pPr>
      <w:r>
        <w:rPr>
          <w:rFonts w:ascii="Times New Roman" w:hAnsi="Times New Roman" w:cs="Times New Roman" w:eastAsia="Times New Roman"/>
          <w:b/>
          <w:i w:val="0"/>
          <w:color w:val="000000"/>
          <w:sz w:val="32"/>
          <w:szCs w:val="32"/>
        </w:rPr>
        <w:t>CHAPTER 3</w:t>
      </w: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MATERIALS AND METHODS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3.1 Study design, setting and sample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investigation was a comparative in-vitro study of three commercially available resin composites. Disc specimens were prepared in the laboratory of the Faculty of Dentistry, Pharos University in Alexandria. The toothbrushing runs were carried out on a custom simulator in the Dental Biomaterials Department of the Faculty of Dentistry, Alexandria University.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10 mm in diameter and 1 mm thick, were prepared in a CAD/CAM Teflon mould designed in Blender (Blender Institute B.V., Amsterdam). The discs were allocated at random to three equal groups (n = 12) according to the restorative material:</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Group I — G-ænial Universal Injectable.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Group II — Beautifil Flow Plus X F00.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Group III —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sample size was calculated in G*Power version 3.1.9.2 from the two-body wear comparison of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taking a power of 80 % (β = 0.20) and a two-sided significance level of 0.05. That calculation gave a minimum of ten specimens per group (thirty in all). Twelve were prepared in each group. The protocol provided that any disc lost in processing would be replaced so that the analysed number remained twelve; no disc was lost.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3.2 Materials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materials used were: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G-ænial Universal Injectable, shade A2 — highly filled nanofilled injectable composite (GC Corporation, Tokyo,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Beautifil Flow Plus X F00, shade A2 — highly filled injectable giomer of zero-flow consistency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Beautifil II LS, shade A2 — conventional low-shrinkage nanohybrid giomer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Colgate Total toothpaste.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Distilled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composition of the three resins, as stated by the manufacturers, is summarised in Table 3.1. The instruments were a RADWAG AS 220-R2 analytical balance (RADWAG Wagi Elektroniczne, Warsaw), a MarSurf PS10 contact profilometer (Mahr GmbH, Göttingen) and the custom toothbrushing simulator already named.</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3.1</w:t>
      </w:r>
      <w:r>
        <w:rPr>
          <w:rFonts w:ascii="Times New Roman" w:hAnsi="Times New Roman" w:cs="Times New Roman" w:eastAsia="Times New Roman"/>
          <w:b w:val="0"/>
          <w:i w:val="0"/>
          <w:color w:val="000000"/>
          <w:sz w:val="24"/>
          <w:szCs w:val="24"/>
        </w:rPr>
        <w:t xml:space="preserve"> Brand, manufacturer, matrix, filler and load of the resin composites</w:t>
      </w:r>
    </w:p>
    <w:tbl>
      <w:tblPr>
        <w:tblW w:type="auto" w:w="0"/>
        <w:jc w:val="center"/>
        <w:tblLayout w:type="fixed"/>
        <w:tblLook w:firstColumn="1" w:firstRow="1" w:lastColumn="0" w:lastRow="0" w:noHBand="0" w:noVBand="1" w:val="04A0"/>
        <w:tblW w:w="8958" w:type="dxa"/>
        <w:tblLayout w:type="fixed"/>
      </w:tblPr>
      <w:tblGrid>
        <w:gridCol w:w="1493"/>
        <w:gridCol w:w="1493"/>
        <w:gridCol w:w="1493"/>
        <w:gridCol w:w="1493"/>
        <w:gridCol w:w="1493"/>
        <w:gridCol w:w="1493"/>
      </w:tblGrid>
      <w:tr>
        <w:trPr>
          <w:cantSplit/>
          <w:tblHeader/>
        </w:trPr>
        <w:tc>
          <w:tcPr>
            <w:tcW w:type="dxa" w:w="1644"/>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Composite</w:t>
            </w:r>
          </w:p>
        </w:tc>
        <w:tc>
          <w:tcPr>
            <w:tcW w:type="dxa" w:w="1304"/>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Type</w:t>
            </w:r>
          </w:p>
        </w:tc>
        <w:tc>
          <w:tcPr>
            <w:tcW w:type="dxa" w:w="1928"/>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Matrix</w:t>
            </w:r>
          </w:p>
        </w:tc>
        <w:tc>
          <w:tcPr>
            <w:tcW w:type="dxa" w:w="1984"/>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Filler</w:t>
            </w:r>
          </w:p>
        </w:tc>
        <w:tc>
          <w:tcPr>
            <w:tcW w:type="dxa" w:w="850"/>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Load</w:t>
            </w:r>
          </w:p>
        </w:tc>
        <w:tc>
          <w:tcPr>
            <w:tcW w:type="dxa" w:w="1247"/>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Manufacturer</w:t>
            </w:r>
          </w:p>
        </w:tc>
      </w:tr>
      <w:tr>
        <w:trPr>
          <w:cantSplit/>
        </w:trPr>
        <w:tc>
          <w:tcPr>
            <w:tcW w:type="dxa" w:w="164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G-ænial Universal Injectable (A2)</w:t>
            </w:r>
          </w:p>
        </w:tc>
        <w:tc>
          <w:tcPr>
            <w:tcW w:type="dxa" w:w="130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Nanohybrid injectable</w:t>
            </w:r>
          </w:p>
        </w:tc>
        <w:tc>
          <w:tcPr>
            <w:tcW w:type="dxa" w:w="1928"/>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Dimethacrylate monomers</w:t>
            </w:r>
          </w:p>
        </w:tc>
        <w:tc>
          <w:tcPr>
            <w:tcW w:type="dxa" w:w="198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Barium glass, silica</w:t>
            </w:r>
          </w:p>
        </w:tc>
        <w:tc>
          <w:tcPr>
            <w:tcW w:type="dxa" w:w="850"/>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50 vol%</w:t>
            </w:r>
          </w:p>
        </w:tc>
        <w:tc>
          <w:tcPr>
            <w:tcW w:type="dxa" w:w="1247"/>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GC, Tokyo</w:t>
            </w:r>
          </w:p>
        </w:tc>
      </w:tr>
      <w:tr>
        <w:trPr>
          <w:cantSplit/>
        </w:trPr>
        <w:tc>
          <w:tcPr>
            <w:tcW w:type="dxa" w:w="164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Flow Plus X F00 (A2)</w:t>
            </w:r>
          </w:p>
        </w:tc>
        <w:tc>
          <w:tcPr>
            <w:tcW w:type="dxa" w:w="130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Nanohybrid injectable giomer</w:t>
            </w:r>
          </w:p>
        </w:tc>
        <w:tc>
          <w:tcPr>
            <w:tcW w:type="dxa" w:w="1928"/>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Bis-GMA, TEGDMA</w:t>
            </w:r>
          </w:p>
        </w:tc>
        <w:tc>
          <w:tcPr>
            <w:tcW w:type="dxa" w:w="198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Multifunctional glass and S-PRG filler</w:t>
            </w:r>
          </w:p>
        </w:tc>
        <w:tc>
          <w:tcPr>
            <w:tcW w:type="dxa" w:w="850"/>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47 vol%</w:t>
            </w:r>
          </w:p>
        </w:tc>
        <w:tc>
          <w:tcPr>
            <w:tcW w:type="dxa" w:w="1247"/>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Shofu, Kyoto</w:t>
            </w:r>
          </w:p>
        </w:tc>
      </w:tr>
      <w:tr>
        <w:trPr>
          <w:cantSplit/>
        </w:trPr>
        <w:tc>
          <w:tcPr>
            <w:tcW w:type="dxa" w:w="1644"/>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II LS (A2)</w:t>
            </w:r>
          </w:p>
        </w:tc>
        <w:tc>
          <w:tcPr>
            <w:tcW w:type="dxa" w:w="1304"/>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Nanohybrid conventional giomer</w:t>
            </w:r>
          </w:p>
        </w:tc>
        <w:tc>
          <w:tcPr>
            <w:tcW w:type="dxa" w:w="1928"/>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Bis-GMA, UDMA, Bis-EMA, PEGMA, TEGDMA</w:t>
            </w:r>
          </w:p>
        </w:tc>
        <w:tc>
          <w:tcPr>
            <w:tcW w:type="dxa" w:w="1984"/>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Multifunctional glass and S-PRG filler</w:t>
            </w:r>
          </w:p>
        </w:tc>
        <w:tc>
          <w:tcPr>
            <w:tcW w:type="dxa" w:w="850"/>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68 vol%</w:t>
            </w:r>
          </w:p>
        </w:tc>
        <w:tc>
          <w:tcPr>
            <w:tcW w:type="dxa" w:w="1247"/>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Shofu, Kyoto</w:t>
            </w:r>
          </w:p>
        </w:tc>
      </w:tr>
    </w:tbl>
    <w:p>
      <w:pPr>
        <w:widowControl/>
        <w:spacing w:before="0" w:after="24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Colgate Total was selected as the dentifrice because it is a widely used daily paste of moderate abrasivity and because it has been employed as the low-RDA reference paste in previous toothbrushing studies of resin composites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3.3 Specimen preparation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Each material was placed in the Teflon mould as a single increment. A Mylar strip and a transparent glass slide were applied over the unset paste so that the test face was flat, of uniform thickness and free of an oxygen-inhibited layer. No rotary finishing or polishing was done. The surface that entered the test was therefore the as-cured film against Mylar, not a polished clinical finish.</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Polymerisation was carried out with an LED curing unit (MiniS, Woodpecker, Guilin, China) for 20 seconds at 800 mW/cm², with the tip in contact with the glass slide. Three further 20-second exposures were given from different directions so that a disc 1 mm thick was polymerised through. Flash was removed with a no. 12 scalpel blade (Suzhou Kyuan Medical Co., Jiangsu, China). After the disc had been taken from the mould its diameter was checked with a digital caliper. The discs were identified by group and stored in distilled water in a closed glass container at 37 °C for 24 hours before the baseline measurements were made.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3.4 Baseline measurements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Each disc was lifted from the storage water and dried with a sterile disposable sponge. It was then weighed on the RADWAG AS 220-R2 balance, which records to 0.0001 g. Surface roughness was measured on the test face with the MarSurf PS10. Five traces were taken at random sites on each disc; the device software calculated Ra for each trace, and the value entered for analysis was the mean of those five traces. Ra was determined according to the definition in ISO 4287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3.5 Toothbrushing protocol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discs were mounted in the custom toothbrushing simulator so that the whole of the test face was brushed under a vertical load of 2 N. That load lies within the ISO range of 0.5–2.5 N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A slurry of Colgate Total (relative dentine abrasivity 70) and distilled water was prepared at 250 g of toothpaste per litre of water, in accordance with ISO 11609 and ISO/TR 14569-1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Each disc received 10 000 cycles. That count is the conventional laboratory equivalent of one year of twice-daily brushing, following the estimate of Sexson and Phillips </w:t>
      </w:r>
      <w:r>
        <w:rPr>
          <w:rFonts w:ascii="Times New Roman" w:hAnsi="Times New Roman" w:cs="Times New Roman" w:eastAsia="Times New Roman"/>
          <w:b w:val="0"/>
          <w:i w:val="0"/>
          <w:color w:val="000000"/>
          <w:sz w:val="24"/>
          <w:szCs w:val="24"/>
          <w:vertAlign w:val="superscript"/>
        </w:rPr>
        <w:t>(7,8)</w:t>
      </w:r>
      <w:r>
        <w:rPr>
          <w:rFonts w:ascii="Times New Roman" w:hAnsi="Times New Roman" w:cs="Times New Roman" w:eastAsia="Times New Roman"/>
          <w:b w:val="0"/>
          <w:i w:val="0"/>
          <w:color w:val="000000"/>
          <w:sz w:val="24"/>
          <w:szCs w:val="24"/>
        </w:rPr>
        <w:t>. The slurry was replaced every 5 000 cycles. At the end of the run the discs were rinsed with a stream of compressed tap water and dried with a disposable sponge.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3.6 Post-test measurements and calculations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Mass and Ra were recorded again with the same instruments and the same sponge-drying routine as at baseline, so that a change in mass would not be confused with a change in surface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[(W₁ − W₂) / W₁] × 100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where W₁ and W₂ are the masses before and after brushing. The group value reported in Table 4.1 is the mean of these per-disc ratios, not the ratio of the group-mean masses. The distinction is material in a group that contains an outlier.</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Absolute loss in milligrams was calculated as (W₁ − W₂) × 1000.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change in roughness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ΔRa (µm) = Ra after − Ra before.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3.7 Statistical analysis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Descriptive statistics are presented as mean ± standard deviation. Percentage weight loss was compared among the three groups by one-way analysis of variance. Ra after brushing was compared by the Kruskal–Wallis test, with pairwise comparisons between groups. The choice of a parametric test for weight loss and a non-parametric test for roughness follows the distributions of the two outcomes in the experimental records. The name of the pairwise procedure used after the Kruskal–Wallis test was not recorded; the result that is reported is that each injectable differed from Beautifil II LS and that the two injectables did not differ from each other. The level of significance was set at α = 0.05. The statistical software used for the original analysis was not named in the laboratory records and is therefore not stated here.</w:t>
      </w:r>
    </w:p>
    <w:p>
      <w:pPr>
        <w:pStyle w:val="Heading1"/>
        <w:keepNext/>
        <w:pageBreakBefore/>
        <w:widowControl/>
        <w:spacing w:before="240" w:after="200" w:line="240" w:lineRule="auto"/>
        <w:ind w:firstLine="0"/>
        <w:jc w:val="center"/>
      </w:pPr>
      <w:r>
        <w:rPr>
          <w:rFonts w:ascii="Times New Roman" w:hAnsi="Times New Roman" w:cs="Times New Roman" w:eastAsia="Times New Roman"/>
          <w:b/>
          <w:i w:val="0"/>
          <w:color w:val="000000"/>
          <w:sz w:val="32"/>
          <w:szCs w:val="32"/>
        </w:rPr>
        <w:t>CHAPTER 4</w:t>
      </w: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RESULTS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were tested, twelve in each group. None was lost in processing. All discs completed 10 000 cycles at 2 N. Wear is reported as mass; roughness is reported as Ra.</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4.1 Weight loss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mass before and after brushing, and percentage loss, are given in Table 4.1 and illustrated in Figure 4.1.</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4.1</w:t>
      </w:r>
      <w:r>
        <w:rPr>
          <w:rFonts w:ascii="Times New Roman" w:hAnsi="Times New Roman" w:cs="Times New Roman" w:eastAsia="Times New Roman"/>
          <w:b w:val="0"/>
          <w:i w:val="0"/>
          <w:color w:val="000000"/>
          <w:sz w:val="24"/>
          <w:szCs w:val="24"/>
        </w:rPr>
        <w:t xml:space="preserve"> Mean weight before and after simulated toothbrushing and percentage weight loss of the tested composite resins (n = 12)</w:t>
      </w:r>
    </w:p>
    <w:tbl>
      <w:tblPr>
        <w:tblW w:type="auto" w:w="0"/>
        <w:jc w:val="center"/>
        <w:tblLayout w:type="fixed"/>
        <w:tblLook w:firstColumn="1" w:firstRow="1" w:lastColumn="0" w:lastRow="0" w:noHBand="0" w:noVBand="1" w:val="04A0"/>
        <w:tblW w:w="8958" w:type="dxa"/>
        <w:tblLayout w:type="fixed"/>
      </w:tblPr>
      <w:tblGrid>
        <w:gridCol w:w="1792"/>
        <w:gridCol w:w="1792"/>
        <w:gridCol w:w="1792"/>
        <w:gridCol w:w="1792"/>
        <w:gridCol w:w="1792"/>
      </w:tblGrid>
      <w:tr>
        <w:trPr>
          <w:cantSplit/>
          <w:tblHeader/>
        </w:trPr>
        <w:tc>
          <w:tcPr>
            <w:tcW w:type="dxa" w:w="1984"/>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Composite resin</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Weight before (g)</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Weight after (g)</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Weight loss (%)</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36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p-value</w:t>
            </w: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Flow Plus X F00</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0.1602 ± 0.0074</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0.1576 ± 0.0031</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1.49 ± 3.14</w:t>
            </w:r>
          </w:p>
        </w:tc>
        <w:tc>
          <w:tcPr>
            <w:tcW w:type="dxa" w:w="1361"/>
            <w:vAlign w:val="center"/>
            <w:tcMar>
              <w:top w:w="120" w:type="dxa"/>
              <w:left w:w="120" w:type="dxa"/>
              <w:bottom w:w="120" w:type="dxa"/>
              <w:right w:w="120" w:type="dxa"/>
            </w:tcMar>
            <w:vMerge w:val="restart"/>
            <w:tcBorders>
              <w:top w:val="nil" w:sz="0" w:space="0" w:color="auto"/>
              <w:left w:val="nil" w:sz="0" w:space="0" w:color="auto"/>
              <w:bottom w:val="single" w:sz="18" w:space="0" w:color="000000"/>
              <w:right w:val="nil" w:sz="0" w:space="0" w:color="auto"/>
            </w:tcBorders>
            <w:tcMar>
              <w:top w:w="120" w:type="dxa"/>
              <w:left w:w="120" w:type="dxa"/>
              <w:bottom w:w="120" w:type="dxa"/>
              <w:right w:w="120" w:type="dxa"/>
            </w:tcMar>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0.329†</w:t>
            </w: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G-ænial Universal Injectable</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0.1630 ± 0.0102</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0.1619 ± 0.0106</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0.65 ± 0.37</w:t>
            </w:r>
          </w:p>
        </w:tc>
        <w:tc>
          <w:tcPr>
            <w:tcW w:type="dxa" w:w="1361"/>
            <w:vAlign w:val="center"/>
            <w:tcMar>
              <w:top w:w="120" w:type="dxa"/>
              <w:left w:w="120" w:type="dxa"/>
              <w:bottom w:w="120" w:type="dxa"/>
              <w:right w:w="120" w:type="dxa"/>
            </w:tcMar>
            <w:vMerge/>
            <w:tcBorders>
              <w:top w:val="nil" w:sz="0" w:space="0" w:color="auto"/>
              <w:left w:val="nil" w:sz="0" w:space="0" w:color="auto"/>
              <w:bottom w:val="nil" w:sz="0" w:space="0" w:color="auto"/>
              <w:right w:val="nil" w:sz="0" w:space="0" w:color="auto"/>
            </w:tcBorders>
          </w:tcP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II LS</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0.2313 ± 0.0154</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0.2303 ± 0.0156</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0.41 ± 0.25</w:t>
            </w:r>
          </w:p>
        </w:tc>
        <w:tc>
          <w:tcPr>
            <w:tcW w:type="dxa" w:w="1361"/>
            <w:vAlign w:val="center"/>
            <w:tcMar>
              <w:top w:w="120" w:type="dxa"/>
              <w:left w:w="120" w:type="dxa"/>
              <w:bottom w:w="120" w:type="dxa"/>
              <w:right w:w="12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One-way ANOVA.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437748"/>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3"/>
                    <a:stretch>
                      <a:fillRect/>
                    </a:stretch>
                  </pic:blipFill>
                  <pic:spPr>
                    <a:xfrm>
                      <a:off x="0" y="0"/>
                      <a:ext cx="4937760" cy="3437748"/>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4.1</w:t>
      </w:r>
      <w:r>
        <w:rPr>
          <w:rFonts w:ascii="Times New Roman" w:hAnsi="Times New Roman" w:cs="Times New Roman" w:eastAsia="Times New Roman"/>
          <w:b w:val="0"/>
          <w:i w:val="0"/>
          <w:color w:val="000000"/>
          <w:sz w:val="24"/>
          <w:szCs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(0.1602 ± 0.0074 g and 0.1630 ± 0.0102 g). This follows from filler load and density, not from a difference in disc size.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Absolute loss is set out in Table 4.2 because percentage loss on a lighter disc can exaggerate a small mass change, and because the outlying specimen is easier to see in milligrams.</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4.2</w:t>
      </w:r>
      <w:r>
        <w:rPr>
          <w:rFonts w:ascii="Times New Roman" w:hAnsi="Times New Roman" w:cs="Times New Roman" w:eastAsia="Times New Roman"/>
          <w:b w:val="0"/>
          <w:i w:val="0"/>
          <w:color w:val="000000"/>
          <w:sz w:val="24"/>
          <w:szCs w:val="24"/>
        </w:rPr>
        <w:t xml:space="preserve"> Absolute weight loss after 10 000 brushing cycles (n = 12)</w:t>
      </w:r>
    </w:p>
    <w:tbl>
      <w:tblPr>
        <w:tblW w:type="auto" w:w="0"/>
        <w:jc w:val="center"/>
        <w:tblLayout w:type="fixed"/>
        <w:tblLook w:firstColumn="1" w:firstRow="1" w:lastColumn="0" w:lastRow="0" w:noHBand="0" w:noVBand="1" w:val="04A0"/>
        <w:tblW w:w="8958" w:type="dxa"/>
        <w:tblLayout w:type="fixed"/>
      </w:tblPr>
      <w:tblGrid>
        <w:gridCol w:w="2986"/>
        <w:gridCol w:w="2986"/>
        <w:gridCol w:w="2986"/>
      </w:tblGrid>
      <w:tr>
        <w:trPr>
          <w:cantSplit/>
          <w:tblHeader/>
        </w:trPr>
        <w:tc>
          <w:tcPr>
            <w:tcW w:type="dxa" w:w="3402"/>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Composite resin</w:t>
            </w:r>
          </w:p>
        </w:tc>
        <w:tc>
          <w:tcPr>
            <w:tcW w:type="dxa" w:w="3288"/>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Absolute weight loss (mg)</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2268"/>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Range (mg)</w:t>
            </w:r>
          </w:p>
        </w:tc>
      </w:tr>
      <w:tr>
        <w:trPr>
          <w:cantSplit/>
        </w:trPr>
        <w:tc>
          <w:tcPr>
            <w:tcW w:type="dxa" w:w="3402"/>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Flow Plus X F00</w:t>
            </w:r>
          </w:p>
        </w:tc>
        <w:tc>
          <w:tcPr>
            <w:tcW w:type="dxa" w:w="3288"/>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2.58 ± 5.91</w:t>
            </w:r>
          </w:p>
        </w:tc>
        <w:tc>
          <w:tcPr>
            <w:tcW w:type="dxa" w:w="2268"/>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0.2 – 20.7</w:t>
            </w:r>
          </w:p>
        </w:tc>
      </w:tr>
      <w:tr>
        <w:trPr>
          <w:cantSplit/>
        </w:trPr>
        <w:tc>
          <w:tcPr>
            <w:tcW w:type="dxa" w:w="3402"/>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G-ænial Universal Injectable</w:t>
            </w:r>
          </w:p>
        </w:tc>
        <w:tc>
          <w:tcPr>
            <w:tcW w:type="dxa" w:w="3288"/>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1.07 ± 0.62</w:t>
            </w:r>
          </w:p>
        </w:tc>
        <w:tc>
          <w:tcPr>
            <w:tcW w:type="dxa" w:w="2268"/>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0.2 – 1.9</w:t>
            </w:r>
          </w:p>
        </w:tc>
      </w:tr>
      <w:tr>
        <w:trPr>
          <w:cantSplit/>
        </w:trPr>
        <w:tc>
          <w:tcPr>
            <w:tcW w:type="dxa" w:w="3402"/>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II LS</w:t>
            </w:r>
          </w:p>
        </w:tc>
        <w:tc>
          <w:tcPr>
            <w:tcW w:type="dxa" w:w="3288"/>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0.95 ± 0.58</w:t>
            </w:r>
          </w:p>
        </w:tc>
        <w:tc>
          <w:tcPr>
            <w:tcW w:type="dxa" w:w="2268"/>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 – 1.8</w:t>
            </w: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standard deviation of Beautifil Flow Plus X F00 mass fell from 7.4 mg before brushing to 3.1 mg after brushing. This is consistent with the heaviest disc in that group shedding 20.7 mg and landing near the group mean.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Ra before and after brushing, and ΔRa, are given in Table 4.3 and illustrated in Figures 4.2 and 4.3.</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4.3</w:t>
      </w:r>
      <w:r>
        <w:rPr>
          <w:rFonts w:ascii="Times New Roman" w:hAnsi="Times New Roman" w:cs="Times New Roman" w:eastAsia="Times New Roman"/>
          <w:b w:val="0"/>
          <w:i w:val="0"/>
          <w:color w:val="000000"/>
          <w:sz w:val="24"/>
          <w:szCs w:val="24"/>
        </w:rPr>
        <w:t xml:space="preserve"> Mean surface roughness (Ra) before and after simulated toothbrushing and the change in roughness (ΔRa) of the tested composite resins (n = 12)</w:t>
      </w:r>
    </w:p>
    <w:tbl>
      <w:tblPr>
        <w:tblW w:type="auto" w:w="0"/>
        <w:jc w:val="center"/>
        <w:tblLayout w:type="fixed"/>
        <w:tblLook w:firstColumn="1" w:firstRow="1" w:lastColumn="0" w:lastRow="0" w:noHBand="0" w:noVBand="1" w:val="04A0"/>
        <w:tblW w:w="8958" w:type="dxa"/>
        <w:tblLayout w:type="fixed"/>
      </w:tblPr>
      <w:tblGrid>
        <w:gridCol w:w="1792"/>
        <w:gridCol w:w="1792"/>
        <w:gridCol w:w="1792"/>
        <w:gridCol w:w="1792"/>
        <w:gridCol w:w="1792"/>
      </w:tblGrid>
      <w:tr>
        <w:trPr>
          <w:cantSplit/>
          <w:tblHeader/>
        </w:trPr>
        <w:tc>
          <w:tcPr>
            <w:tcW w:type="dxa" w:w="1984"/>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Composite resin</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Ra before (µm)</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Ra after (µm)</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ΔRa (µm)</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36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p-value</w:t>
            </w: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Flow Plus X F00</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0.038 ± 0.011</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0.104 ± 0.017</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0.066 ± 0.021</w:t>
            </w:r>
          </w:p>
        </w:tc>
        <w:tc>
          <w:tcPr>
            <w:tcW w:type="dxa" w:w="1361"/>
            <w:vAlign w:val="center"/>
            <w:tcMar>
              <w:top w:w="120" w:type="dxa"/>
              <w:left w:w="120" w:type="dxa"/>
              <w:bottom w:w="120" w:type="dxa"/>
              <w:right w:w="120" w:type="dxa"/>
            </w:tcMar>
            <w:vMerge w:val="restart"/>
            <w:tcBorders>
              <w:top w:val="nil" w:sz="0" w:space="0" w:color="auto"/>
              <w:left w:val="nil" w:sz="0" w:space="0" w:color="auto"/>
              <w:bottom w:val="single" w:sz="18" w:space="0" w:color="000000"/>
              <w:right w:val="nil" w:sz="0" w:space="0" w:color="auto"/>
            </w:tcBorders>
            <w:tcMar>
              <w:top w:w="120" w:type="dxa"/>
              <w:left w:w="120" w:type="dxa"/>
              <w:bottom w:w="120" w:type="dxa"/>
              <w:right w:w="120" w:type="dxa"/>
            </w:tcMar>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&lt; 0.001‡</w:t>
            </w: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G-ænial Universal Injectable</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0.054 ± 0.010</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0.100 ± 0.023</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0.046 ± 0.023</w:t>
            </w:r>
          </w:p>
        </w:tc>
        <w:tc>
          <w:tcPr>
            <w:tcW w:type="dxa" w:w="1361"/>
            <w:vAlign w:val="center"/>
            <w:tcMar>
              <w:top w:w="120" w:type="dxa"/>
              <w:left w:w="120" w:type="dxa"/>
              <w:bottom w:w="120" w:type="dxa"/>
              <w:right w:w="120" w:type="dxa"/>
            </w:tcMar>
            <w:vMerge/>
            <w:tcBorders>
              <w:top w:val="nil" w:sz="0" w:space="0" w:color="auto"/>
              <w:left w:val="nil" w:sz="0" w:space="0" w:color="auto"/>
              <w:bottom w:val="nil" w:sz="0" w:space="0" w:color="auto"/>
              <w:right w:val="nil" w:sz="0" w:space="0" w:color="auto"/>
            </w:tcBorders>
          </w:tcP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II LS</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0.119 ± 0.054</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0.194 ± 0.050</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0.075 ± 0.066</w:t>
            </w:r>
          </w:p>
        </w:tc>
        <w:tc>
          <w:tcPr>
            <w:tcW w:type="dxa" w:w="1361"/>
            <w:vAlign w:val="center"/>
            <w:tcMar>
              <w:top w:w="120" w:type="dxa"/>
              <w:left w:w="120" w:type="dxa"/>
              <w:bottom w:w="120" w:type="dxa"/>
              <w:right w:w="12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Kruskal–Wallis test. Pairwise comparisons: each injectable versus Beautifil II LS, p &lt; 0.001; the two injectables, not significant.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109049"/>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4"/>
                    <a:stretch>
                      <a:fillRect/>
                    </a:stretch>
                  </pic:blipFill>
                  <pic:spPr>
                    <a:xfrm>
                      <a:off x="0" y="0"/>
                      <a:ext cx="4937760" cy="3109049"/>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4.2</w:t>
      </w:r>
      <w:r>
        <w:rPr>
          <w:rFonts w:ascii="Times New Roman" w:hAnsi="Times New Roman" w:cs="Times New Roman" w:eastAsia="Times New Roman"/>
          <w:b w:val="0"/>
          <w:i w:val="0"/>
          <w:color w:val="000000"/>
          <w:sz w:val="24"/>
          <w:szCs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At baseline, on the as-cured Mylar face, Beautifil II LS was already the roughest (0.119 ± 0.054 µm). Beautifil Flow Plus X F00 was the smoothest (0.038 ± 0.011 µm). G-ænial Universal Injectable lay between them (0.054 ± 0.010 µm). The order after brushing is therefore not a new ranking created by the toothbrush. It is the same order, carried forward.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 Relative to its own baseline, Beautifil Flow Plus X F00 rose by a factor of about 2.7, G-ænial Universal Injectable by about 1.9 and Beautifil II LS by about 1.6. The injectable that started smoothest therefore changed the most in relative terms, but it still finished beside the other injectable and well below the nanohybrid.</w:t>
      </w:r>
    </w:p>
    <w:p>
      <w:pPr>
        <w:widowControl/>
        <w:spacing w:before="200" w:after="160" w:line="240" w:lineRule="auto"/>
        <w:ind w:firstLine="0"/>
        <w:jc w:val="center"/>
      </w:pPr>
      <w:r>
        <w:drawing>
          <wp:inline xmlns:a="http://schemas.openxmlformats.org/drawingml/2006/main" xmlns:pic="http://schemas.openxmlformats.org/drawingml/2006/picture">
            <wp:extent cx="4937760" cy="3261737"/>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5"/>
                    <a:stretch>
                      <a:fillRect/>
                    </a:stretch>
                  </pic:blipFill>
                  <pic:spPr>
                    <a:xfrm>
                      <a:off x="0" y="0"/>
                      <a:ext cx="4937760" cy="3261737"/>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4.3</w:t>
      </w:r>
      <w:r>
        <w:rPr>
          <w:rFonts w:ascii="Times New Roman" w:hAnsi="Times New Roman" w:cs="Times New Roman" w:eastAsia="Times New Roman"/>
          <w:b w:val="0"/>
          <w:i w:val="0"/>
          <w:color w:val="000000"/>
          <w:sz w:val="24"/>
          <w:szCs w:val="24"/>
        </w:rPr>
        <w:t xml:space="preserve"> Mean change in surface roughness (ΔRa = Ra after − Ra before) of the three composite resins after 10 000 toothbrushing cycles at 2 N. Error bars represent one standard deviation (n = 12 per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Relative to the 0.2 µm plaque-retention threshold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4.3 Summary of the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pStyle w:val="Heading1"/>
        <w:keepNext/>
        <w:pageBreakBefore/>
        <w:widowControl/>
        <w:spacing w:before="240" w:after="200" w:line="240" w:lineRule="auto"/>
        <w:ind w:firstLine="0"/>
        <w:jc w:val="center"/>
      </w:pPr>
      <w:r>
        <w:rPr>
          <w:rFonts w:ascii="Times New Roman" w:hAnsi="Times New Roman" w:cs="Times New Roman" w:eastAsia="Times New Roman"/>
          <w:b/>
          <w:i w:val="0"/>
          <w:color w:val="000000"/>
          <w:sz w:val="32"/>
          <w:szCs w:val="32"/>
        </w:rPr>
        <w:t>CHAPTER 5</w:t>
      </w: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5.1 Interpretation of the weight-loss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finding is consistent, in direction if not in method, with the two-body data of Rajabi et al., who reported lower volumetric wear for G-ænial Universal Injectable and Beautifil Flow Plus F00 than for a nanohybrid paste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5.2 Interpretation of the roughness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This order is the order predicted by filler geometry. A nanofilled injectable whose particles are of the order of 150 nm wears more uniformly, because the particles are small enough to be lost with the matrix rather than to stand proud of it </w:t>
      </w:r>
      <w:r>
        <w:rPr>
          <w:rFonts w:ascii="Times New Roman" w:hAnsi="Times New Roman" w:cs="Times New Roman" w:eastAsia="Times New Roman"/>
          <w:b w:val="0"/>
          <w:i w:val="0"/>
          <w:color w:val="000000"/>
          <w:sz w:val="24"/>
          <w:szCs w:val="24"/>
          <w:vertAlign w:val="superscript"/>
        </w:rPr>
        <w:t>(6,18,24)</w:t>
      </w:r>
      <w:r>
        <w:rPr>
          <w:rFonts w:ascii="Times New Roman" w:hAnsi="Times New Roman" w:cs="Times New Roman" w:eastAsia="Times New Roman"/>
          <w:b w:val="0"/>
          <w:i w:val="0"/>
          <w:color w:val="000000"/>
          <w:sz w:val="24"/>
          <w:szCs w:val="24"/>
        </w:rPr>
        <w:t xml:space="preserve">. A nanohybrid that contains larger S-PRG and pre-polymerised particles loses the resin-rich surface first; the larger fillers are then uncovered or plucked, leaving a coarser profile </w:t>
      </w:r>
      <w:r>
        <w:rPr>
          <w:rFonts w:ascii="Times New Roman" w:hAnsi="Times New Roman" w:cs="Times New Roman" w:eastAsia="Times New Roman"/>
          <w:b w:val="0"/>
          <w:i w:val="0"/>
          <w:color w:val="000000"/>
          <w:sz w:val="24"/>
          <w:szCs w:val="24"/>
          <w:vertAlign w:val="superscript"/>
        </w:rPr>
        <w:t>(4,18)</w:t>
      </w:r>
      <w:r>
        <w:rPr>
          <w:rFonts w:ascii="Times New Roman" w:hAnsi="Times New Roman" w:cs="Times New Roman" w:eastAsia="Times New Roman"/>
          <w:b w:val="0"/>
          <w:i w:val="0"/>
          <w:color w:val="000000"/>
          <w:sz w:val="24"/>
          <w:szCs w:val="24"/>
        </w:rPr>
        <w:t xml:space="preserve">. Hasan, Eltoukhy and Zaghloul recorded the same ranking after simulated brushing of G-ænial Universal Injectable against a nanofilled paste and a nanohybrid: the injectable was the smoothest, the nanohybrid the roughest, and the two nanofilled resins did not differ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xml:space="preserve">. Heintze et al. had already shown that hybrid and microhybrid pastes deteriorate more with load and time than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and da Costa et al. found that composites with smaller average fillers lost less gloss and gained less roughness when brushed with Colgate Total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The present results sit within that literature rather than against it.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0.2 µm threshold of Bollen, Lambrechts and Quirynen remains the clinically useful reference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Patients would not be expected to feel these surfaces after one laboratory year of this brushing model. The distinction that matters is biofilm risk, and it applies to the nanohybrid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5.3 Clinical implications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remains a reasonable packable control. Its higher baseline Ra is the as-cured Mylar face of a nanohybrid that contains larger S-PRG particles, not the face of a disc that has been taken through a polishing sequence. The two injectables, cured against the same strip, started smoother. Part of the after-brushing difference was therefore already present before the first stroke. The comparison after abrasion is nevertheless the comparison the study was designed to make: the three groups were treated identically and were compared as they stood at the end of the test.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A polished clinical restoration would not enter service at these baseline values. AlAli et al. started from polished nanohybrid surfaces of 0.14–0.22 µm and, after 10 000 cycles, were already rougher than at baseline; by 20 000 cycles their means had reached 0.41–0.49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 present injectable means after 10 000 cycles (approximately 0.10 µm) are lower than those polished-and-brushed figures. The comparison is not exact — the materials and the starting finish differ — but it is enough to say that the injectable surfaces in this study did not deteriorate into the range that AlAli recorded for polished nanohybrids under a longer run.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5.4 Strengths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three products are current commercial materials, and the Shofu injectable is the X-generation Flow Plus rather than the earlier F00 formulation used by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Twelve specimens were tested in each group rather than the ten indicated by the original power calculation. Mass and Ra were recorded on the same discs, so the two outcomes describe the same surfaces. The brushing load, the slurry ratio and the cycle count follow the approved protocol and the published ISO guidance </w:t>
      </w:r>
      <w:r>
        <w:rPr>
          <w:rFonts w:ascii="Times New Roman" w:hAnsi="Times New Roman" w:cs="Times New Roman" w:eastAsia="Times New Roman"/>
          <w:b w:val="0"/>
          <w:i w:val="0"/>
          <w:color w:val="000000"/>
          <w:sz w:val="24"/>
          <w:szCs w:val="24"/>
          <w:vertAlign w:val="superscript"/>
        </w:rPr>
        <w:t>(3,7,14)</w:t>
      </w:r>
      <w:r>
        <w:rPr>
          <w:rFonts w:ascii="Times New Roman" w:hAnsi="Times New Roman" w:cs="Times New Roman" w:eastAsia="Times New Roman"/>
          <w:b w:val="0"/>
          <w:i w:val="0"/>
          <w:color w:val="000000"/>
          <w:sz w:val="24"/>
          <w:szCs w:val="24"/>
        </w:rPr>
        <w:t>. The statistical tests were chosen to match the distributions of the two outcomes. The outlying specimen was retained and identified rather than discarded.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5.5 Limitations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investigation is an in-vitro abrasion test. Saliva, pH cycling, enzymatic activity and occlusal load are absent, and the ranking obtained here may change when those factors are added </w:t>
      </w:r>
      <w:r>
        <w:rPr>
          <w:rFonts w:ascii="Times New Roman" w:hAnsi="Times New Roman" w:cs="Times New Roman" w:eastAsia="Times New Roman"/>
          <w:b w:val="0"/>
          <w:i w:val="0"/>
          <w:color w:val="000000"/>
          <w:sz w:val="24"/>
          <w:szCs w:val="24"/>
          <w:vertAlign w:val="superscript"/>
        </w:rPr>
        <w:t>(10,28)</w:t>
      </w:r>
      <w:r>
        <w:rPr>
          <w:rFonts w:ascii="Times New Roman" w:hAnsi="Times New Roman" w:cs="Times New Roman" w:eastAsia="Times New Roman"/>
          <w:b w:val="0"/>
          <w:i w:val="0"/>
          <w:color w:val="000000"/>
          <w:sz w:val="24"/>
          <w:szCs w:val="24"/>
        </w:rPr>
        <w:t xml:space="preserve">. Gravimetric loss is not worn volume and is not worn anatomy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xml:space="preserve">. A disc that has spent 24 hours in water can also change mass by taking up or losing water; the same sponge-drying step was used before and after brushing in order to limit that error, but it cannot be excluded. A single dentifrice of moderate abrasivity was used, at 250 g per litre; a whitening paste of higher RDA might enlarge the roughness differences </w:t>
      </w:r>
      <w:r>
        <w:rPr>
          <w:rFonts w:ascii="Times New Roman" w:hAnsi="Times New Roman" w:cs="Times New Roman" w:eastAsia="Times New Roman"/>
          <w:b w:val="0"/>
          <w:i w:val="0"/>
          <w:color w:val="000000"/>
          <w:sz w:val="24"/>
          <w:szCs w:val="24"/>
          <w:vertAlign w:val="superscript"/>
        </w:rPr>
        <w:t>(8,25)</w:t>
      </w:r>
      <w:r>
        <w:rPr>
          <w:rFonts w:ascii="Times New Roman" w:hAnsi="Times New Roman" w:cs="Times New Roman" w:eastAsia="Times New Roman"/>
          <w:b w:val="0"/>
          <w:i w:val="0"/>
          <w:color w:val="000000"/>
          <w:sz w:val="24"/>
          <w:szCs w:val="24"/>
        </w:rPr>
        <w:t>. Brush stiffness was not recorded. Scanning electron microscopy was not performed, so the inference that larger fillers are uncovered or plucked rests on the roughness numbers and on the published literature rather than on micrographs of these discs. Gloss was not measured. Ten thousand cycles represent one conventional laboratory year, not a year of any particular patient’s hygiene. The test face was an as-cured Mylar surface, not a polished restoration. Disc geometry is not a Class II cavity, and the results should not be read as a prediction of wear at an occlusal contact or at a gingival margin. The statistical software and the name of the Kruskal–Wallis pairwise procedure were not recorded.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5.6 Concluding remarks of the 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pStyle w:val="Heading1"/>
        <w:keepNext/>
        <w:pageBreakBefore/>
        <w:widowControl/>
        <w:spacing w:before="240" w:after="200" w:line="240" w:lineRule="auto"/>
        <w:ind w:firstLine="0"/>
        <w:jc w:val="center"/>
      </w:pPr>
      <w:r>
        <w:rPr>
          <w:rFonts w:ascii="Times New Roman" w:hAnsi="Times New Roman" w:cs="Times New Roman" w:eastAsia="Times New Roman"/>
          <w:b/>
          <w:i w:val="0"/>
          <w:color w:val="000000"/>
          <w:sz w:val="32"/>
          <w:szCs w:val="32"/>
        </w:rPr>
        <w:t>CHAPTER 6</w:t>
      </w: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CONCLUSIONS AND RECOMMENDATIONS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6.1 Conclusions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Under the conditions of this in-vitro study:</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Percentage weight loss after 10 000 toothbrushing cycles did not differ significantly among Beautifil Flow Plus X F00, G-ænial Universal Injectable and Beautifil II LS (p = 0.329).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Ra after the same abrasion did differ (p &lt; 0.001). Both injectable resins were significantly smoother than Beautifil II LS. The two injectable resins did not differ from each other.</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Mean Ra of both injectable resins remained below 0.2 µm. Mean Ra of Beautifil II LS was 0.194 µm.</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The same order of roughness was already present on the as-cured Mylar face before brushing.</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One Beautifil Flow Plus X F00 disc lost approximately 11.4 % of its mass and is the source of that group’s large standard deviation.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The first null hypothesis is retained. The second is rejected.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6.2 Recommendations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practice.</w:t>
      </w:r>
      <w:r>
        <w:rPr>
          <w:rFonts w:ascii="Times New Roman" w:hAnsi="Times New Roman" w:cs="Times New Roman" w:eastAsia="Times New Roman"/>
          <w:b w:val="0"/>
          <w:i w:val="0"/>
          <w:color w:val="000000"/>
          <w:sz w:val="24"/>
          <w:szCs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Further laboratory work.</w:t>
      </w:r>
      <w:r>
        <w:rPr>
          <w:rFonts w:ascii="Times New Roman" w:hAnsi="Times New Roman" w:cs="Times New Roman" w:eastAsia="Times New Roman"/>
          <w:b w:val="0"/>
          <w:i w:val="0"/>
          <w:color w:val="000000"/>
          <w:sz w:val="24"/>
          <w:szCs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same three materials should be finished and polished as they would be in the mouth, and then brushed, so that the ranking can be read against a clinical starting surface. Brush stiffness and the statistical software should be stated. A second dentifrice of higher relative dentine abrasivity, or a higher cycle count, would show whether the roughness difference persists under a more aggressive challenge.</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research.</w:t>
      </w:r>
      <w:r>
        <w:rPr>
          <w:rFonts w:ascii="Times New Roman" w:hAnsi="Times New Roman" w:cs="Times New Roman" w:eastAsia="Times New Roman"/>
          <w:b w:val="0"/>
          <w:i w:val="0"/>
          <w:color w:val="000000"/>
          <w:sz w:val="24"/>
          <w:szCs w:val="24"/>
        </w:rPr>
        <w:t xml:space="preserve"> Only a controlled clinical study can determine whether the difference between approximately 0.10 µm and 0.19 µm after a laboratory year is associated with a difference in plaque accumulation, staining or restoration survival.</w:t>
      </w:r>
    </w:p>
    <w:p>
      <w:pPr>
        <w:pStyle w:val="Heading1"/>
        <w:keepNext/>
        <w:pageBreakBefore/>
        <w:widowControl/>
        <w:spacing w:before="240" w:after="200" w:line="240" w:lineRule="auto"/>
        <w:ind w:firstLine="0"/>
        <w:jc w:val="center"/>
      </w:pPr>
      <w:r>
        <w:rPr>
          <w:rFonts w:ascii="Times New Roman" w:hAnsi="Times New Roman" w:cs="Times New Roman" w:eastAsia="Times New Roman"/>
          <w:b/>
          <w:i w:val="0"/>
          <w:color w:val="000000"/>
          <w:sz w:val="32"/>
          <w:szCs w:val="32"/>
        </w:rPr>
        <w:t>CHAPTER 7</w:t>
      </w: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REFERENCES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Bollen CML, Lambrechts P, Quirynen M. Comparison of surface roughness of oral hard materials to the threshold surface roughness for bacterial plaque retention: a review of the literature. Dent Mater. 1997;13</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:258-269.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Jones CS, Billington RW, Pearson GJ. The in vivo perception of roughness of restorations. Br Dent J. 2004;196</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:42-45.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International Organization for Standardization. ISO/TR 14569-1:2007. Dental materials — Guidance on testing of wear — Part 1: Wear by toothbrushing. Geneva: ISO; 2007.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Heintze SD, Forjanic M, Ohmiti K, Rousson V. Surface deterioration of dental materials after simulated toothbrushing in relation to brushing time and load. Dent Mater. 2010;26</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:306-319.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Bayne SC, Thompson JY, Swift EJ Jr, Stamatiades P, Wilkerson M. A characterization of first-generation flowable composites. J Am Dent Assoc. 1998;129</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:567-577.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Rajabi H, Denny M, Karagiannopoulos K, Petridis H. Comparison of flexural strength and wear of injectable, flowable and paste composite resins. Materials (Basel). 2024;17</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:4749.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7. Sexson JC, Phillips RW. Studies on the effects of abrasives on acrylic resins. J Prosthet Dent. 1951;1</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:454-471.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8. Monteiro B, Spohr AM. Surface roughness of composite resins after simulated toothbrushing with different dentifrices. J Int Oral Health. 2015;7</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9. Mair LH, Stolarski TA, Vowles RW, Lloyd CH. Wear: mechanisms, manifestations and measurement. Report of a workshop. J Dent. 1996;24(1-2):141-148.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10. Lambrechts P, Debels E, Van Landuyt K, Peumans M, Van Meerbeek B. How to simulate wear? Overview of existing methods. Dent Mater. 2006;22</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:693-701.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11. Ferracane JL. Resin composite—state of the art. Dent Mater. 2011;27</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:29-38.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12. Condon JR, Ferracane JL. In vitro wear of composite with varied cure, filler level, and filler treatment. J Dent Res. 1997;76</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:1405-1411.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13. Baroudi K, Rodrigues JC. Flowable resin composites: a systematic review and clinical considerations. J Clin Diagn Res. 2015;9</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:ZE18-ZE24.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14. International Organization for Standardization. ISO 11609:2017. Dentistry — Dentifrices — Requirements, test methods and marking. Geneva: ISO; 2017.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15. Heintze SD, Cavalleri A, Forjanic M, Zellweger G, Rousson V. A comparison of three different methods for the quantification of the in vitro wear of dental materials. Dent Mater. 2006;22</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:1051-1062.</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16. International Organization for Standardization. ISO 4287:1997. Geometrical product specifications (GPS) — Surface texture: Profile method — Terms, definitions and surface texture parameters. Geneva: ISO; 1997.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17. Quirynen M, Bollen CML. The influence of surface roughness and surface-free energy on supra- and subgingival plaque formation in man. A review of the literature. J Clin Periodontol. 1995;22</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:1-14.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18. Hasan HA, Eltoukhy R, Zaghloul NM. Effect of simulated toothbrushing on surface roughness of different resin composite materials: in vitro study. Al-Azhar J Dent Sci. 2025;28. doi:10.21608/ajdsm.2023.222996.1440.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19. Shofu Inc. Beautifil II LS product information; Beautifil Flow Plus X product information. Kyoto: Shofu; [accessed 2026].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20. Tzimas K, Pappa E, Fostiropoulou M, Papazoglou E, Rahiotis C. Highly filled flowable composite resins as sole restorative materials: a systematic review. Materials (Basel). 2025;18</w:t>
      </w:r>
      <w:r>
        <w:rPr>
          <w:rFonts w:ascii="Times New Roman" w:hAnsi="Times New Roman" w:cs="Times New Roman" w:eastAsia="Times New Roman"/>
          <w:b w:val="0"/>
          <w:i w:val="0"/>
          <w:color w:val="000000"/>
          <w:sz w:val="24"/>
          <w:szCs w:val="24"/>
          <w:vertAlign w:val="superscript"/>
        </w:rPr>
        <w:t>(14)</w:t>
      </w:r>
      <w:r>
        <w:rPr>
          <w:rFonts w:ascii="Times New Roman" w:hAnsi="Times New Roman" w:cs="Times New Roman" w:eastAsia="Times New Roman"/>
          <w:b w:val="0"/>
          <w:i w:val="0"/>
          <w:color w:val="000000"/>
          <w:sz w:val="24"/>
          <w:szCs w:val="24"/>
        </w:rPr>
        <w:t>:3370.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21. Yap AU, Tan SH, Wee SS, Lee CW, Lim EL, Zeng KY. Chemical degradation of composite restoratives. J Oral Rehabil. 2001;28</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:1015-1021.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22. Gordan VV, Mondragon E, Watson RE, Garvan C, Mjör IA. A clinical evaluation of a self-etching primer and a giomer restorative material: results at eight years. J Am Dent Assoc. 2007;138</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:621-627.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23. Imazato S, Nakatsuka T, Kitagawa H, Sasaki JI, Yamaguchi S. Multiple-ion releasing bioactive surface pre-reacted glass-ionomer (S-PRG) filler: innovative technology for dental treatment and care. J Funct Biomater. 2023;14</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:236.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24. Turssi CP, Ferracane JL, Vogel K. Filler features and their effects on wear and degree of conversion of particulate dental resin composites. Biomaterials. 2005;26</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:4932-4937.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25. da Costa J, Adams-Belusko A, Riley K, Ferracane JL. The effect of various dentifrices on surface roughness and gloss of resin composites. J Dent. 2010;38(Suppl 2):e123-e128.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26. AlAli M, Silikas N, Satterthwaite J. The effects of toothbrush wear on the surface roughness and gloss of resin composites with various types of matrices. Dent J (Basel). 2021;9</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27. Imai A, Takamizawa T, Sugimura R, Tsujimoto A, Ishii R, Kawazu M, Saito T, Miyazaki M. Interrelation among the handling, mechanical, and wear properties of the newly developed flowable resin composites. J Mech Behav Biomed Mater. 2019;89:72-80.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28. Dionysopoulos D, Gerasimidou O. Wear of contemporary dental composite resin restorations: a literature review. Restor Dent Endod. 2021;46</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:e18.</w:t>
      </w:r>
    </w:p>
    <w:sectPr w:rsidR="00FC693F" w:rsidRPr="0006063C" w:rsidSect="00034616">
      <w:headerReference w:type="default" r:id="rId11"/>
      <w:footerReference w:type="default" r:id="rId12"/>
      <w:pgSz w:w="11906" w:h="16838"/>
      <w:pgMar w:top="1049" w:right="1247" w:bottom="964" w:left="1701" w:header="113" w:footer="10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szCs w:val="16"/>
      </w:rPr>
      <w:t>Faculty of Dentistry, Pharos University in Alexandria  ·  Canal El Mahmoudia Street, Smouha  ·  +(203) 38 77 026  ·  Dentistry@pua.edu.eg</w:t>
    </w:r>
  </w:p>
  <w:p>
    <w:pPr>
      <w:spacing w:before="40" w:after="0" w:line="240" w:lineRule="auto"/>
      <w:ind w:firstLine="0"/>
      <w:jc w:val="center"/>
    </w:pPr>
    <w:r>
      <w:rPr>
        <w:rFonts w:ascii="Times New Roman" w:hAnsi="Times New Roman" w:cs="Times New Roman" w:eastAsia="Times New Roman"/>
        <w:b w:val="0"/>
        <w:i w:val="0"/>
        <w:color w:val="000000"/>
        <w:sz w:val="24"/>
        <w:szCs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szCs w:val="16"/>
      </w:rPr>
      <w:t>Faculty of Dentistry, Pharos University in Alexandria  ·  Canal El Mahmoudia Street, Smouha  ·  +(203) 38 77 026  ·  Dentistry@pua.edu.eg</w:t>
    </w:r>
  </w:p>
  <w:p>
    <w:pPr>
      <w:spacing w:before="40" w:after="0" w:line="240" w:lineRule="auto"/>
      <w:ind w:firstLine="0"/>
      <w:jc w:val="center"/>
    </w:pPr>
    <w:r>
      <w:rPr>
        <w:rFonts w:ascii="Times New Roman" w:hAnsi="Times New Roman" w:cs="Times New Roman" w:eastAsia="Times New Roman"/>
        <w:b w:val="0"/>
        <w:i w:val="0"/>
        <w:color w:val="000000"/>
        <w:sz w:val="24"/>
        <w:szCs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drawing>
        <wp:inline xmlns:a="http://schemas.openxmlformats.org/drawingml/2006/main" xmlns:pic="http://schemas.openxmlformats.org/drawingml/2006/picture">
          <wp:extent cx="3510000" cy="4680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3510000" cy="4680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drawing>
        <wp:inline xmlns:a="http://schemas.openxmlformats.org/drawingml/2006/main" xmlns:pic="http://schemas.openxmlformats.org/drawingml/2006/picture">
          <wp:extent cx="3510000" cy="4680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3510000" cy="468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ind w:firstLine="0"/>
      <w:jc w:val="both"/>
    </w:pPr>
    <w:rPr>
      <w:rFonts w:ascii="Times New Roman" w:hAnsi="Times New Roman" w:cs="Times New Roman" w:eastAsia="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560" w:line="240" w:lineRule="auto"/>
      <w:ind w:firstLine="0"/>
      <w:jc w:val="center"/>
      <w:outlineLvl w:val="0"/>
    </w:pPr>
    <w:rPr>
      <w:rFonts w:asciiTheme="majorHAnsi" w:eastAsiaTheme="majorEastAsia" w:hAnsiTheme="majorHAnsi" w:cstheme="majorBidi" w:ascii="Times New Roman" w:hAnsi="Times New Roman"/>
      <w:b/>
      <w:bCs/>
      <w:i w:val="0"/>
      <w:color w:val="000000"/>
      <w:sz w:val="32"/>
      <w:szCs w:val="28"/>
      <w:u w:val="none"/>
    </w:rPr>
  </w:style>
  <w:style w:type="paragraph" w:styleId="Heading2">
    <w:name w:val="heading 2"/>
    <w:basedOn w:val="Normal"/>
    <w:next w:val="Normal"/>
    <w:link w:val="Heading2Char"/>
    <w:uiPriority w:val="9"/>
    <w:unhideWhenUsed/>
    <w:qFormat/>
    <w:rsid w:val="00FC693F"/>
    <w:pPr>
      <w:keepNext/>
      <w:keepLines/>
      <w:spacing w:before="320" w:after="200" w:line="240" w:lineRule="auto"/>
      <w:ind w:firstLine="0"/>
      <w:jc w:val="left"/>
      <w:outlineLvl w:val="1"/>
    </w:pPr>
    <w:rPr>
      <w:rFonts w:asciiTheme="majorHAnsi" w:eastAsiaTheme="majorEastAsia" w:hAnsiTheme="majorHAnsi" w:cstheme="majorBidi" w:ascii="Times New Roman" w:hAnsi="Times New Roman"/>
      <w:b/>
      <w:bCs/>
      <w:i w:val="0"/>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