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276"/>
        <w:ind w:firstLine="0"/>
        <w:jc w:val="left"/>
      </w:pPr>
      <w:r>
        <w:rPr>
          <w:rFonts w:ascii="Times New Roman" w:hAnsi="Times New Roman" w:cs="Times New Roman" w:eastAsia="Times New Roman"/>
          <w:b/>
          <w:i w:val="0"/>
          <w:color w:val="000000"/>
          <w:sz w:val="24"/>
        </w:rPr>
        <w:t>Faculty of Dentistry</w:t>
      </w:r>
    </w:p>
    <w:p>
      <w:pPr>
        <w:widowControl/>
        <w:spacing w:before="0" w:after="0" w:lineRule="auto" w:line="276"/>
        <w:ind w:firstLine="0"/>
        <w:jc w:val="left"/>
      </w:pPr>
      <w:r>
        <w:rPr>
          <w:rFonts w:ascii="Times New Roman" w:hAnsi="Times New Roman" w:cs="Times New Roman" w:eastAsia="Times New Roman"/>
          <w:b w:val="0"/>
          <w:i w:val="0"/>
          <w:color w:val="000000"/>
          <w:sz w:val="24"/>
        </w:rPr>
        <w:t>Department of Restorative Dentistry</w:t>
      </w:r>
    </w:p>
    <w:p>
      <w:pPr>
        <w:widowControl/>
        <w:spacing w:before="0" w:after="280" w:lineRule="auto" w:line="276"/>
        <w:ind w:firstLine="0"/>
        <w:jc w:val="left"/>
      </w:pPr>
      <w:r>
        <w:rPr>
          <w:rFonts w:ascii="Times New Roman" w:hAnsi="Times New Roman" w:cs="Times New Roman" w:eastAsia="Times New Roman"/>
          <w:b/>
          <w:i w:val="0"/>
          <w:color w:val="000000"/>
          <w:sz w:val="24"/>
        </w:rPr>
        <w:t>Student Code No. 202203112</w:t>
      </w:r>
    </w:p>
    <w:p>
      <w:pPr>
        <w:widowControl/>
        <w:spacing w:before="160" w:after="0" w:lineRule="auto" w:line="276"/>
        <w:ind w:firstLine="0"/>
        <w:jc w:val="center"/>
      </w:pPr>
      <w:r>
        <w:rPr>
          <w:rFonts w:ascii="Times New Roman" w:hAnsi="Times New Roman" w:cs="Times New Roman" w:eastAsia="Times New Roman"/>
          <w:b/>
          <w:i w:val="0"/>
          <w:color w:val="000000"/>
          <w:sz w:val="24"/>
        </w:rPr>
        <w:t>A Thesis submitted in partial fulfilment of the</w:t>
      </w:r>
    </w:p>
    <w:p>
      <w:pPr>
        <w:widowControl/>
        <w:spacing w:before="0" w:after="0" w:lineRule="auto" w:line="276"/>
        <w:ind w:firstLine="0"/>
        <w:jc w:val="center"/>
      </w:pPr>
      <w:r>
        <w:rPr>
          <w:rFonts w:ascii="Times New Roman" w:hAnsi="Times New Roman" w:cs="Times New Roman" w:eastAsia="Times New Roman"/>
          <w:b/>
          <w:i w:val="0"/>
          <w:color w:val="000000"/>
          <w:sz w:val="24"/>
        </w:rPr>
        <w:t>requirements for the degree of Master of Science</w:t>
      </w:r>
    </w:p>
    <w:p>
      <w:pPr>
        <w:widowControl/>
        <w:spacing w:before="0" w:after="0" w:lineRule="auto" w:line="276"/>
        <w:ind w:firstLine="0"/>
        <w:jc w:val="center"/>
      </w:pPr>
      <w:r>
        <w:rPr>
          <w:rFonts w:ascii="Times New Roman" w:hAnsi="Times New Roman" w:cs="Times New Roman" w:eastAsia="Times New Roman"/>
          <w:b/>
          <w:i w:val="0"/>
          <w:color w:val="000000"/>
          <w:sz w:val="24"/>
        </w:rPr>
        <w:t>in Conservative Dentistry</w:t>
      </w:r>
    </w:p>
    <w:p>
      <w:pPr>
        <w:widowControl/>
        <w:spacing w:before="0" w:after="280" w:lineRule="auto" w:line="276"/>
        <w:ind w:firstLine="0"/>
        <w:jc w:val="center"/>
      </w:pPr>
      <w:r>
        <w:rPr>
          <w:rFonts w:ascii="Times New Roman" w:hAnsi="Times New Roman" w:cs="Times New Roman" w:eastAsia="Times New Roman"/>
          <w:b/>
          <w:i w:val="0"/>
          <w:color w:val="000000"/>
          <w:sz w:val="24"/>
        </w:rPr>
        <w:t>Academic Year 2024–2025 / 2025–2026</w:t>
      </w:r>
    </w:p>
    <w:p>
      <w:pPr>
        <w:widowControl/>
        <w:spacing w:before="120" w:after="0" w:lineRule="auto" w:line="276"/>
        <w:ind w:firstLine="0"/>
        <w:jc w:val="center"/>
      </w:pPr>
      <w:r>
        <w:rPr>
          <w:rFonts w:ascii="Times New Roman" w:hAnsi="Times New Roman" w:cs="Times New Roman" w:eastAsia="Times New Roman"/>
          <w:b w:val="0"/>
          <w:i w:val="0"/>
          <w:color w:val="000000"/>
          <w:sz w:val="24"/>
        </w:rPr>
        <w:t>Name of Candidate</w:t>
      </w:r>
    </w:p>
    <w:p>
      <w:pPr>
        <w:widowControl/>
        <w:spacing w:before="0" w:after="280" w:lineRule="auto" w:line="276"/>
        <w:ind w:firstLine="0"/>
        <w:jc w:val="center"/>
      </w:pPr>
      <w:r>
        <w:rPr>
          <w:rFonts w:ascii="Times New Roman" w:hAnsi="Times New Roman" w:cs="Times New Roman" w:eastAsia="Times New Roman"/>
          <w:b/>
          <w:i w:val="0"/>
          <w:color w:val="000000"/>
          <w:sz w:val="26"/>
        </w:rPr>
        <w:t>Mohamed Talaat Mohamed AbdelMoaty ElAbd</w:t>
      </w:r>
    </w:p>
    <w:p>
      <w:pPr>
        <w:widowControl/>
        <w:spacing w:before="80" w:after="0" w:lineRule="auto" w:line="276"/>
        <w:ind w:firstLine="0"/>
        <w:jc w:val="left"/>
      </w:pPr>
      <w:r>
        <w:rPr>
          <w:rFonts w:ascii="Times New Roman" w:hAnsi="Times New Roman" w:cs="Times New Roman" w:eastAsia="Times New Roman"/>
          <w:b/>
          <w:i/>
          <w:color w:val="000000"/>
          <w:sz w:val="24"/>
        </w:rPr>
        <w:t>English Title:</w:t>
      </w:r>
    </w:p>
    <w:p>
      <w:pPr>
        <w:widowControl/>
        <w:spacing w:before="80" w:after="0" w:lineRule="auto" w:line="276"/>
        <w:ind w:firstLine="0"/>
        <w:jc w:val="center"/>
      </w:pPr>
      <w:r>
        <w:rPr>
          <w:rFonts w:ascii="Times New Roman" w:hAnsi="Times New Roman" w:cs="Times New Roman" w:eastAsia="Times New Roman"/>
          <w:b/>
          <w:i w:val="0"/>
          <w:color w:val="000000"/>
          <w:sz w:val="24"/>
        </w:rPr>
        <w:t>COMPARATIVE STUDY OF WEAR RESISTANCE</w:t>
      </w:r>
    </w:p>
    <w:p>
      <w:pPr>
        <w:widowControl/>
        <w:spacing w:before="0" w:after="0" w:lineRule="auto" w:line="276"/>
        <w:ind w:firstLine="0"/>
        <w:jc w:val="center"/>
      </w:pPr>
      <w:r>
        <w:rPr>
          <w:rFonts w:ascii="Times New Roman" w:hAnsi="Times New Roman" w:cs="Times New Roman" w:eastAsia="Times New Roman"/>
          <w:b/>
          <w:i w:val="0"/>
          <w:color w:val="000000"/>
          <w:sz w:val="24"/>
        </w:rPr>
        <w:t>AND SURFACE ROUGHNESS OF INJECTABLE VERSUS</w:t>
      </w:r>
    </w:p>
    <w:p>
      <w:pPr>
        <w:widowControl/>
        <w:spacing w:before="0" w:after="240" w:lineRule="auto" w:line="276"/>
        <w:ind w:firstLine="0"/>
        <w:jc w:val="center"/>
      </w:pPr>
      <w:r>
        <w:rPr>
          <w:rFonts w:ascii="Times New Roman" w:hAnsi="Times New Roman" w:cs="Times New Roman" w:eastAsia="Times New Roman"/>
          <w:b/>
          <w:i w:val="0"/>
          <w:color w:val="000000"/>
          <w:sz w:val="24"/>
        </w:rPr>
        <w:t>CONVENTIONAL COMPOSITE RESIN — IN VITRO STUDY</w:t>
      </w:r>
    </w:p>
    <w:p>
      <w:pPr>
        <w:widowControl/>
        <w:spacing w:before="80" w:after="0" w:lineRule="auto" w:line="276"/>
        <w:ind w:firstLine="0"/>
        <w:jc w:val="left"/>
      </w:pPr>
      <w:r>
        <w:rPr>
          <w:rFonts w:ascii="Times New Roman" w:hAnsi="Times New Roman" w:cs="Times New Roman" w:eastAsia="Times New Roman"/>
          <w:b/>
          <w:i/>
          <w:color w:val="000000"/>
          <w:sz w:val="24"/>
        </w:rPr>
        <w:t>Arabic Title:</w:t>
      </w:r>
    </w:p>
    <w:p>
      <w:pPr>
        <w:widowControl/>
        <w:spacing w:before="80" w:after="240" w:lineRule="auto" w:line="276"/>
        <w:ind w:firstLine="0"/>
        <w:jc w:val="center"/>
      </w:pPr>
      <w:r>
        <w:rPr>
          <w:rFonts w:ascii="Times New Roman" w:hAnsi="Times New Roman" w:cs="Times New Roman" w:eastAsia="Times New Roman"/>
          <w:b/>
          <w:i w:val="0"/>
          <w:color w:val="000000"/>
          <w:sz w:val="24"/>
        </w:rPr>
        <w:t>دراسة مقارنة للتآكل وخشونة سطح الراتينج المركب القابل للحقن والتقليدي – دراسة في المختبر</w:t>
      </w:r>
    </w:p>
    <w:p>
      <w:pPr>
        <w:widowControl/>
        <w:spacing w:before="0" w:after="280" w:lineRule="auto" w:line="276"/>
        <w:ind w:firstLine="0"/>
        <w:jc w:val="left"/>
      </w:pPr>
      <w:r>
        <w:rPr>
          <w:rFonts w:ascii="Times New Roman" w:hAnsi="Times New Roman" w:cs="Times New Roman" w:eastAsia="Times New Roman"/>
          <w:b w:val="0"/>
          <w:i w:val="0"/>
          <w:color w:val="000000"/>
          <w:sz w:val="24"/>
        </w:rPr>
        <w:t>Keywords: Surface roughness, wear, injectable composite, conventional composite.</w:t>
      </w:r>
    </w:p>
    <w:p>
      <w:pPr>
        <w:widowControl/>
        <w:spacing w:before="120" w:after="160" w:lineRule="auto" w:line="276"/>
        <w:ind w:firstLine="0"/>
        <w:jc w:val="center"/>
      </w:pPr>
      <w:r>
        <w:rPr>
          <w:rFonts w:ascii="Times New Roman" w:hAnsi="Times New Roman" w:cs="Times New Roman" w:eastAsia="Times New Roman"/>
          <w:b/>
          <w:i w:val="0"/>
          <w:color w:val="000000"/>
          <w:sz w:val="24"/>
        </w:rPr>
        <w:t>Supervision Committee</w:t>
      </w:r>
    </w:p>
    <w:p>
      <w:pPr>
        <w:widowControl/>
        <w:spacing w:before="0" w:after="80" w:lineRule="auto" w:line="276"/>
        <w:ind w:firstLine="0"/>
        <w:jc w:val="center"/>
      </w:pPr>
      <w:r>
        <w:rPr>
          <w:rFonts w:ascii="Times New Roman" w:hAnsi="Times New Roman" w:cs="Times New Roman" w:eastAsia="Times New Roman"/>
          <w:b w:val="0"/>
          <w:i w:val="0"/>
          <w:color w:val="000000"/>
          <w:sz w:val="24"/>
        </w:rPr>
        <w:t>1. Prof. Wegdan M. Abdel-Fattah</w:t>
      </w:r>
    </w:p>
    <w:p>
      <w:pPr>
        <w:widowControl/>
        <w:spacing w:before="0" w:after="0" w:lineRule="auto" w:line="276"/>
        <w:ind w:firstLine="0"/>
        <w:jc w:val="center"/>
      </w:pPr>
      <w:r>
        <w:rPr>
          <w:rFonts w:ascii="Times New Roman" w:hAnsi="Times New Roman" w:cs="Times New Roman" w:eastAsia="Times New Roman"/>
          <w:b w:val="0"/>
          <w:i w:val="0"/>
          <w:color w:val="000000"/>
          <w:sz w:val="24"/>
        </w:rPr>
        <w:t>2. Asst. Prof. Emad M. El-Sayed  (Main supervisor)</w:t>
      </w:r>
    </w:p>
    <w:p>
      <w:pPr>
        <w:sectPr>
          <w:headerReference w:type="default" r:id="rId9"/>
          <w:footerReference w:type="default" r:id="rId10"/>
          <w:pgSz w:w="11906" w:h="16838"/>
          <w:pgMar w:top="1814" w:right="1247" w:bottom="1701" w:left="1701" w:header="340" w:footer="283" w:gutter="0"/>
          <w:cols w:space="720"/>
          <w:docGrid w:linePitch="360"/>
        </w:sectPr>
      </w:pPr>
    </w:p>
    <w:p>
      <w:pPr>
        <w:pStyle w:val="Heading1"/>
        <w:keepNext/>
        <w:widowControl/>
        <w:spacing w:before="0" w:after="240" w:line="240" w:lineRule="auto"/>
        <w:ind w:firstLine="0"/>
        <w:jc w:val="center"/>
      </w:pPr>
      <w:r>
        <w:rPr>
          <w:rFonts w:ascii="Times New Roman" w:hAnsi="Times New Roman" w:cs="Times New Roman" w:eastAsia="Times New Roman"/>
          <w:b/>
          <w:i w:val="0"/>
          <w:color w:val="000000"/>
          <w:sz w:val="32"/>
        </w:rPr>
        <w:t>ROLE OF SUPERVISORS</w:t>
      </w:r>
    </w:p>
    <w:p>
      <w:pPr>
        <w:widowControl/>
        <w:spacing w:before="0" w:after="40" w:lineRule="auto" w:line="276"/>
        <w:ind w:left="720" w:hanging="357"/>
        <w:jc w:val="both"/>
      </w:pPr>
      <w:r>
        <w:rPr>
          <w:rFonts w:ascii="Times New Roman" w:hAnsi="Times New Roman" w:cs="Times New Roman" w:eastAsia="Times New Roman"/>
          <w:b w:val="0"/>
          <w:i w:val="0"/>
          <w:color w:val="000000"/>
          <w:sz w:val="24"/>
        </w:rPr>
        <w:t xml:space="preserve">1. </w:t>
      </w:r>
      <w:r>
        <w:rPr>
          <w:rFonts w:ascii="Times New Roman" w:hAnsi="Times New Roman" w:cs="Times New Roman" w:eastAsia="Times New Roman"/>
          <w:b/>
          <w:i w:val="0"/>
          <w:color w:val="000000"/>
          <w:sz w:val="24"/>
        </w:rPr>
        <w:t>Prof. Wegdan M. Abdel-Fattah</w:t>
      </w:r>
    </w:p>
    <w:p>
      <w:pPr>
        <w:widowControl/>
        <w:spacing w:before="0" w:after="40" w:lineRule="auto" w:line="276"/>
        <w:ind w:firstLine="0" w:left="720"/>
        <w:jc w:val="both"/>
      </w:pPr>
      <w:r>
        <w:rPr>
          <w:rFonts w:ascii="Times New Roman" w:hAnsi="Times New Roman" w:cs="Times New Roman" w:eastAsia="Times New Roman"/>
          <w:b w:val="0"/>
          <w:i w:val="0"/>
          <w:color w:val="000000"/>
          <w:sz w:val="24"/>
        </w:rPr>
        <w:t>Conceptualization/formulation of study plan and design of the study.</w:t>
      </w:r>
    </w:p>
    <w:p>
      <w:pPr>
        <w:widowControl/>
        <w:spacing w:before="0" w:after="40" w:lineRule="auto" w:line="276"/>
        <w:ind w:firstLine="0" w:left="720"/>
        <w:jc w:val="both"/>
      </w:pPr>
      <w:r>
        <w:rPr>
          <w:rFonts w:ascii="Times New Roman" w:hAnsi="Times New Roman" w:cs="Times New Roman" w:eastAsia="Times New Roman"/>
          <w:b w:val="0"/>
          <w:i w:val="0"/>
          <w:color w:val="000000"/>
          <w:sz w:val="24"/>
        </w:rPr>
        <w:t>Analysis and interpretation of study results.</w:t>
      </w:r>
    </w:p>
    <w:p>
      <w:pPr>
        <w:widowControl/>
        <w:spacing w:before="0" w:after="40" w:lineRule="auto" w:line="276"/>
        <w:ind w:firstLine="0" w:left="720"/>
        <w:jc w:val="both"/>
      </w:pPr>
      <w:r>
        <w:rPr>
          <w:rFonts w:ascii="Times New Roman" w:hAnsi="Times New Roman" w:cs="Times New Roman" w:eastAsia="Times New Roman"/>
          <w:b w:val="0"/>
          <w:i w:val="0"/>
          <w:color w:val="000000"/>
          <w:sz w:val="24"/>
        </w:rPr>
        <w:t>Supervision of study execution and writing.</w:t>
      </w:r>
    </w:p>
    <w:p>
      <w:pPr>
        <w:widowControl/>
        <w:spacing w:before="0" w:after="40" w:lineRule="auto" w:line="276"/>
        <w:ind w:firstLine="0" w:left="720"/>
        <w:jc w:val="both"/>
      </w:pPr>
      <w:r>
        <w:rPr>
          <w:rFonts w:ascii="Times New Roman" w:hAnsi="Times New Roman" w:cs="Times New Roman" w:eastAsia="Times New Roman"/>
          <w:b w:val="0"/>
          <w:i w:val="0"/>
          <w:color w:val="000000"/>
          <w:sz w:val="24"/>
        </w:rPr>
        <w:t>Guidance of paper/thesis writing</w:t>
      </w:r>
    </w:p>
    <w:p>
      <w:pPr>
        <w:widowControl/>
        <w:spacing w:before="0" w:after="40" w:lineRule="auto" w:line="276"/>
        <w:ind w:left="720" w:hanging="357"/>
        <w:jc w:val="both"/>
      </w:pP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i w:val="0"/>
          <w:color w:val="000000"/>
          <w:sz w:val="24"/>
        </w:rPr>
        <w:t>Asst. Prof. Emad M. El-Sayed</w:t>
      </w:r>
    </w:p>
    <w:p>
      <w:pPr>
        <w:widowControl/>
        <w:spacing w:before="0" w:after="40" w:lineRule="auto" w:line="276"/>
        <w:ind w:firstLine="0" w:left="720"/>
        <w:jc w:val="both"/>
      </w:pPr>
      <w:r>
        <w:rPr>
          <w:rFonts w:ascii="Times New Roman" w:hAnsi="Times New Roman" w:cs="Times New Roman" w:eastAsia="Times New Roman"/>
          <w:b w:val="0"/>
          <w:i w:val="0"/>
          <w:color w:val="000000"/>
          <w:sz w:val="24"/>
        </w:rPr>
        <w:t>Supervision of the clinical/experimental procedures</w:t>
      </w:r>
    </w:p>
    <w:p>
      <w:pPr>
        <w:widowControl/>
        <w:spacing w:before="0" w:after="40" w:lineRule="auto" w:line="276"/>
        <w:ind w:firstLine="0" w:left="720"/>
        <w:jc w:val="both"/>
      </w:pPr>
      <w:r>
        <w:rPr>
          <w:rFonts w:ascii="Times New Roman" w:hAnsi="Times New Roman" w:cs="Times New Roman" w:eastAsia="Times New Roman"/>
          <w:b w:val="0"/>
          <w:i w:val="0"/>
          <w:color w:val="000000"/>
          <w:sz w:val="24"/>
        </w:rPr>
        <w:t>Conceptualization/formulation of study plan and design of the study.</w:t>
      </w:r>
    </w:p>
    <w:p>
      <w:pPr>
        <w:widowControl/>
        <w:spacing w:before="0" w:after="40" w:lineRule="auto" w:line="276"/>
        <w:ind w:firstLine="0" w:left="720"/>
        <w:jc w:val="both"/>
      </w:pPr>
      <w:r>
        <w:rPr>
          <w:rFonts w:ascii="Times New Roman" w:hAnsi="Times New Roman" w:cs="Times New Roman" w:eastAsia="Times New Roman"/>
          <w:b w:val="0"/>
          <w:i w:val="0"/>
          <w:color w:val="000000"/>
          <w:sz w:val="24"/>
        </w:rPr>
        <w:t>Supervision of study execution and writing.</w:t>
      </w:r>
    </w:p>
    <w:p>
      <w:pPr>
        <w:widowControl/>
        <w:spacing w:before="0" w:after="40" w:lineRule="auto" w:line="276"/>
        <w:ind w:firstLine="0" w:left="720"/>
        <w:jc w:val="both"/>
      </w:pPr>
      <w:r>
        <w:rPr>
          <w:rFonts w:ascii="Times New Roman" w:hAnsi="Times New Roman" w:cs="Times New Roman" w:eastAsia="Times New Roman"/>
          <w:b w:val="0"/>
          <w:i w:val="0"/>
          <w:color w:val="000000"/>
          <w:sz w:val="24"/>
        </w:rPr>
        <w:t>Revising the thesis and/or manuscript</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CONTENTS</w:t>
      </w:r>
    </w:p>
    <w:p>
      <w:pPr>
        <w:widowControl/>
        <w:spacing w:before="160" w:after="8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rPr>
        <w:t>Contents</w:t>
      </w:r>
      <w:r>
        <w:rPr>
          <w:rFonts w:ascii="Times New Roman" w:hAnsi="Times New Roman" w:cs="Times New Roman" w:eastAsia="Times New Roman"/>
          <w:b/>
          <w:i w:val="0"/>
          <w:color w:val="000000"/>
          <w:sz w:val="24"/>
        </w:rPr>
        <w:tab/>
        <w:t>Page</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ROLE OF SUPERVISORS</w:t>
      </w:r>
      <w:r>
        <w:rPr>
          <w:rFonts w:ascii="Times New Roman" w:hAnsi="Times New Roman" w:cs="Times New Roman" w:eastAsia="Times New Roman"/>
          <w:b w:val="0"/>
          <w:i w:val="0"/>
          <w:color w:val="000000"/>
          <w:sz w:val="24"/>
        </w:rPr>
        <w:tab/>
        <w:t>2</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ACKNOWLEDGEMENTS</w:t>
      </w:r>
      <w:r>
        <w:rPr>
          <w:rFonts w:ascii="Times New Roman" w:hAnsi="Times New Roman" w:cs="Times New Roman" w:eastAsia="Times New Roman"/>
          <w:b w:val="0"/>
          <w:i w:val="0"/>
          <w:color w:val="000000"/>
          <w:sz w:val="24"/>
        </w:rPr>
        <w:tab/>
        <w:t>3</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LIST OF TABLES</w:t>
      </w:r>
      <w:r>
        <w:rPr>
          <w:rFonts w:ascii="Times New Roman" w:hAnsi="Times New Roman" w:cs="Times New Roman" w:eastAsia="Times New Roman"/>
          <w:b w:val="0"/>
          <w:i w:val="0"/>
          <w:color w:val="000000"/>
          <w:sz w:val="24"/>
        </w:rPr>
        <w:tab/>
        <w:t>5</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LIST OF FIGURES</w:t>
      </w:r>
      <w:r>
        <w:rPr>
          <w:rFonts w:ascii="Times New Roman" w:hAnsi="Times New Roman" w:cs="Times New Roman" w:eastAsia="Times New Roman"/>
          <w:b w:val="0"/>
          <w:i w:val="0"/>
          <w:color w:val="000000"/>
          <w:sz w:val="24"/>
        </w:rPr>
        <w:tab/>
        <w:t>6</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LIST OF ABBREVIATIONS</w:t>
      </w:r>
      <w:r>
        <w:rPr>
          <w:rFonts w:ascii="Times New Roman" w:hAnsi="Times New Roman" w:cs="Times New Roman" w:eastAsia="Times New Roman"/>
          <w:b w:val="0"/>
          <w:i w:val="0"/>
          <w:color w:val="000000"/>
          <w:sz w:val="24"/>
        </w:rPr>
        <w:tab/>
        <w:t>7</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ABSTRACT</w:t>
      </w:r>
      <w:r>
        <w:rPr>
          <w:rFonts w:ascii="Times New Roman" w:hAnsi="Times New Roman" w:cs="Times New Roman" w:eastAsia="Times New Roman"/>
          <w:b w:val="0"/>
          <w:i w:val="0"/>
          <w:color w:val="000000"/>
          <w:sz w:val="24"/>
        </w:rPr>
        <w:tab/>
        <w:t>8</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INTRODUCTION</w:t>
      </w:r>
      <w:r>
        <w:rPr>
          <w:rFonts w:ascii="Times New Roman" w:hAnsi="Times New Roman" w:cs="Times New Roman" w:eastAsia="Times New Roman"/>
          <w:b w:val="0"/>
          <w:i w:val="0"/>
          <w:color w:val="000000"/>
          <w:sz w:val="24"/>
        </w:rPr>
        <w:tab/>
        <w:t>10</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REVIEW OF LITERATURE</w:t>
      </w:r>
      <w:r>
        <w:rPr>
          <w:rFonts w:ascii="Times New Roman" w:hAnsi="Times New Roman" w:cs="Times New Roman" w:eastAsia="Times New Roman"/>
          <w:b w:val="0"/>
          <w:i w:val="0"/>
          <w:color w:val="000000"/>
          <w:sz w:val="24"/>
        </w:rPr>
        <w:tab/>
        <w:t>13</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MATERIALS AND METHODS</w:t>
      </w:r>
      <w:r>
        <w:rPr>
          <w:rFonts w:ascii="Times New Roman" w:hAnsi="Times New Roman" w:cs="Times New Roman" w:eastAsia="Times New Roman"/>
          <w:b w:val="0"/>
          <w:i w:val="0"/>
          <w:color w:val="000000"/>
          <w:sz w:val="24"/>
        </w:rPr>
        <w:tab/>
        <w:t>21</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RESULTS</w:t>
      </w:r>
      <w:r>
        <w:rPr>
          <w:rFonts w:ascii="Times New Roman" w:hAnsi="Times New Roman" w:cs="Times New Roman" w:eastAsia="Times New Roman"/>
          <w:b w:val="0"/>
          <w:i w:val="0"/>
          <w:color w:val="000000"/>
          <w:sz w:val="24"/>
        </w:rPr>
        <w:tab/>
        <w:t>26</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DISCUSSION</w:t>
      </w:r>
      <w:r>
        <w:rPr>
          <w:rFonts w:ascii="Times New Roman" w:hAnsi="Times New Roman" w:cs="Times New Roman" w:eastAsia="Times New Roman"/>
          <w:b w:val="0"/>
          <w:i w:val="0"/>
          <w:color w:val="000000"/>
          <w:sz w:val="24"/>
        </w:rPr>
        <w:tab/>
        <w:t>32</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CONCLUSIONS AND RECOMMENDATIONS</w:t>
      </w:r>
      <w:r>
        <w:rPr>
          <w:rFonts w:ascii="Times New Roman" w:hAnsi="Times New Roman" w:cs="Times New Roman" w:eastAsia="Times New Roman"/>
          <w:b w:val="0"/>
          <w:i w:val="0"/>
          <w:color w:val="000000"/>
          <w:sz w:val="24"/>
        </w:rPr>
        <w:tab/>
        <w:t>38</w:t>
      </w:r>
    </w:p>
    <w:p>
      <w:pPr>
        <w:widowControl/>
        <w:spacing w:before="40" w:after="40" w:lineRule="auto" w:line="276"/>
        <w:ind w:firstLine="0"/>
        <w:jc w:val="left"/>
        <w:tabs>
          <w:tab w:val="right" w:leader="dot" w:pos="8958"/>
        </w:tabs>
      </w:pPr>
      <w:r>
        <w:rPr>
          <w:rFonts w:ascii="Times New Roman" w:hAnsi="Times New Roman" w:cs="Times New Roman" w:eastAsia="Times New Roman"/>
          <w:b w:val="0"/>
          <w:i w:val="0"/>
          <w:color w:val="000000"/>
          <w:sz w:val="24"/>
        </w:rPr>
        <w:t>REFERENCES</w:t>
      </w:r>
      <w:r>
        <w:rPr>
          <w:rFonts w:ascii="Times New Roman" w:hAnsi="Times New Roman" w:cs="Times New Roman" w:eastAsia="Times New Roman"/>
          <w:b w:val="0"/>
          <w:i w:val="0"/>
          <w:color w:val="000000"/>
          <w:sz w:val="24"/>
        </w:rPr>
        <w:tab/>
        <w:t>40</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LIST OF TABLES</w:t>
      </w:r>
    </w:p>
    <w:p>
      <w:pPr>
        <w:widowControl/>
        <w:spacing w:before="0" w:after="60" w:lineRule="auto" w:line="276"/>
        <w:ind w:firstLine="0"/>
        <w:jc w:val="both"/>
      </w:pPr>
      <w:r>
        <w:rPr>
          <w:rFonts w:ascii="Times New Roman" w:hAnsi="Times New Roman" w:cs="Times New Roman" w:eastAsia="Times New Roman"/>
          <w:b w:val="0"/>
          <w:i w:val="0"/>
          <w:color w:val="000000"/>
          <w:sz w:val="24"/>
        </w:rPr>
        <w:t>Table 3.1 Composition of the resin composites</w:t>
      </w:r>
    </w:p>
    <w:p>
      <w:pPr>
        <w:widowControl/>
        <w:spacing w:before="0" w:after="60" w:lineRule="auto" w:line="276"/>
        <w:ind w:firstLine="0"/>
        <w:jc w:val="both"/>
      </w:pPr>
      <w:r>
        <w:rPr>
          <w:rFonts w:ascii="Times New Roman" w:hAnsi="Times New Roman" w:cs="Times New Roman" w:eastAsia="Times New Roman"/>
          <w:b w:val="0"/>
          <w:i w:val="0"/>
          <w:color w:val="000000"/>
          <w:sz w:val="24"/>
        </w:rPr>
        <w:t>Table 4.1 Weight before and after brushing and percentage weight loss</w:t>
      </w:r>
    </w:p>
    <w:p>
      <w:pPr>
        <w:widowControl/>
        <w:spacing w:before="0" w:after="60" w:lineRule="auto" w:line="276"/>
        <w:ind w:firstLine="0"/>
        <w:jc w:val="both"/>
      </w:pPr>
      <w:r>
        <w:rPr>
          <w:rFonts w:ascii="Times New Roman" w:hAnsi="Times New Roman" w:cs="Times New Roman" w:eastAsia="Times New Roman"/>
          <w:b w:val="0"/>
          <w:i w:val="0"/>
          <w:color w:val="000000"/>
          <w:sz w:val="24"/>
        </w:rPr>
        <w:t>Table 4.2 Absolute weight loss after 10 000 brushing cycles</w:t>
      </w:r>
    </w:p>
    <w:p>
      <w:pPr>
        <w:widowControl/>
        <w:spacing w:before="0" w:after="60" w:lineRule="auto" w:line="276"/>
        <w:ind w:firstLine="0"/>
        <w:jc w:val="both"/>
      </w:pPr>
      <w:r>
        <w:rPr>
          <w:rFonts w:ascii="Times New Roman" w:hAnsi="Times New Roman" w:cs="Times New Roman" w:eastAsia="Times New Roman"/>
          <w:b w:val="0"/>
          <w:i w:val="0"/>
          <w:color w:val="000000"/>
          <w:sz w:val="24"/>
        </w:rPr>
        <w:t>Table 4.3 Ra before and after brushing and ΔRa</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LIST OF FIGURES</w:t>
      </w:r>
    </w:p>
    <w:p>
      <w:pPr>
        <w:widowControl/>
        <w:spacing w:before="0" w:after="60" w:lineRule="auto" w:line="276"/>
        <w:ind w:firstLine="0"/>
        <w:jc w:val="both"/>
      </w:pPr>
      <w:r>
        <w:rPr>
          <w:rFonts w:ascii="Times New Roman" w:hAnsi="Times New Roman" w:cs="Times New Roman" w:eastAsia="Times New Roman"/>
          <w:b w:val="0"/>
          <w:i w:val="0"/>
          <w:color w:val="000000"/>
          <w:sz w:val="24"/>
        </w:rPr>
        <w:t>Figure 4.1 Mean percentage weight loss after 10 000 brushing cycles</w:t>
      </w:r>
    </w:p>
    <w:p>
      <w:pPr>
        <w:widowControl/>
        <w:spacing w:before="0" w:after="60" w:lineRule="auto" w:line="276"/>
        <w:ind w:firstLine="0"/>
        <w:jc w:val="both"/>
      </w:pPr>
      <w:r>
        <w:rPr>
          <w:rFonts w:ascii="Times New Roman" w:hAnsi="Times New Roman" w:cs="Times New Roman" w:eastAsia="Times New Roman"/>
          <w:b w:val="0"/>
          <w:i w:val="0"/>
          <w:color w:val="000000"/>
          <w:sz w:val="24"/>
        </w:rPr>
        <w:t>Figure 4.2 Mean Ra before and after brushing, with the 0.2 µm plaque-retention threshold</w:t>
      </w:r>
    </w:p>
    <w:p>
      <w:pPr>
        <w:widowControl/>
        <w:spacing w:before="0" w:after="60" w:lineRule="auto" w:line="276"/>
        <w:ind w:firstLine="0"/>
        <w:jc w:val="both"/>
      </w:pPr>
      <w:r>
        <w:rPr>
          <w:rFonts w:ascii="Times New Roman" w:hAnsi="Times New Roman" w:cs="Times New Roman" w:eastAsia="Times New Roman"/>
          <w:b w:val="0"/>
          <w:i w:val="0"/>
          <w:color w:val="000000"/>
          <w:sz w:val="24"/>
        </w:rPr>
        <w:t>Figure 4.3 Mean change in surface roughness (ΔRa)</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LIST OF ABBREVIATIONS</w:t>
      </w:r>
    </w:p>
    <w:p>
      <w:pPr>
        <w:widowControl/>
        <w:spacing w:before="0" w:after="40" w:lineRule="auto" w:line="276"/>
        <w:ind w:firstLine="0"/>
        <w:jc w:val="both"/>
      </w:pPr>
      <w:r>
        <w:rPr>
          <w:rFonts w:ascii="Times New Roman" w:hAnsi="Times New Roman" w:cs="Times New Roman" w:eastAsia="Times New Roman"/>
          <w:b w:val="0"/>
          <w:i w:val="0"/>
          <w:color w:val="000000"/>
          <w:sz w:val="24"/>
        </w:rPr>
        <w:t>ANOVA — analysis of variance</w:t>
      </w:r>
    </w:p>
    <w:p>
      <w:pPr>
        <w:widowControl/>
        <w:spacing w:before="0" w:after="40" w:lineRule="auto" w:line="276"/>
        <w:ind w:firstLine="0"/>
        <w:jc w:val="both"/>
      </w:pPr>
      <w:r>
        <w:rPr>
          <w:rFonts w:ascii="Times New Roman" w:hAnsi="Times New Roman" w:cs="Times New Roman" w:eastAsia="Times New Roman"/>
          <w:b w:val="0"/>
          <w:i w:val="0"/>
          <w:color w:val="000000"/>
          <w:sz w:val="24"/>
        </w:rPr>
        <w:t>CAD/CAM — computer-aided design / computer-aided manufacture</w:t>
      </w:r>
    </w:p>
    <w:p>
      <w:pPr>
        <w:widowControl/>
        <w:spacing w:before="0" w:after="40" w:lineRule="auto" w:line="276"/>
        <w:ind w:firstLine="0"/>
        <w:jc w:val="both"/>
      </w:pPr>
      <w:r>
        <w:rPr>
          <w:rFonts w:ascii="Times New Roman" w:hAnsi="Times New Roman" w:cs="Times New Roman" w:eastAsia="Times New Roman"/>
          <w:b w:val="0"/>
          <w:i w:val="0"/>
          <w:color w:val="000000"/>
          <w:sz w:val="24"/>
        </w:rPr>
        <w:t>ISO — International Organization for Standardization</w:t>
      </w:r>
    </w:p>
    <w:p>
      <w:pPr>
        <w:widowControl/>
        <w:spacing w:before="0" w:after="40" w:lineRule="auto" w:line="276"/>
        <w:ind w:firstLine="0"/>
        <w:jc w:val="both"/>
      </w:pPr>
      <w:r>
        <w:rPr>
          <w:rFonts w:ascii="Times New Roman" w:hAnsi="Times New Roman" w:cs="Times New Roman" w:eastAsia="Times New Roman"/>
          <w:b w:val="0"/>
          <w:i w:val="0"/>
          <w:color w:val="000000"/>
          <w:sz w:val="24"/>
        </w:rPr>
        <w:t>LED — light-emitting diode</w:t>
      </w:r>
    </w:p>
    <w:p>
      <w:pPr>
        <w:widowControl/>
        <w:spacing w:before="0" w:after="40" w:lineRule="auto" w:line="276"/>
        <w:ind w:firstLine="0"/>
        <w:jc w:val="both"/>
      </w:pPr>
      <w:r>
        <w:rPr>
          <w:rFonts w:ascii="Times New Roman" w:hAnsi="Times New Roman" w:cs="Times New Roman" w:eastAsia="Times New Roman"/>
          <w:b w:val="0"/>
          <w:i w:val="0"/>
          <w:color w:val="000000"/>
          <w:sz w:val="24"/>
        </w:rPr>
        <w:t>Ra — arithmetic mean roughness</w:t>
      </w:r>
    </w:p>
    <w:p>
      <w:pPr>
        <w:widowControl/>
        <w:spacing w:before="0" w:after="40" w:lineRule="auto" w:line="276"/>
        <w:ind w:firstLine="0"/>
        <w:jc w:val="both"/>
      </w:pPr>
      <w:r>
        <w:rPr>
          <w:rFonts w:ascii="Times New Roman" w:hAnsi="Times New Roman" w:cs="Times New Roman" w:eastAsia="Times New Roman"/>
          <w:b w:val="0"/>
          <w:i w:val="0"/>
          <w:color w:val="000000"/>
          <w:sz w:val="24"/>
        </w:rPr>
        <w:t>RDA — relative dentine abrasivity</w:t>
      </w:r>
    </w:p>
    <w:p>
      <w:pPr>
        <w:widowControl/>
        <w:spacing w:before="0" w:after="40" w:lineRule="auto" w:line="276"/>
        <w:ind w:firstLine="0"/>
        <w:jc w:val="both"/>
      </w:pPr>
      <w:r>
        <w:rPr>
          <w:rFonts w:ascii="Times New Roman" w:hAnsi="Times New Roman" w:cs="Times New Roman" w:eastAsia="Times New Roman"/>
          <w:b w:val="0"/>
          <w:i w:val="0"/>
          <w:color w:val="000000"/>
          <w:sz w:val="24"/>
        </w:rPr>
        <w:t>SD — standard deviation</w:t>
      </w:r>
    </w:p>
    <w:p>
      <w:pPr>
        <w:widowControl/>
        <w:spacing w:before="0" w:after="40" w:lineRule="auto" w:line="276"/>
        <w:ind w:firstLine="0"/>
        <w:jc w:val="both"/>
      </w:pPr>
      <w:r>
        <w:rPr>
          <w:rFonts w:ascii="Times New Roman" w:hAnsi="Times New Roman" w:cs="Times New Roman" w:eastAsia="Times New Roman"/>
          <w:b w:val="0"/>
          <w:i w:val="0"/>
          <w:color w:val="000000"/>
          <w:sz w:val="24"/>
        </w:rPr>
        <w:t>S-PRG — surface pre-reacted glass-ionomer</w:t>
      </w:r>
    </w:p>
    <w:p>
      <w:pPr>
        <w:widowControl/>
        <w:spacing w:before="0" w:after="40" w:lineRule="auto" w:line="276"/>
        <w:ind w:firstLine="0"/>
        <w:jc w:val="both"/>
      </w:pPr>
      <w:r>
        <w:rPr>
          <w:rFonts w:ascii="Times New Roman" w:hAnsi="Times New Roman" w:cs="Times New Roman" w:eastAsia="Times New Roman"/>
          <w:b w:val="0"/>
          <w:i w:val="0"/>
          <w:color w:val="000000"/>
          <w:sz w:val="24"/>
        </w:rPr>
        <w:t>vol% — percentage by volume</w:t>
      </w:r>
    </w:p>
    <w:p>
      <w:pPr>
        <w:widowControl/>
        <w:spacing w:before="0" w:after="40" w:lineRule="auto" w:line="276"/>
        <w:ind w:firstLine="0"/>
        <w:jc w:val="both"/>
      </w:pPr>
      <w:r>
        <w:rPr>
          <w:rFonts w:ascii="Times New Roman" w:hAnsi="Times New Roman" w:cs="Times New Roman" w:eastAsia="Times New Roman"/>
          <w:b w:val="0"/>
          <w:i w:val="0"/>
          <w:color w:val="000000"/>
          <w:sz w:val="24"/>
        </w:rPr>
        <w:t>ΔRa — change in Ra (after − before)</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rPr>
        <w:t>Background.</w:t>
      </w:r>
      <w:r>
        <w:rPr>
          <w:rFonts w:ascii="Times New Roman" w:hAnsi="Times New Roman" w:cs="Times New Roman" w:eastAsia="Times New Roman"/>
          <w:b w:val="0"/>
          <w:i w:val="0"/>
          <w:color w:val="000000"/>
          <w:sz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rPr>
        <w:t>Aim.</w:t>
      </w:r>
      <w:r>
        <w:rPr>
          <w:rFonts w:ascii="Times New Roman" w:hAnsi="Times New Roman" w:cs="Times New Roman" w:eastAsia="Times New Roman"/>
          <w:b w:val="0"/>
          <w:i w:val="0"/>
          <w:color w:val="000000"/>
          <w:sz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rPr>
        <w:t>Methods.</w:t>
      </w:r>
      <w:r>
        <w:rPr>
          <w:rFonts w:ascii="Times New Roman" w:hAnsi="Times New Roman" w:cs="Times New Roman" w:eastAsia="Times New Roman"/>
          <w:b w:val="0"/>
          <w:i w:val="0"/>
          <w:color w:val="000000"/>
          <w:sz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rPr>
        <w:t>Results.</w:t>
      </w:r>
      <w:r>
        <w:rPr>
          <w:rFonts w:ascii="Times New Roman" w:hAnsi="Times New Roman" w:cs="Times New Roman" w:eastAsia="Times New Roman"/>
          <w:b w:val="0"/>
          <w:i w:val="0"/>
          <w:color w:val="000000"/>
          <w:sz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rPr>
        <w:t>Conclusions.</w:t>
      </w:r>
      <w:r>
        <w:rPr>
          <w:rFonts w:ascii="Times New Roman" w:hAnsi="Times New Roman" w:cs="Times New Roman" w:eastAsia="Times New Roman"/>
          <w:b w:val="0"/>
          <w:i w:val="0"/>
          <w:color w:val="000000"/>
          <w:sz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rPr>
        <w:t>Keywords.</w:t>
      </w:r>
      <w:r>
        <w:rPr>
          <w:rFonts w:ascii="Times New Roman" w:hAnsi="Times New Roman" w:cs="Times New Roman" w:eastAsia="Times New Roman"/>
          <w:b w:val="0"/>
          <w:i w:val="0"/>
          <w:color w:val="000000"/>
          <w:sz w:val="24"/>
        </w:rPr>
        <w:t xml:space="preserve"> Injectable composite; nanohybrid composite; toothbrush abrasion; wear; surface roughness; giomer.</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CHAPTER 1</w:t>
      </w:r>
    </w:p>
    <w:p>
      <w:pPr>
        <w:pStyle w:val="Heading1"/>
        <w:keepNext/>
        <w:widowControl/>
        <w:spacing w:before="0" w:after="240" w:line="240" w:lineRule="auto"/>
        <w:ind w:firstLine="0"/>
        <w:jc w:val="center"/>
      </w:pPr>
      <w:r>
        <w:rPr>
          <w:rFonts w:ascii="Times New Roman" w:hAnsi="Times New Roman" w:cs="Times New Roman" w:eastAsia="Times New Roman"/>
          <w:b/>
          <w:i w:val="0"/>
          <w:color w:val="000000"/>
          <w:sz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vertAlign w:val="superscript"/>
        </w:rPr>
        <w:t>(3,4)</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vertAlign w:val="superscript"/>
        </w:rPr>
        <w:t>(3,7,8)</w:t>
      </w:r>
      <w:r>
        <w:rPr>
          <w:rFonts w:ascii="Times New Roman" w:hAnsi="Times New Roman" w:cs="Times New Roman" w:eastAsia="Times New Roman"/>
          <w:b w:val="0"/>
          <w:i w:val="0"/>
          <w:color w:val="000000"/>
          <w:sz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To compare the three materials using the statistical tests appropriate to each outcome.</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There is no significant difference in Ra after toothbrushing among the same three materials.</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CHAPTER 2</w:t>
      </w:r>
    </w:p>
    <w:p>
      <w:pPr>
        <w:pStyle w:val="Heading1"/>
        <w:keepNext/>
        <w:widowControl/>
        <w:spacing w:before="0" w:after="240" w:line="240" w:lineRule="auto"/>
        <w:ind w:firstLine="0"/>
        <w:jc w:val="center"/>
      </w:pPr>
      <w:r>
        <w:rPr>
          <w:rFonts w:ascii="Times New Roman" w:hAnsi="Times New Roman" w:cs="Times New Roman" w:eastAsia="Times New Roman"/>
          <w:b/>
          <w:i w:val="0"/>
          <w:color w:val="000000"/>
          <w:sz w:val="32"/>
        </w:rPr>
        <w:t>REVIEW OF LITERATURE</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Wear is the progressive loss of substance from two surfaces that are in relative motion </w:t>
      </w:r>
      <w:r>
        <w:rPr>
          <w:rFonts w:ascii="Times New Roman" w:hAnsi="Times New Roman" w:cs="Times New Roman" w:eastAsia="Times New Roman"/>
          <w:b w:val="0"/>
          <w:i w:val="0"/>
          <w:color w:val="000000"/>
          <w:sz w:val="24"/>
          <w:vertAlign w:val="superscript"/>
        </w:rPr>
        <w:t>(9)</w:t>
      </w:r>
      <w:r>
        <w:rPr>
          <w:rFonts w:ascii="Times New Roman" w:hAnsi="Times New Roman" w:cs="Times New Roman" w:eastAsia="Times New Roman"/>
          <w:b w:val="0"/>
          <w:i w:val="0"/>
          <w:color w:val="000000"/>
          <w:sz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vertAlign w:val="superscript"/>
        </w:rPr>
        <w:t>(9,10)</w:t>
      </w:r>
      <w:r>
        <w:rPr>
          <w:rFonts w:ascii="Times New Roman" w:hAnsi="Times New Roman" w:cs="Times New Roman" w:eastAsia="Times New Roman"/>
          <w:b w:val="0"/>
          <w:i w:val="0"/>
          <w:color w:val="000000"/>
          <w:sz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vertAlign w:val="superscript"/>
        </w:rPr>
        <w:t>(10)</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vertAlign w:val="superscript"/>
        </w:rPr>
        <w:t>(11,12)</w:t>
      </w:r>
      <w:r>
        <w:rPr>
          <w:rFonts w:ascii="Times New Roman" w:hAnsi="Times New Roman" w:cs="Times New Roman" w:eastAsia="Times New Roman"/>
          <w:b w:val="0"/>
          <w:i w:val="0"/>
          <w:color w:val="000000"/>
          <w:sz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vertAlign w:val="superscript"/>
        </w:rPr>
        <w:t>(24)</w:t>
      </w:r>
      <w:r>
        <w:rPr>
          <w:rFonts w:ascii="Times New Roman" w:hAnsi="Times New Roman" w:cs="Times New Roman" w:eastAsia="Times New Roman"/>
          <w:b w:val="0"/>
          <w:i w:val="0"/>
          <w:color w:val="000000"/>
          <w:sz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vertAlign w:val="superscript"/>
        </w:rPr>
        <w:t>(5,13)</w:t>
      </w:r>
      <w:r>
        <w:rPr>
          <w:rFonts w:ascii="Times New Roman" w:hAnsi="Times New Roman" w:cs="Times New Roman" w:eastAsia="Times New Roman"/>
          <w:b w:val="0"/>
          <w:i w:val="0"/>
          <w:color w:val="000000"/>
          <w:sz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vertAlign w:val="superscript"/>
        </w:rPr>
        <w:t>(6,12)</w:t>
      </w:r>
      <w:r>
        <w:rPr>
          <w:rFonts w:ascii="Times New Roman" w:hAnsi="Times New Roman" w:cs="Times New Roman" w:eastAsia="Times New Roman"/>
          <w:b w:val="0"/>
          <w:i w:val="0"/>
          <w:color w:val="000000"/>
          <w:sz w:val="24"/>
        </w:rPr>
        <w:t xml:space="preserve">. Beautifil II LS is listed at 68 vol% </w:t>
      </w:r>
      <w:r>
        <w:rPr>
          <w:rFonts w:ascii="Times New Roman" w:hAnsi="Times New Roman" w:cs="Times New Roman" w:eastAsia="Times New Roman"/>
          <w:b w:val="0"/>
          <w:i w:val="0"/>
          <w:color w:val="000000"/>
          <w:sz w:val="24"/>
          <w:vertAlign w:val="superscript"/>
        </w:rPr>
        <w:t>(19)</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Laboratory evaluation of toothbrush wear follows ISO/TR 14569-1 </w:t>
      </w:r>
      <w:r>
        <w:rPr>
          <w:rFonts w:ascii="Times New Roman" w:hAnsi="Times New Roman" w:cs="Times New Roman" w:eastAsia="Times New Roman"/>
          <w:b w:val="0"/>
          <w:i w:val="0"/>
          <w:color w:val="000000"/>
          <w:sz w:val="24"/>
          <w:vertAlign w:val="superscript"/>
        </w:rPr>
        <w:t>(3)</w:t>
      </w:r>
      <w:r>
        <w:rPr>
          <w:rFonts w:ascii="Times New Roman" w:hAnsi="Times New Roman" w:cs="Times New Roman" w:eastAsia="Times New Roman"/>
          <w:b w:val="0"/>
          <w:i w:val="0"/>
          <w:color w:val="000000"/>
          <w:sz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vertAlign w:val="superscript"/>
        </w:rPr>
        <w:t>(3,14)</w:t>
      </w:r>
      <w:r>
        <w:rPr>
          <w:rFonts w:ascii="Times New Roman" w:hAnsi="Times New Roman" w:cs="Times New Roman" w:eastAsia="Times New Roman"/>
          <w:b w:val="0"/>
          <w:i w:val="0"/>
          <w:color w:val="000000"/>
          <w:sz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Wear may be quantified as lost volume, as profilometric depth or as lost mass </w:t>
      </w:r>
      <w:r>
        <w:rPr>
          <w:rFonts w:ascii="Times New Roman" w:hAnsi="Times New Roman" w:cs="Times New Roman" w:eastAsia="Times New Roman"/>
          <w:b w:val="0"/>
          <w:i w:val="0"/>
          <w:color w:val="000000"/>
          <w:sz w:val="24"/>
          <w:vertAlign w:val="superscript"/>
        </w:rPr>
        <w:t>(10,15)</w:t>
      </w:r>
      <w:r>
        <w:rPr>
          <w:rFonts w:ascii="Times New Roman" w:hAnsi="Times New Roman" w:cs="Times New Roman" w:eastAsia="Times New Roman"/>
          <w:b w:val="0"/>
          <w:i w:val="0"/>
          <w:color w:val="000000"/>
          <w:sz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vertAlign w:val="superscript"/>
        </w:rPr>
        <w:t>(15)</w:t>
      </w:r>
      <w:r>
        <w:rPr>
          <w:rFonts w:ascii="Times New Roman" w:hAnsi="Times New Roman" w:cs="Times New Roman" w:eastAsia="Times New Roman"/>
          <w:b w:val="0"/>
          <w:i w:val="0"/>
          <w:color w:val="000000"/>
          <w:sz w:val="24"/>
        </w:rPr>
        <w:t>. The choice of a gravimetric outcome in the present work is therefore a methodological decision, not a claim that mass is equivalent to worn anatomy.</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vertAlign w:val="superscript"/>
        </w:rPr>
        <w:t>(16)</w:t>
      </w:r>
      <w:r>
        <w:rPr>
          <w:rFonts w:ascii="Times New Roman" w:hAnsi="Times New Roman" w:cs="Times New Roman" w:eastAsia="Times New Roman"/>
          <w:b w:val="0"/>
          <w:i w:val="0"/>
          <w:color w:val="000000"/>
          <w:sz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vertAlign w:val="superscript"/>
        </w:rPr>
        <w:t>(4,16)</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vertAlign w:val="superscript"/>
        </w:rPr>
        <w:t>(17)</w:t>
      </w:r>
      <w:r>
        <w:rPr>
          <w:rFonts w:ascii="Times New Roman" w:hAnsi="Times New Roman" w:cs="Times New Roman" w:eastAsia="Times New Roman"/>
          <w:b w:val="0"/>
          <w:i w:val="0"/>
          <w:color w:val="000000"/>
          <w:sz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vertAlign w:val="superscript"/>
        </w:rPr>
        <w:t>(8,18)</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vertAlign w:val="superscript"/>
        </w:rPr>
        <w:t>(25)</w:t>
      </w:r>
      <w:r>
        <w:rPr>
          <w:rFonts w:ascii="Times New Roman" w:hAnsi="Times New Roman" w:cs="Times New Roman" w:eastAsia="Times New Roman"/>
          <w:b w:val="0"/>
          <w:i w:val="0"/>
          <w:color w:val="000000"/>
          <w:sz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vertAlign w:val="superscript"/>
        </w:rPr>
        <w:t>(26)</w:t>
      </w:r>
      <w:r>
        <w:rPr>
          <w:rFonts w:ascii="Times New Roman" w:hAnsi="Times New Roman" w:cs="Times New Roman" w:eastAsia="Times New Roman"/>
          <w:b w:val="0"/>
          <w:i w:val="0"/>
          <w:color w:val="000000"/>
          <w:sz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vertAlign w:val="superscript"/>
        </w:rPr>
        <w:t>(5,13)</w:t>
      </w:r>
      <w:r>
        <w:rPr>
          <w:rFonts w:ascii="Times New Roman" w:hAnsi="Times New Roman" w:cs="Times New Roman" w:eastAsia="Times New Roman"/>
          <w:b w:val="0"/>
          <w:i w:val="0"/>
          <w:color w:val="000000"/>
          <w:sz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vertAlign w:val="superscript"/>
        </w:rPr>
        <w:t>(6,18,19)</w:t>
      </w:r>
      <w:r>
        <w:rPr>
          <w:rFonts w:ascii="Times New Roman" w:hAnsi="Times New Roman" w:cs="Times New Roman" w:eastAsia="Times New Roman"/>
          <w:b w:val="0"/>
          <w:i w:val="0"/>
          <w:color w:val="000000"/>
          <w:sz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vertAlign w:val="superscript"/>
        </w:rPr>
        <w:t>(19)</w:t>
      </w:r>
      <w:r>
        <w:rPr>
          <w:rFonts w:ascii="Times New Roman" w:hAnsi="Times New Roman" w:cs="Times New Roman" w:eastAsia="Times New Roman"/>
          <w:b w:val="0"/>
          <w:i w:val="0"/>
          <w:color w:val="000000"/>
          <w:sz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vertAlign w:val="superscript"/>
        </w:rPr>
        <w:t>(27)</w:t>
      </w:r>
      <w:r>
        <w:rPr>
          <w:rFonts w:ascii="Times New Roman" w:hAnsi="Times New Roman" w:cs="Times New Roman" w:eastAsia="Times New Roman"/>
          <w:b w:val="0"/>
          <w:i w:val="0"/>
          <w:color w:val="000000"/>
          <w:sz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vertAlign w:val="superscript"/>
        </w:rPr>
        <w:t>(18)</w:t>
      </w:r>
      <w:r>
        <w:rPr>
          <w:rFonts w:ascii="Times New Roman" w:hAnsi="Times New Roman" w:cs="Times New Roman" w:eastAsia="Times New Roman"/>
          <w:b w:val="0"/>
          <w:i w:val="0"/>
          <w:color w:val="000000"/>
          <w:sz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vertAlign w:val="superscript"/>
        </w:rPr>
        <w:t>(20)</w:t>
      </w:r>
      <w:r>
        <w:rPr>
          <w:rFonts w:ascii="Times New Roman" w:hAnsi="Times New Roman" w:cs="Times New Roman" w:eastAsia="Times New Roman"/>
          <w:b w:val="0"/>
          <w:i w:val="0"/>
          <w:color w:val="000000"/>
          <w:sz w:val="24"/>
        </w:rPr>
        <w:t>. Material-to-material scatter is the rule, and a toothbrushing comparison of Beautifil Flow Plus X F00 with Beautifil II LS was not among the studies they included.</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vertAlign w:val="superscript"/>
        </w:rPr>
        <w:t>(11)</w:t>
      </w:r>
      <w:r>
        <w:rPr>
          <w:rFonts w:ascii="Times New Roman" w:hAnsi="Times New Roman" w:cs="Times New Roman" w:eastAsia="Times New Roman"/>
          <w:b w:val="0"/>
          <w:i w:val="0"/>
          <w:color w:val="000000"/>
          <w:sz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vertAlign w:val="superscript"/>
        </w:rPr>
        <w:t>(19)</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vertAlign w:val="superscript"/>
        </w:rPr>
        <w:t>(23)</w:t>
      </w:r>
      <w:r>
        <w:rPr>
          <w:rFonts w:ascii="Times New Roman" w:hAnsi="Times New Roman" w:cs="Times New Roman" w:eastAsia="Times New Roman"/>
          <w:b w:val="0"/>
          <w:i w:val="0"/>
          <w:color w:val="000000"/>
          <w:sz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vertAlign w:val="superscript"/>
        </w:rPr>
        <w:t>(21)</w:t>
      </w:r>
      <w:r>
        <w:rPr>
          <w:rFonts w:ascii="Times New Roman" w:hAnsi="Times New Roman" w:cs="Times New Roman" w:eastAsia="Times New Roman"/>
          <w:b w:val="0"/>
          <w:i w:val="0"/>
          <w:color w:val="000000"/>
          <w:sz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vertAlign w:val="superscript"/>
        </w:rPr>
        <w:t>(18)</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vertAlign w:val="superscript"/>
        </w:rPr>
        <w:t>(22)</w:t>
      </w:r>
      <w:r>
        <w:rPr>
          <w:rFonts w:ascii="Times New Roman" w:hAnsi="Times New Roman" w:cs="Times New Roman" w:eastAsia="Times New Roman"/>
          <w:b w:val="0"/>
          <w:i w:val="0"/>
          <w:color w:val="000000"/>
          <w:sz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vertAlign w:val="superscript"/>
        </w:rPr>
        <w:t>(11)</w:t>
      </w:r>
      <w:r>
        <w:rPr>
          <w:rFonts w:ascii="Times New Roman" w:hAnsi="Times New Roman" w:cs="Times New Roman" w:eastAsia="Times New Roman"/>
          <w:b w:val="0"/>
          <w:i w:val="0"/>
          <w:color w:val="000000"/>
          <w:sz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vertAlign w:val="superscript"/>
        </w:rPr>
        <w:t>(18)</w:t>
      </w:r>
      <w:r>
        <w:rPr>
          <w:rFonts w:ascii="Times New Roman" w:hAnsi="Times New Roman" w:cs="Times New Roman" w:eastAsia="Times New Roman"/>
          <w:b w:val="0"/>
          <w:i w:val="0"/>
          <w:color w:val="000000"/>
          <w:sz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CHAPTER 3</w:t>
      </w:r>
    </w:p>
    <w:p>
      <w:pPr>
        <w:pStyle w:val="Heading1"/>
        <w:keepNext/>
        <w:widowControl/>
        <w:spacing w:before="0" w:after="240" w:line="240" w:lineRule="auto"/>
        <w:ind w:firstLine="0"/>
        <w:jc w:val="center"/>
      </w:pPr>
      <w:r>
        <w:rPr>
          <w:rFonts w:ascii="Times New Roman" w:hAnsi="Times New Roman" w:cs="Times New Roman" w:eastAsia="Times New Roman"/>
          <w:b/>
          <w:i w:val="0"/>
          <w:color w:val="000000"/>
          <w:sz w:val="32"/>
        </w:rPr>
        <w:t>MATERIALS AND METHODS</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200" w:after="120" w:lineRule="auto" w:line="276"/>
        <w:ind w:firstLine="0"/>
        <w:jc w:val="left"/>
      </w:pPr>
      <w:r>
        <w:rPr>
          <w:rFonts w:ascii="Times New Roman" w:hAnsi="Times New Roman" w:cs="Times New Roman" w:eastAsia="Times New Roman"/>
          <w:b/>
          <w:i w:val="0"/>
          <w:color w:val="000000"/>
          <w:sz w:val="24"/>
        </w:rPr>
        <w:t>Table 3.1</w:t>
      </w:r>
      <w:r>
        <w:rPr>
          <w:rFonts w:ascii="Times New Roman" w:hAnsi="Times New Roman" w:cs="Times New Roman" w:eastAsia="Times New Roman"/>
          <w:b w:val="0"/>
          <w:i w:val="0"/>
          <w:color w:val="000000"/>
          <w:sz w:val="24"/>
        </w:rPr>
        <w:t xml:space="preserve"> Brand, manufacturer, matrix, filler and load of the resin composites</w:t>
      </w:r>
    </w:p>
    <w:tbl>
      <w:tblPr>
        <w:tblW w:type="auto" w:w="0"/>
        <w:jc w:val="center"/>
        <w:tblLayout w:type="fixed"/>
        <w:tblLook w:firstColumn="1" w:firstRow="1" w:lastColumn="0" w:lastRow="0" w:noHBand="0" w:noVBand="1" w:val="04A0"/>
        <w:tblW w:w="8958" w:type="dxa"/>
        <w:tblLayout w:type="fixed"/>
      </w:tblPr>
      <w:tblGrid>
        <w:gridCol w:w="1493"/>
        <w:gridCol w:w="1493"/>
        <w:gridCol w:w="1493"/>
        <w:gridCol w:w="1493"/>
        <w:gridCol w:w="1493"/>
        <w:gridCol w:w="1493"/>
      </w:tblGrid>
      <w:tr>
        <w:trPr>
          <w:cantSplit/>
        </w:trPr>
        <w:tc>
          <w:tcPr>
            <w:tcW w:type="dxa" w:w="1984"/>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i w:val="0"/>
                <w:color w:val="000000"/>
                <w:sz w:val="20"/>
              </w:rPr>
              <w:t>Composite</w:t>
            </w:r>
          </w:p>
        </w:tc>
        <w:tc>
          <w:tcPr>
            <w:tcW w:type="dxa" w:w="1417"/>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i w:val="0"/>
                <w:color w:val="000000"/>
                <w:sz w:val="20"/>
              </w:rPr>
              <w:t>Type</w:t>
            </w:r>
          </w:p>
        </w:tc>
        <w:tc>
          <w:tcPr>
            <w:tcW w:type="dxa" w:w="1644"/>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i w:val="0"/>
                <w:color w:val="000000"/>
                <w:sz w:val="20"/>
              </w:rPr>
              <w:t>Matrix</w:t>
            </w:r>
          </w:p>
        </w:tc>
        <w:tc>
          <w:tcPr>
            <w:tcW w:type="dxa" w:w="1531"/>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i w:val="0"/>
                <w:color w:val="000000"/>
                <w:sz w:val="20"/>
              </w:rPr>
              <w:t>Filler</w:t>
            </w:r>
          </w:p>
        </w:tc>
        <w:tc>
          <w:tcPr>
            <w:tcW w:type="dxa" w:w="850"/>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Load</w:t>
            </w:r>
          </w:p>
        </w:tc>
        <w:tc>
          <w:tcPr>
            <w:tcW w:type="dxa" w:w="1531"/>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i w:val="0"/>
                <w:color w:val="000000"/>
                <w:sz w:val="20"/>
              </w:rPr>
              <w:t>Manufacturer</w:t>
            </w:r>
          </w:p>
        </w:tc>
      </w:tr>
      <w:tr>
        <w:trPr>
          <w:cantSplit/>
        </w:trPr>
        <w:tc>
          <w:tcPr>
            <w:tcW w:type="dxa" w:w="1984"/>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G-ænial Universal Injectable (A2)</w:t>
            </w:r>
          </w:p>
        </w:tc>
        <w:tc>
          <w:tcPr>
            <w:tcW w:type="dxa" w:w="141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Nanohybrid injectable</w:t>
            </w:r>
          </w:p>
        </w:tc>
        <w:tc>
          <w:tcPr>
            <w:tcW w:type="dxa" w:w="1644"/>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Dimethacrylate monomers</w:t>
            </w:r>
          </w:p>
        </w:tc>
        <w:tc>
          <w:tcPr>
            <w:tcW w:type="dxa" w:w="1531"/>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Barium glass, silica</w:t>
            </w:r>
          </w:p>
        </w:tc>
        <w:tc>
          <w:tcPr>
            <w:tcW w:type="dxa" w:w="850"/>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50 vol%</w:t>
            </w:r>
          </w:p>
        </w:tc>
        <w:tc>
          <w:tcPr>
            <w:tcW w:type="dxa" w:w="1531"/>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GC, Tokyo</w:t>
            </w:r>
          </w:p>
        </w:tc>
      </w:tr>
      <w:tr>
        <w:trPr>
          <w:cantSplit/>
        </w:trPr>
        <w:tc>
          <w:tcPr>
            <w:tcW w:type="dxa" w:w="1984"/>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Beautifil Flow Plus X F00 (A2)</w:t>
            </w:r>
          </w:p>
        </w:tc>
        <w:tc>
          <w:tcPr>
            <w:tcW w:type="dxa" w:w="141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Nanohybrid injectable giomer</w:t>
            </w:r>
          </w:p>
        </w:tc>
        <w:tc>
          <w:tcPr>
            <w:tcW w:type="dxa" w:w="1644"/>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Bis-GMA, TEGDMA</w:t>
            </w:r>
          </w:p>
        </w:tc>
        <w:tc>
          <w:tcPr>
            <w:tcW w:type="dxa" w:w="1531"/>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Multifunctional glass and S-PRG filler</w:t>
            </w:r>
          </w:p>
        </w:tc>
        <w:tc>
          <w:tcPr>
            <w:tcW w:type="dxa" w:w="850"/>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47 vol%</w:t>
            </w:r>
          </w:p>
        </w:tc>
        <w:tc>
          <w:tcPr>
            <w:tcW w:type="dxa" w:w="1531"/>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Shofu, Kyoto</w:t>
            </w:r>
          </w:p>
        </w:tc>
      </w:tr>
      <w:tr>
        <w:trPr>
          <w:cantSplit/>
        </w:trPr>
        <w:tc>
          <w:tcPr>
            <w:tcW w:type="dxa" w:w="1984"/>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Beautifil II LS (A2)</w:t>
            </w:r>
          </w:p>
        </w:tc>
        <w:tc>
          <w:tcPr>
            <w:tcW w:type="dxa" w:w="1417"/>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Nanohybrid conventional giomer</w:t>
            </w:r>
          </w:p>
        </w:tc>
        <w:tc>
          <w:tcPr>
            <w:tcW w:type="dxa" w:w="1644"/>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Bis-GMA, UDMA, Bis-EMA, PEGMA, TEGDMA</w:t>
            </w:r>
          </w:p>
        </w:tc>
        <w:tc>
          <w:tcPr>
            <w:tcW w:type="dxa" w:w="1531"/>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Multifunctional glass and S-PRG filler</w:t>
            </w:r>
          </w:p>
        </w:tc>
        <w:tc>
          <w:tcPr>
            <w:tcW w:type="dxa" w:w="850"/>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68 vol%</w:t>
            </w:r>
          </w:p>
        </w:tc>
        <w:tc>
          <w:tcPr>
            <w:tcW w:type="dxa" w:w="1531"/>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Shofu, Kyoto</w:t>
            </w:r>
          </w:p>
        </w:tc>
      </w:tr>
    </w:tbl>
    <w:p>
      <w:pPr>
        <w:widowControl/>
        <w:spacing w:before="0" w:after="16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vertAlign w:val="superscript"/>
        </w:rPr>
        <w:t>(25)</w:t>
      </w:r>
      <w:r>
        <w:rPr>
          <w:rFonts w:ascii="Times New Roman" w:hAnsi="Times New Roman" w:cs="Times New Roman" w:eastAsia="Times New Roman"/>
          <w:b w:val="0"/>
          <w:i w:val="0"/>
          <w:color w:val="000000"/>
          <w:sz w:val="24"/>
        </w:rPr>
        <w:t>.</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vertAlign w:val="superscript"/>
        </w:rPr>
        <w:t>(16)</w:t>
      </w:r>
      <w:r>
        <w:rPr>
          <w:rFonts w:ascii="Times New Roman" w:hAnsi="Times New Roman" w:cs="Times New Roman" w:eastAsia="Times New Roman"/>
          <w:b w:val="0"/>
          <w:i w:val="0"/>
          <w:color w:val="000000"/>
          <w:sz w:val="24"/>
        </w:rPr>
        <w:t>.</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vertAlign w:val="superscript"/>
        </w:rPr>
        <w:t>(3)</w:t>
      </w:r>
      <w:r>
        <w:rPr>
          <w:rFonts w:ascii="Times New Roman" w:hAnsi="Times New Roman" w:cs="Times New Roman" w:eastAsia="Times New Roman"/>
          <w:b w:val="0"/>
          <w:i w:val="0"/>
          <w:color w:val="000000"/>
          <w:sz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vertAlign w:val="superscript"/>
        </w:rPr>
        <w:t>(3,14)</w:t>
      </w:r>
      <w:r>
        <w:rPr>
          <w:rFonts w:ascii="Times New Roman" w:hAnsi="Times New Roman" w:cs="Times New Roman" w:eastAsia="Times New Roman"/>
          <w:b w:val="0"/>
          <w:i w:val="0"/>
          <w:color w:val="000000"/>
          <w:sz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vertAlign w:val="superscript"/>
        </w:rPr>
        <w:t>(7,8)</w:t>
      </w:r>
      <w:r>
        <w:rPr>
          <w:rFonts w:ascii="Times New Roman" w:hAnsi="Times New Roman" w:cs="Times New Roman" w:eastAsia="Times New Roman"/>
          <w:b w:val="0"/>
          <w:i w:val="0"/>
          <w:color w:val="000000"/>
          <w:sz w:val="24"/>
        </w:rPr>
        <w:t>. The slurry was replaced every 5 000 cycles. At the end of the run the discs were rinsed with a stream of compressed tap water and dried with a disposable sponge.</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rPr>
        <w:t>Percentage weight loss was calculated for each disc as</w:t>
      </w:r>
    </w:p>
    <w:p>
      <w:pPr>
        <w:widowControl/>
        <w:spacing w:before="120" w:after="120" w:lineRule="auto" w:line="276"/>
        <w:ind w:firstLine="0"/>
        <w:jc w:val="center"/>
      </w:pPr>
      <w:r>
        <w:rPr>
          <w:rFonts w:ascii="Times New Roman" w:hAnsi="Times New Roman" w:cs="Times New Roman" w:eastAsia="Times New Roman"/>
          <w:b w:val="0"/>
          <w:i w:val="0"/>
          <w:color w:val="000000"/>
          <w:sz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20" w:after="120" w:lineRule="auto" w:line="276"/>
        <w:ind w:firstLine="0"/>
        <w:jc w:val="center"/>
      </w:pPr>
      <w:r>
        <w:rPr>
          <w:rFonts w:ascii="Times New Roman" w:hAnsi="Times New Roman" w:cs="Times New Roman" w:eastAsia="Times New Roman"/>
          <w:b w:val="0"/>
          <w:i w:val="0"/>
          <w:color w:val="000000"/>
          <w:sz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rPr>
        <w:t>The change in roughness was calculated for each disc as</w:t>
      </w:r>
    </w:p>
    <w:p>
      <w:pPr>
        <w:widowControl/>
        <w:spacing w:before="120" w:after="120" w:lineRule="auto" w:line="276"/>
        <w:ind w:firstLine="0"/>
        <w:jc w:val="center"/>
      </w:pPr>
      <w:r>
        <w:rPr>
          <w:rFonts w:ascii="Times New Roman" w:hAnsi="Times New Roman" w:cs="Times New Roman" w:eastAsia="Times New Roman"/>
          <w:b w:val="0"/>
          <w:i w:val="0"/>
          <w:color w:val="000000"/>
          <w:sz w:val="24"/>
        </w:rPr>
        <w:t>ΔRa (µm) = Ra after − Ra before.</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CHAPTER 4</w:t>
      </w:r>
    </w:p>
    <w:p>
      <w:pPr>
        <w:pStyle w:val="Heading1"/>
        <w:keepNext/>
        <w:widowControl/>
        <w:spacing w:before="0" w:after="240" w:line="240" w:lineRule="auto"/>
        <w:ind w:firstLine="0"/>
        <w:jc w:val="center"/>
      </w:pPr>
      <w:r>
        <w:rPr>
          <w:rFonts w:ascii="Times New Roman" w:hAnsi="Times New Roman" w:cs="Times New Roman" w:eastAsia="Times New Roman"/>
          <w:b/>
          <w:i w:val="0"/>
          <w:color w:val="000000"/>
          <w:sz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rPr>
        <w:t>Thirty-six discs were tested, twelve in each group. None was lost in processing. All discs completed 10 000 cycles at 2 N. Wear is reported as mass; roughness is reported as Ra.</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rPr>
        <w:t>Mean mass before and after brushing, and percentage loss, are given in Table 4.1 and illustrated in Figure 4.1.</w:t>
      </w:r>
    </w:p>
    <w:p>
      <w:pPr>
        <w:keepNext/>
        <w:widowControl/>
        <w:spacing w:before="200" w:after="120" w:lineRule="auto" w:line="276"/>
        <w:ind w:firstLine="0"/>
        <w:jc w:val="left"/>
      </w:pPr>
      <w:r>
        <w:rPr>
          <w:rFonts w:ascii="Times New Roman" w:hAnsi="Times New Roman" w:cs="Times New Roman" w:eastAsia="Times New Roman"/>
          <w:b/>
          <w:i w:val="0"/>
          <w:color w:val="000000"/>
          <w:sz w:val="24"/>
        </w:rPr>
        <w:t>Table 4.1</w:t>
      </w:r>
      <w:r>
        <w:rPr>
          <w:rFonts w:ascii="Times New Roman" w:hAnsi="Times New Roman" w:cs="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rPr>
        <w:tc>
          <w:tcPr>
            <w:tcW w:type="dxa" w:w="2268"/>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i w:val="0"/>
                <w:color w:val="000000"/>
                <w:sz w:val="20"/>
              </w:rPr>
              <w:t>Composite resin</w:t>
            </w:r>
          </w:p>
        </w:tc>
        <w:tc>
          <w:tcPr>
            <w:tcW w:type="dxa" w:w="1757"/>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Weight before (g)</w:t>
            </w:r>
          </w:p>
          <w:p>
            <w:pPr>
              <w:widowControl/>
              <w:spacing w:before="40" w:after="40" w:line="240" w:lineRule="auto"/>
              <w:ind w:firstLine="0"/>
              <w:jc w:val="center"/>
            </w:pPr>
            <w:r>
              <w:rPr>
                <w:rFonts w:ascii="Times New Roman" w:hAnsi="Times New Roman" w:cs="Times New Roman" w:eastAsia="Times New Roman"/>
                <w:b/>
                <w:i w:val="0"/>
                <w:color w:val="000000"/>
                <w:sz w:val="20"/>
              </w:rPr>
              <w:t>Mean ± SD</w:t>
            </w:r>
          </w:p>
        </w:tc>
        <w:tc>
          <w:tcPr>
            <w:tcW w:type="dxa" w:w="1757"/>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Weight after (g)</w:t>
            </w:r>
          </w:p>
          <w:p>
            <w:pPr>
              <w:widowControl/>
              <w:spacing w:before="40" w:after="40" w:line="240" w:lineRule="auto"/>
              <w:ind w:firstLine="0"/>
              <w:jc w:val="center"/>
            </w:pPr>
            <w:r>
              <w:rPr>
                <w:rFonts w:ascii="Times New Roman" w:hAnsi="Times New Roman" w:cs="Times New Roman" w:eastAsia="Times New Roman"/>
                <w:b/>
                <w:i w:val="0"/>
                <w:color w:val="000000"/>
                <w:sz w:val="20"/>
              </w:rPr>
              <w:t>Mean ± SD</w:t>
            </w:r>
          </w:p>
        </w:tc>
        <w:tc>
          <w:tcPr>
            <w:tcW w:type="dxa" w:w="1757"/>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Weight loss (%)</w:t>
            </w:r>
          </w:p>
          <w:p>
            <w:pPr>
              <w:widowControl/>
              <w:spacing w:before="40" w:after="40" w:line="240" w:lineRule="auto"/>
              <w:ind w:firstLine="0"/>
              <w:jc w:val="center"/>
            </w:pPr>
            <w:r>
              <w:rPr>
                <w:rFonts w:ascii="Times New Roman" w:hAnsi="Times New Roman" w:cs="Times New Roman" w:eastAsia="Times New Roman"/>
                <w:b/>
                <w:i w:val="0"/>
                <w:color w:val="000000"/>
                <w:sz w:val="20"/>
              </w:rPr>
              <w:t>Mean ± SD</w:t>
            </w:r>
          </w:p>
        </w:tc>
        <w:tc>
          <w:tcPr>
            <w:tcW w:type="dxa" w:w="1417"/>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p-value</w:t>
            </w:r>
          </w:p>
        </w:tc>
      </w:tr>
      <w:tr>
        <w:trPr>
          <w:cantSplit/>
        </w:trPr>
        <w:tc>
          <w:tcPr>
            <w:tcW w:type="dxa" w:w="2268"/>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Beautifil Flow Plus X F00</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0.1602 ± 0.0074</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0.1576 ± 0.0031</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1.49 ± 3.14</w:t>
            </w:r>
          </w:p>
        </w:tc>
        <w:tc>
          <w:tcPr>
            <w:tcW w:type="dxa" w:w="1417"/>
            <w:tcMar>
              <w:top w:w="60" w:type="dxa"/>
              <w:left w:w="60" w:type="dxa"/>
              <w:bottom w:w="60" w:type="dxa"/>
              <w:right w:w="60" w:type="dxa"/>
            </w:tcMar>
            <w:vMerge w:val="restart"/>
            <w:tcBorders>
              <w:top w:val="nil" w:sz="0" w:space="0" w:color="auto"/>
              <w:left w:val="nil" w:sz="0" w:space="0" w:color="auto"/>
              <w:bottom w:val="single" w:sz="18" w:space="0" w:color="000000"/>
              <w:right w:val="nil" w:sz="0" w:space="0" w:color="auto"/>
            </w:tcBorders>
            <w:tcMar>
              <w:top w:w="60" w:type="dxa"/>
              <w:left w:w="60" w:type="dxa"/>
              <w:bottom w:w="60" w:type="dxa"/>
              <w:right w:w="60" w:type="dxa"/>
            </w:tcMar>
          </w:tcPr>
          <w:p>
            <w:pPr>
              <w:widowControl/>
              <w:spacing w:before="40" w:after="40" w:line="240" w:lineRule="auto"/>
              <w:ind w:firstLine="0"/>
              <w:jc w:val="center"/>
            </w:pPr>
            <w:r/>
            <w:r>
              <w:rPr>
                <w:rFonts w:ascii="Times New Roman" w:hAnsi="Times New Roman" w:cs="Times New Roman" w:eastAsia="Times New Roman"/>
                <w:b w:val="0"/>
                <w:i w:val="0"/>
                <w:color w:val="000000"/>
                <w:sz w:val="20"/>
              </w:rPr>
              <w:t>0.329†</w:t>
            </w:r>
          </w:p>
        </w:tc>
      </w:tr>
      <w:tr>
        <w:trPr>
          <w:cantSplit/>
        </w:trPr>
        <w:tc>
          <w:tcPr>
            <w:tcW w:type="dxa" w:w="2268"/>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G-ænial Universal Injectable</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0.1630 ± 0.0102</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0.1619 ± 0.0106</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0.65 ± 0.37</w:t>
            </w:r>
          </w:p>
        </w:tc>
        <w:tc>
          <w:tcPr>
            <w:tcW w:type="dxa" w:w="1417"/>
            <w:tcMar>
              <w:top w:w="60" w:type="dxa"/>
              <w:left w:w="60" w:type="dxa"/>
              <w:bottom w:w="60" w:type="dxa"/>
              <w:right w:w="60" w:type="dxa"/>
            </w:tcMar>
            <w:vMerge/>
            <w:tcBorders>
              <w:top w:val="nil" w:sz="0" w:space="0" w:color="auto"/>
              <w:left w:val="nil" w:sz="0" w:space="0" w:color="auto"/>
              <w:bottom w:val="nil" w:sz="0" w:space="0" w:color="auto"/>
              <w:right w:val="nil" w:sz="0" w:space="0" w:color="auto"/>
            </w:tcBorders>
          </w:tcPr>
          <w:p/>
        </w:tc>
      </w:tr>
      <w:tr>
        <w:trPr>
          <w:cantSplit/>
        </w:trPr>
        <w:tc>
          <w:tcPr>
            <w:tcW w:type="dxa" w:w="2268"/>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Beautifil II LS</w:t>
            </w:r>
          </w:p>
        </w:tc>
        <w:tc>
          <w:tcPr>
            <w:tcW w:type="dxa" w:w="1757"/>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0.2313 ± 0.0154</w:t>
            </w:r>
          </w:p>
        </w:tc>
        <w:tc>
          <w:tcPr>
            <w:tcW w:type="dxa" w:w="1757"/>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0.2303 ± 0.0156</w:t>
            </w:r>
          </w:p>
        </w:tc>
        <w:tc>
          <w:tcPr>
            <w:tcW w:type="dxa" w:w="1757"/>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0.41 ± 0.25</w:t>
            </w:r>
          </w:p>
        </w:tc>
        <w:tc>
          <w:tcPr>
            <w:tcW w:type="dxa" w:w="1417"/>
            <w:tcMar>
              <w:top w:w="60" w:type="dxa"/>
              <w:left w:w="60" w:type="dxa"/>
              <w:bottom w:w="60" w:type="dxa"/>
              <w:right w:w="60" w:type="dxa"/>
            </w:tcMar>
            <w:vMerge/>
            <w:tcBorders>
              <w:top w:val="nil" w:sz="0" w:space="0" w:color="auto"/>
              <w:left w:val="nil" w:sz="0" w:space="0" w:color="auto"/>
              <w:bottom w:val="single" w:sz="18" w:space="0" w:color="000000"/>
              <w:right w:val="nil" w:sz="0" w:space="0" w:color="auto"/>
            </w:tcBorders>
          </w:tcPr>
          <w:p/>
        </w:tc>
      </w:tr>
    </w:tbl>
    <w:p>
      <w:pPr>
        <w:widowControl/>
        <w:spacing w:before="0" w:after="160" w:line="240" w:lineRule="auto"/>
        <w:ind w:firstLine="0"/>
        <w:jc w:val="both"/>
      </w:pPr>
    </w:p>
    <w:p>
      <w:pPr>
        <w:widowControl/>
        <w:spacing w:before="40" w:after="120" w:line="240" w:lineRule="auto"/>
        <w:ind w:firstLine="0"/>
        <w:jc w:val="both"/>
      </w:pPr>
      <w:r>
        <w:rPr>
          <w:rFonts w:ascii="Times New Roman" w:hAnsi="Times New Roman" w:cs="Times New Roman" w:eastAsia="Times New Roman"/>
          <w:b w:val="0"/>
          <w:i/>
          <w:color w:val="000000"/>
          <w:sz w:val="20"/>
        </w:rPr>
        <w:t>† One-way ANOVA. Values are mean ± standard deviation.</w:t>
      </w:r>
    </w:p>
    <w:p>
      <w:pPr>
        <w:widowControl/>
        <w:spacing w:before="160" w:after="120" w:line="240" w:lineRule="auto"/>
        <w:ind w:firstLine="0"/>
        <w:jc w:val="center"/>
      </w:pPr>
      <w:r>
        <w:drawing>
          <wp:inline xmlns:a="http://schemas.openxmlformats.org/drawingml/2006/main" xmlns:pic="http://schemas.openxmlformats.org/drawingml/2006/picture">
            <wp:extent cx="5120640" cy="3565072"/>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3"/>
                    <a:stretch>
                      <a:fillRect/>
                    </a:stretch>
                  </pic:blipFill>
                  <pic:spPr>
                    <a:xfrm>
                      <a:off x="0" y="0"/>
                      <a:ext cx="5120640" cy="3565072"/>
                    </a:xfrm>
                    <a:prstGeom prst="rect"/>
                  </pic:spPr>
                </pic:pic>
              </a:graphicData>
            </a:graphic>
          </wp:inline>
        </w:drawing>
      </w:r>
    </w:p>
    <w:p>
      <w:pPr>
        <w:keepNext/>
        <w:widowControl/>
        <w:spacing w:before="200" w:after="120" w:lineRule="auto" w:line="276"/>
        <w:ind w:firstLine="0"/>
        <w:jc w:val="left"/>
      </w:pPr>
      <w:r>
        <w:rPr>
          <w:rFonts w:ascii="Times New Roman" w:hAnsi="Times New Roman" w:cs="Times New Roman" w:eastAsia="Times New Roman"/>
          <w:b/>
          <w:i w:val="0"/>
          <w:color w:val="000000"/>
          <w:sz w:val="24"/>
        </w:rPr>
        <w:t>Figure 4.1</w:t>
      </w:r>
      <w:r>
        <w:rPr>
          <w:rFonts w:ascii="Times New Roman" w:hAnsi="Times New Roman" w:cs="Times New Roman" w:eastAsia="Times New Roman"/>
          <w:b w:val="0"/>
          <w:i w:val="0"/>
          <w:color w:val="000000"/>
          <w:sz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rPr>
        <w:t>Absolute loss is set out in Table 4.2 because percentage loss on a lighter disc can exaggerate a small mass change, and because the outlying specimen is easier to see in milligrams.</w:t>
      </w:r>
    </w:p>
    <w:p>
      <w:pPr>
        <w:keepNext/>
        <w:widowControl/>
        <w:spacing w:before="200" w:after="120" w:lineRule="auto" w:line="276"/>
        <w:ind w:firstLine="0"/>
        <w:jc w:val="left"/>
      </w:pPr>
      <w:r>
        <w:rPr>
          <w:rFonts w:ascii="Times New Roman" w:hAnsi="Times New Roman" w:cs="Times New Roman" w:eastAsia="Times New Roman"/>
          <w:b/>
          <w:i w:val="0"/>
          <w:color w:val="000000"/>
          <w:sz w:val="24"/>
        </w:rPr>
        <w:t>Table 4.2</w:t>
      </w:r>
      <w:r>
        <w:rPr>
          <w:rFonts w:ascii="Times New Roman" w:hAnsi="Times New Roman" w:cs="Times New Roman" w:eastAsia="Times New Roman"/>
          <w:b w:val="0"/>
          <w:i w:val="0"/>
          <w:color w:val="000000"/>
          <w:sz w:val="24"/>
        </w:rPr>
        <w:t xml:space="preserve"> Absolute weight loss after 10 000 brushing cycles (n = 12)</w:t>
      </w:r>
    </w:p>
    <w:tbl>
      <w:tblPr>
        <w:tblW w:type="auto" w:w="0"/>
        <w:jc w:val="center"/>
        <w:tblLayout w:type="fixed"/>
        <w:tblLook w:firstColumn="1" w:firstRow="1" w:lastColumn="0" w:lastRow="0" w:noHBand="0" w:noVBand="1" w:val="04A0"/>
        <w:tblW w:w="8958" w:type="dxa"/>
        <w:tblLayout w:type="fixed"/>
      </w:tblPr>
      <w:tblGrid>
        <w:gridCol w:w="2986"/>
        <w:gridCol w:w="2986"/>
        <w:gridCol w:w="2986"/>
      </w:tblGrid>
      <w:tr>
        <w:trPr>
          <w:cantSplit/>
        </w:trPr>
        <w:tc>
          <w:tcPr>
            <w:tcW w:type="dxa" w:w="3515"/>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i w:val="0"/>
                <w:color w:val="000000"/>
                <w:sz w:val="20"/>
              </w:rPr>
              <w:t>Composite resin</w:t>
            </w:r>
          </w:p>
        </w:tc>
        <w:tc>
          <w:tcPr>
            <w:tcW w:type="dxa" w:w="3061"/>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Absolute weight loss (mg)</w:t>
            </w:r>
          </w:p>
          <w:p>
            <w:pPr>
              <w:widowControl/>
              <w:spacing w:before="40" w:after="40" w:line="240" w:lineRule="auto"/>
              <w:ind w:firstLine="0"/>
              <w:jc w:val="center"/>
            </w:pPr>
            <w:r>
              <w:rPr>
                <w:rFonts w:ascii="Times New Roman" w:hAnsi="Times New Roman" w:cs="Times New Roman" w:eastAsia="Times New Roman"/>
                <w:b/>
                <w:i w:val="0"/>
                <w:color w:val="000000"/>
                <w:sz w:val="20"/>
              </w:rPr>
              <w:t>Mean ± SD</w:t>
            </w:r>
          </w:p>
        </w:tc>
        <w:tc>
          <w:tcPr>
            <w:tcW w:type="dxa" w:w="2381"/>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Range (mg)</w:t>
            </w:r>
          </w:p>
        </w:tc>
      </w:tr>
      <w:tr>
        <w:trPr>
          <w:cantSplit/>
        </w:trPr>
        <w:tc>
          <w:tcPr>
            <w:tcW w:type="dxa" w:w="3515"/>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Beautifil Flow Plus X F00</w:t>
            </w:r>
          </w:p>
        </w:tc>
        <w:tc>
          <w:tcPr>
            <w:tcW w:type="dxa" w:w="3061"/>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2.58 ± 5.91</w:t>
            </w:r>
          </w:p>
        </w:tc>
        <w:tc>
          <w:tcPr>
            <w:tcW w:type="dxa" w:w="2381"/>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0.2 – 20.7</w:t>
            </w:r>
          </w:p>
        </w:tc>
      </w:tr>
      <w:tr>
        <w:trPr>
          <w:cantSplit/>
        </w:trPr>
        <w:tc>
          <w:tcPr>
            <w:tcW w:type="dxa" w:w="3515"/>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G-ænial Universal Injectable</w:t>
            </w:r>
          </w:p>
        </w:tc>
        <w:tc>
          <w:tcPr>
            <w:tcW w:type="dxa" w:w="3061"/>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1.07 ± 0.62</w:t>
            </w:r>
          </w:p>
        </w:tc>
        <w:tc>
          <w:tcPr>
            <w:tcW w:type="dxa" w:w="2381"/>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0.2 – 1.9</w:t>
            </w:r>
          </w:p>
        </w:tc>
      </w:tr>
      <w:tr>
        <w:trPr>
          <w:cantSplit/>
        </w:trPr>
        <w:tc>
          <w:tcPr>
            <w:tcW w:type="dxa" w:w="3515"/>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Beautifil II LS</w:t>
            </w:r>
          </w:p>
        </w:tc>
        <w:tc>
          <w:tcPr>
            <w:tcW w:type="dxa" w:w="3061"/>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0.95 ± 0.58</w:t>
            </w:r>
          </w:p>
        </w:tc>
        <w:tc>
          <w:tcPr>
            <w:tcW w:type="dxa" w:w="2381"/>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0.1 – 1.8</w:t>
            </w:r>
          </w:p>
        </w:tc>
      </w:tr>
    </w:tbl>
    <w:p>
      <w:pPr>
        <w:widowControl/>
        <w:spacing w:before="0" w:after="160" w:line="240" w:lineRule="auto"/>
        <w:ind w:firstLine="0"/>
        <w:jc w:val="both"/>
      </w:pPr>
    </w:p>
    <w:p>
      <w:pPr>
        <w:widowControl/>
        <w:spacing w:before="40" w:after="120" w:line="240" w:lineRule="auto"/>
        <w:ind w:firstLine="0"/>
        <w:jc w:val="both"/>
      </w:pPr>
      <w:r>
        <w:rPr>
          <w:rFonts w:ascii="Times New Roman" w:hAnsi="Times New Roman" w:cs="Times New Roman" w:eastAsia="Times New Roman"/>
          <w:b w:val="0"/>
          <w:i/>
          <w:color w:val="000000"/>
          <w:sz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rPr>
        <w:t>Mean Ra before and after brushing, and ΔRa, are given in Table 4.3 and illustrated in Figures 4.2 and 4.3.</w:t>
      </w:r>
    </w:p>
    <w:p>
      <w:pPr>
        <w:keepNext/>
        <w:widowControl/>
        <w:spacing w:before="200" w:after="120" w:lineRule="auto" w:line="276"/>
        <w:ind w:firstLine="0"/>
        <w:jc w:val="left"/>
      </w:pPr>
      <w:r>
        <w:rPr>
          <w:rFonts w:ascii="Times New Roman" w:hAnsi="Times New Roman" w:cs="Times New Roman" w:eastAsia="Times New Roman"/>
          <w:b/>
          <w:i w:val="0"/>
          <w:color w:val="000000"/>
          <w:sz w:val="24"/>
        </w:rPr>
        <w:t>Table 4.3</w:t>
      </w:r>
      <w:r>
        <w:rPr>
          <w:rFonts w:ascii="Times New Roman" w:hAnsi="Times New Roman" w:cs="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rPr>
        <w:tc>
          <w:tcPr>
            <w:tcW w:type="dxa" w:w="2268"/>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i w:val="0"/>
                <w:color w:val="000000"/>
                <w:sz w:val="20"/>
              </w:rPr>
              <w:t>Composite resin</w:t>
            </w:r>
          </w:p>
        </w:tc>
        <w:tc>
          <w:tcPr>
            <w:tcW w:type="dxa" w:w="1757"/>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Ra before (µm)</w:t>
            </w:r>
          </w:p>
          <w:p>
            <w:pPr>
              <w:widowControl/>
              <w:spacing w:before="40" w:after="40" w:line="240" w:lineRule="auto"/>
              <w:ind w:firstLine="0"/>
              <w:jc w:val="center"/>
            </w:pPr>
            <w:r>
              <w:rPr>
                <w:rFonts w:ascii="Times New Roman" w:hAnsi="Times New Roman" w:cs="Times New Roman" w:eastAsia="Times New Roman"/>
                <w:b/>
                <w:i w:val="0"/>
                <w:color w:val="000000"/>
                <w:sz w:val="20"/>
              </w:rPr>
              <w:t>Mean ± SD</w:t>
            </w:r>
          </w:p>
        </w:tc>
        <w:tc>
          <w:tcPr>
            <w:tcW w:type="dxa" w:w="1757"/>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Ra after (µm)</w:t>
            </w:r>
          </w:p>
          <w:p>
            <w:pPr>
              <w:widowControl/>
              <w:spacing w:before="40" w:after="40" w:line="240" w:lineRule="auto"/>
              <w:ind w:firstLine="0"/>
              <w:jc w:val="center"/>
            </w:pPr>
            <w:r>
              <w:rPr>
                <w:rFonts w:ascii="Times New Roman" w:hAnsi="Times New Roman" w:cs="Times New Roman" w:eastAsia="Times New Roman"/>
                <w:b/>
                <w:i w:val="0"/>
                <w:color w:val="000000"/>
                <w:sz w:val="20"/>
              </w:rPr>
              <w:t>Mean ± SD</w:t>
            </w:r>
          </w:p>
        </w:tc>
        <w:tc>
          <w:tcPr>
            <w:tcW w:type="dxa" w:w="1757"/>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ΔRa (µm)</w:t>
            </w:r>
          </w:p>
          <w:p>
            <w:pPr>
              <w:widowControl/>
              <w:spacing w:before="40" w:after="40" w:line="240" w:lineRule="auto"/>
              <w:ind w:firstLine="0"/>
              <w:jc w:val="center"/>
            </w:pPr>
            <w:r>
              <w:rPr>
                <w:rFonts w:ascii="Times New Roman" w:hAnsi="Times New Roman" w:cs="Times New Roman" w:eastAsia="Times New Roman"/>
                <w:b/>
                <w:i w:val="0"/>
                <w:color w:val="000000"/>
                <w:sz w:val="20"/>
              </w:rPr>
              <w:t>Mean ± SD</w:t>
            </w:r>
          </w:p>
        </w:tc>
        <w:tc>
          <w:tcPr>
            <w:tcW w:type="dxa" w:w="1417"/>
            <w:tcMar>
              <w:top w:w="60" w:type="dxa"/>
              <w:left w:w="60" w:type="dxa"/>
              <w:bottom w:w="60" w:type="dxa"/>
              <w:right w:w="6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i w:val="0"/>
                <w:color w:val="000000"/>
                <w:sz w:val="20"/>
              </w:rPr>
              <w:t>p-value</w:t>
            </w:r>
          </w:p>
        </w:tc>
      </w:tr>
      <w:tr>
        <w:trPr>
          <w:cantSplit/>
        </w:trPr>
        <w:tc>
          <w:tcPr>
            <w:tcW w:type="dxa" w:w="2268"/>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Beautifil Flow Plus X F00</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0.038 ± 0.011</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0.104 ± 0.017</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0.066 ± 0.021</w:t>
            </w:r>
          </w:p>
        </w:tc>
        <w:tc>
          <w:tcPr>
            <w:tcW w:type="dxa" w:w="1417"/>
            <w:tcMar>
              <w:top w:w="60" w:type="dxa"/>
              <w:left w:w="60" w:type="dxa"/>
              <w:bottom w:w="60" w:type="dxa"/>
              <w:right w:w="60" w:type="dxa"/>
            </w:tcMar>
            <w:vMerge w:val="restart"/>
            <w:tcBorders>
              <w:top w:val="nil" w:sz="0" w:space="0" w:color="auto"/>
              <w:left w:val="nil" w:sz="0" w:space="0" w:color="auto"/>
              <w:bottom w:val="single" w:sz="18" w:space="0" w:color="000000"/>
              <w:right w:val="nil" w:sz="0" w:space="0" w:color="auto"/>
            </w:tcBorders>
            <w:tcMar>
              <w:top w:w="60" w:type="dxa"/>
              <w:left w:w="60" w:type="dxa"/>
              <w:bottom w:w="60" w:type="dxa"/>
              <w:right w:w="60" w:type="dxa"/>
            </w:tcMar>
          </w:tcPr>
          <w:p>
            <w:pPr>
              <w:widowControl/>
              <w:spacing w:before="40" w:after="40" w:line="240" w:lineRule="auto"/>
              <w:ind w:firstLine="0"/>
              <w:jc w:val="center"/>
            </w:pPr>
            <w:r/>
            <w:r>
              <w:rPr>
                <w:rFonts w:ascii="Times New Roman" w:hAnsi="Times New Roman" w:cs="Times New Roman" w:eastAsia="Times New Roman"/>
                <w:b w:val="0"/>
                <w:i w:val="0"/>
                <w:color w:val="000000"/>
                <w:sz w:val="20"/>
              </w:rPr>
              <w:t>&lt; 0.001‡</w:t>
            </w:r>
          </w:p>
        </w:tc>
      </w:tr>
      <w:tr>
        <w:trPr>
          <w:cantSplit/>
        </w:trPr>
        <w:tc>
          <w:tcPr>
            <w:tcW w:type="dxa" w:w="2268"/>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G-ænial Universal Injectable</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0.054 ± 0.010</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0.100 ± 0.023</w:t>
            </w:r>
          </w:p>
        </w:tc>
        <w:tc>
          <w:tcPr>
            <w:tcW w:type="dxa" w:w="1757"/>
            <w:tcMar>
              <w:top w:w="60" w:type="dxa"/>
              <w:left w:w="60" w:type="dxa"/>
              <w:bottom w:w="60" w:type="dxa"/>
              <w:right w:w="6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0.046 ± 0.023</w:t>
            </w:r>
          </w:p>
        </w:tc>
        <w:tc>
          <w:tcPr>
            <w:tcW w:type="dxa" w:w="1417"/>
            <w:tcMar>
              <w:top w:w="60" w:type="dxa"/>
              <w:left w:w="60" w:type="dxa"/>
              <w:bottom w:w="60" w:type="dxa"/>
              <w:right w:w="60" w:type="dxa"/>
            </w:tcMar>
            <w:vMerge/>
            <w:tcBorders>
              <w:top w:val="nil" w:sz="0" w:space="0" w:color="auto"/>
              <w:left w:val="nil" w:sz="0" w:space="0" w:color="auto"/>
              <w:bottom w:val="nil" w:sz="0" w:space="0" w:color="auto"/>
              <w:right w:val="nil" w:sz="0" w:space="0" w:color="auto"/>
            </w:tcBorders>
          </w:tcPr>
          <w:p/>
        </w:tc>
      </w:tr>
      <w:tr>
        <w:trPr>
          <w:cantSplit/>
        </w:trPr>
        <w:tc>
          <w:tcPr>
            <w:tcW w:type="dxa" w:w="2268"/>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pPr>
            <w:r/>
            <w:r>
              <w:rPr>
                <w:rFonts w:ascii="Times New Roman" w:hAnsi="Times New Roman" w:cs="Times New Roman" w:eastAsia="Times New Roman"/>
                <w:b w:val="0"/>
                <w:i w:val="0"/>
                <w:color w:val="000000"/>
                <w:sz w:val="20"/>
              </w:rPr>
              <w:t>Beautifil II LS</w:t>
            </w:r>
          </w:p>
        </w:tc>
        <w:tc>
          <w:tcPr>
            <w:tcW w:type="dxa" w:w="1757"/>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0.119 ± 0.054</w:t>
            </w:r>
          </w:p>
        </w:tc>
        <w:tc>
          <w:tcPr>
            <w:tcW w:type="dxa" w:w="1757"/>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0.194 ± 0.050</w:t>
            </w:r>
          </w:p>
        </w:tc>
        <w:tc>
          <w:tcPr>
            <w:tcW w:type="dxa" w:w="1757"/>
            <w:tcMar>
              <w:top w:w="60" w:type="dxa"/>
              <w:left w:w="60" w:type="dxa"/>
              <w:bottom w:w="60" w:type="dxa"/>
              <w:right w:w="6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pPr>
            <w:r/>
            <w:r>
              <w:rPr>
                <w:rFonts w:ascii="Times New Roman" w:hAnsi="Times New Roman" w:cs="Times New Roman" w:eastAsia="Times New Roman"/>
                <w:b w:val="0"/>
                <w:i w:val="0"/>
                <w:color w:val="000000"/>
                <w:sz w:val="20"/>
              </w:rPr>
              <w:t>0.075 ± 0.066</w:t>
            </w:r>
          </w:p>
        </w:tc>
        <w:tc>
          <w:tcPr>
            <w:tcW w:type="dxa" w:w="1417"/>
            <w:tcMar>
              <w:top w:w="60" w:type="dxa"/>
              <w:left w:w="60" w:type="dxa"/>
              <w:bottom w:w="60" w:type="dxa"/>
              <w:right w:w="60" w:type="dxa"/>
            </w:tcMar>
            <w:vMerge/>
            <w:tcBorders>
              <w:top w:val="nil" w:sz="0" w:space="0" w:color="auto"/>
              <w:left w:val="nil" w:sz="0" w:space="0" w:color="auto"/>
              <w:bottom w:val="single" w:sz="18" w:space="0" w:color="000000"/>
              <w:right w:val="nil" w:sz="0" w:space="0" w:color="auto"/>
            </w:tcBorders>
          </w:tcPr>
          <w:p/>
        </w:tc>
      </w:tr>
    </w:tbl>
    <w:p>
      <w:pPr>
        <w:widowControl/>
        <w:spacing w:before="0" w:after="160" w:line="240" w:lineRule="auto"/>
        <w:ind w:firstLine="0"/>
        <w:jc w:val="both"/>
      </w:pPr>
    </w:p>
    <w:p>
      <w:pPr>
        <w:widowControl/>
        <w:spacing w:before="40" w:after="120" w:line="240" w:lineRule="auto"/>
        <w:ind w:firstLine="0"/>
        <w:jc w:val="both"/>
      </w:pPr>
      <w:r>
        <w:rPr>
          <w:rFonts w:ascii="Times New Roman" w:hAnsi="Times New Roman" w:cs="Times New Roman" w:eastAsia="Times New Roman"/>
          <w:b w:val="0"/>
          <w:i/>
          <w:color w:val="000000"/>
          <w:sz w:val="20"/>
        </w:rPr>
        <w:t>‡ Kruskal–Wallis test. Pairwise comparisons: each injectable versus Beautifil II LS, p &lt; 0.001; the two injectables, not significant. Values are mean ± standard deviation.</w:t>
      </w:r>
    </w:p>
    <w:p>
      <w:pPr>
        <w:widowControl/>
        <w:spacing w:before="160" w:after="120" w:line="240" w:lineRule="auto"/>
        <w:ind w:firstLine="0"/>
        <w:jc w:val="center"/>
      </w:pPr>
      <w:r>
        <w:drawing>
          <wp:inline xmlns:a="http://schemas.openxmlformats.org/drawingml/2006/main" xmlns:pic="http://schemas.openxmlformats.org/drawingml/2006/picture">
            <wp:extent cx="5120640" cy="322419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4"/>
                    <a:stretch>
                      <a:fillRect/>
                    </a:stretch>
                  </pic:blipFill>
                  <pic:spPr>
                    <a:xfrm>
                      <a:off x="0" y="0"/>
                      <a:ext cx="5120640" cy="3224199"/>
                    </a:xfrm>
                    <a:prstGeom prst="rect"/>
                  </pic:spPr>
                </pic:pic>
              </a:graphicData>
            </a:graphic>
          </wp:inline>
        </w:drawing>
      </w:r>
    </w:p>
    <w:p>
      <w:pPr>
        <w:keepNext/>
        <w:widowControl/>
        <w:spacing w:before="200" w:after="120" w:lineRule="auto" w:line="276"/>
        <w:ind w:firstLine="0"/>
        <w:jc w:val="left"/>
      </w:pPr>
      <w:r>
        <w:rPr>
          <w:rFonts w:ascii="Times New Roman" w:hAnsi="Times New Roman" w:cs="Times New Roman" w:eastAsia="Times New Roman"/>
          <w:b/>
          <w:i w:val="0"/>
          <w:color w:val="000000"/>
          <w:sz w:val="24"/>
        </w:rPr>
        <w:t>Figure 4.2</w:t>
      </w:r>
      <w:r>
        <w:rPr>
          <w:rFonts w:ascii="Times New Roman" w:hAnsi="Times New Roman" w:cs="Times New Roman" w:eastAsia="Times New Roman"/>
          <w:b w:val="0"/>
          <w:i w:val="0"/>
          <w:color w:val="000000"/>
          <w:sz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160" w:after="120" w:line="240" w:lineRule="auto"/>
        <w:ind w:firstLine="0"/>
        <w:jc w:val="center"/>
      </w:pPr>
      <w:r>
        <w:drawing>
          <wp:inline xmlns:a="http://schemas.openxmlformats.org/drawingml/2006/main" xmlns:pic="http://schemas.openxmlformats.org/drawingml/2006/picture">
            <wp:extent cx="5120640" cy="3382542"/>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5"/>
                    <a:stretch>
                      <a:fillRect/>
                    </a:stretch>
                  </pic:blipFill>
                  <pic:spPr>
                    <a:xfrm>
                      <a:off x="0" y="0"/>
                      <a:ext cx="5120640" cy="3382542"/>
                    </a:xfrm>
                    <a:prstGeom prst="rect"/>
                  </pic:spPr>
                </pic:pic>
              </a:graphicData>
            </a:graphic>
          </wp:inline>
        </w:drawing>
      </w:r>
    </w:p>
    <w:p>
      <w:pPr>
        <w:keepNext/>
        <w:widowControl/>
        <w:spacing w:before="200" w:after="120" w:lineRule="auto" w:line="276"/>
        <w:ind w:firstLine="0"/>
        <w:jc w:val="left"/>
      </w:pPr>
      <w:r>
        <w:rPr>
          <w:rFonts w:ascii="Times New Roman" w:hAnsi="Times New Roman" w:cs="Times New Roman" w:eastAsia="Times New Roman"/>
          <w:b/>
          <w:i w:val="0"/>
          <w:color w:val="000000"/>
          <w:sz w:val="24"/>
        </w:rPr>
        <w:t>Figure 4.3</w:t>
      </w:r>
      <w:r>
        <w:rPr>
          <w:rFonts w:ascii="Times New Roman" w:hAnsi="Times New Roman" w:cs="Times New Roman" w:eastAsia="Times New Roman"/>
          <w:b w:val="0"/>
          <w:i w:val="0"/>
          <w:color w:val="000000"/>
          <w:sz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Relative to the 0.2 µm plaque-retention threshold </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CHAPTER 5</w:t>
      </w:r>
    </w:p>
    <w:p>
      <w:pPr>
        <w:pStyle w:val="Heading1"/>
        <w:keepNext/>
        <w:widowControl/>
        <w:spacing w:before="0" w:after="240" w:line="240" w:lineRule="auto"/>
        <w:ind w:firstLine="0"/>
        <w:jc w:val="center"/>
      </w:pPr>
      <w:r>
        <w:rPr>
          <w:rFonts w:ascii="Times New Roman" w:hAnsi="Times New Roman" w:cs="Times New Roman" w:eastAsia="Times New Roman"/>
          <w:b/>
          <w:i w:val="0"/>
          <w:color w:val="000000"/>
          <w:sz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vertAlign w:val="superscript"/>
        </w:rPr>
        <w:t>(6,18,24)</w:t>
      </w:r>
      <w:r>
        <w:rPr>
          <w:rFonts w:ascii="Times New Roman" w:hAnsi="Times New Roman" w:cs="Times New Roman" w:eastAsia="Times New Roman"/>
          <w:b w:val="0"/>
          <w:i w:val="0"/>
          <w:color w:val="000000"/>
          <w:sz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vertAlign w:val="superscript"/>
        </w:rPr>
        <w:t>(4,18)</w:t>
      </w:r>
      <w:r>
        <w:rPr>
          <w:rFonts w:ascii="Times New Roman" w:hAnsi="Times New Roman" w:cs="Times New Roman" w:eastAsia="Times New Roman"/>
          <w:b w:val="0"/>
          <w:i w:val="0"/>
          <w:color w:val="000000"/>
          <w:sz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vertAlign w:val="superscript"/>
        </w:rPr>
        <w:t>(18)</w:t>
      </w:r>
      <w:r>
        <w:rPr>
          <w:rFonts w:ascii="Times New Roman" w:hAnsi="Times New Roman" w:cs="Times New Roman" w:eastAsia="Times New Roman"/>
          <w:b w:val="0"/>
          <w:i w:val="0"/>
          <w:color w:val="000000"/>
          <w:sz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vertAlign w:val="superscript"/>
        </w:rPr>
        <w:t>(25)</w:t>
      </w:r>
      <w:r>
        <w:rPr>
          <w:rFonts w:ascii="Times New Roman" w:hAnsi="Times New Roman" w:cs="Times New Roman" w:eastAsia="Times New Roman"/>
          <w:b w:val="0"/>
          <w:i w:val="0"/>
          <w:color w:val="000000"/>
          <w:sz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vertAlign w:val="superscript"/>
        </w:rPr>
        <w:t>(1,17)</w:t>
      </w:r>
      <w:r>
        <w:rPr>
          <w:rFonts w:ascii="Times New Roman" w:hAnsi="Times New Roman" w:cs="Times New Roman" w:eastAsia="Times New Roman"/>
          <w:b w:val="0"/>
          <w:i w:val="0"/>
          <w:color w:val="000000"/>
          <w:sz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vertAlign w:val="superscript"/>
        </w:rPr>
        <w:t>(1,17)</w:t>
      </w:r>
      <w:r>
        <w:rPr>
          <w:rFonts w:ascii="Times New Roman" w:hAnsi="Times New Roman" w:cs="Times New Roman" w:eastAsia="Times New Roman"/>
          <w:b w:val="0"/>
          <w:i w:val="0"/>
          <w:color w:val="000000"/>
          <w:sz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vertAlign w:val="superscript"/>
        </w:rPr>
        <w:t>(20)</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vertAlign w:val="superscript"/>
        </w:rPr>
        <w:t>(26)</w:t>
      </w:r>
      <w:r>
        <w:rPr>
          <w:rFonts w:ascii="Times New Roman" w:hAnsi="Times New Roman" w:cs="Times New Roman" w:eastAsia="Times New Roman"/>
          <w:b w:val="0"/>
          <w:i w:val="0"/>
          <w:color w:val="000000"/>
          <w:sz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vertAlign w:val="superscript"/>
        </w:rPr>
        <w:t>(3,7,14)</w:t>
      </w:r>
      <w:r>
        <w:rPr>
          <w:rFonts w:ascii="Times New Roman" w:hAnsi="Times New Roman" w:cs="Times New Roman" w:eastAsia="Times New Roman"/>
          <w:b w:val="0"/>
          <w:i w:val="0"/>
          <w:color w:val="000000"/>
          <w:sz w:val="24"/>
        </w:rPr>
        <w:t>. The statistical tests were chosen to match the distributions of the two outcomes. The outlying specimen was retained and identified rather than discarded.</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vertAlign w:val="superscript"/>
        </w:rPr>
        <w:t>(10,28)</w:t>
      </w:r>
      <w:r>
        <w:rPr>
          <w:rFonts w:ascii="Times New Roman" w:hAnsi="Times New Roman" w:cs="Times New Roman" w:eastAsia="Times New Roman"/>
          <w:b w:val="0"/>
          <w:i w:val="0"/>
          <w:color w:val="000000"/>
          <w:sz w:val="24"/>
        </w:rPr>
        <w:t xml:space="preserve">. Gravimetric loss is not worn volume and is not worn anatomy </w:t>
      </w:r>
      <w:r>
        <w:rPr>
          <w:rFonts w:ascii="Times New Roman" w:hAnsi="Times New Roman" w:cs="Times New Roman" w:eastAsia="Times New Roman"/>
          <w:b w:val="0"/>
          <w:i w:val="0"/>
          <w:color w:val="000000"/>
          <w:sz w:val="24"/>
          <w:vertAlign w:val="superscript"/>
        </w:rPr>
        <w:t>(15)</w:t>
      </w:r>
      <w:r>
        <w:rPr>
          <w:rFonts w:ascii="Times New Roman" w:hAnsi="Times New Roman" w:cs="Times New Roman" w:eastAsia="Times New Roman"/>
          <w:b w:val="0"/>
          <w:i w:val="0"/>
          <w:color w:val="000000"/>
          <w:sz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vertAlign w:val="superscript"/>
        </w:rPr>
        <w:t>(8,25)</w:t>
      </w:r>
      <w:r>
        <w:rPr>
          <w:rFonts w:ascii="Times New Roman" w:hAnsi="Times New Roman" w:cs="Times New Roman" w:eastAsia="Times New Roman"/>
          <w:b w:val="0"/>
          <w:i w:val="0"/>
          <w:color w:val="000000"/>
          <w:sz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CHAPTER 6</w:t>
      </w:r>
    </w:p>
    <w:p>
      <w:pPr>
        <w:pStyle w:val="Heading1"/>
        <w:keepNext/>
        <w:widowControl/>
        <w:spacing w:before="0" w:after="240" w:line="240" w:lineRule="auto"/>
        <w:ind w:firstLine="0"/>
        <w:jc w:val="center"/>
      </w:pPr>
      <w:r>
        <w:rPr>
          <w:rFonts w:ascii="Times New Roman" w:hAnsi="Times New Roman" w:cs="Times New Roman" w:eastAsia="Times New Roman"/>
          <w:b/>
          <w:i w:val="0"/>
          <w:color w:val="000000"/>
          <w:sz w:val="32"/>
        </w:rPr>
        <w:t>CONCLUSIONS AND RECOMMENDATIONS</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6. The first null hypothesis is retained. The second is rejected.</w:t>
      </w:r>
    </w:p>
    <w:p>
      <w:pPr>
        <w:pStyle w:val="Heading2"/>
        <w:keepNext/>
        <w:widowControl/>
        <w:spacing w:before="240" w:after="120" w:line="240" w:lineRule="auto"/>
        <w:ind w:firstLine="0"/>
        <w:jc w:val="left"/>
      </w:pPr>
      <w:r>
        <w:rPr>
          <w:rFonts w:ascii="Times New Roman" w:hAnsi="Times New Roman" w:cs="Times New Roman" w:eastAsia="Times New Roman"/>
          <w:b/>
          <w:i w:val="0"/>
          <w:color w:val="000000"/>
          <w:sz w:val="26"/>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rPr>
        <w:t>Clinical practice.</w:t>
      </w:r>
      <w:r>
        <w:rPr>
          <w:rFonts w:ascii="Times New Roman" w:hAnsi="Times New Roman" w:cs="Times New Roman" w:eastAsia="Times New Roman"/>
          <w:b w:val="0"/>
          <w:i w:val="0"/>
          <w:color w:val="000000"/>
          <w:sz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rPr>
        <w:t>Further laboratory work.</w:t>
      </w:r>
      <w:r>
        <w:rPr>
          <w:rFonts w:ascii="Times New Roman" w:hAnsi="Times New Roman" w:cs="Times New Roman" w:eastAsia="Times New Roman"/>
          <w:b w:val="0"/>
          <w:i w:val="0"/>
          <w:color w:val="000000"/>
          <w:sz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rPr>
        <w:t>Clinical research.</w:t>
      </w:r>
      <w:r>
        <w:rPr>
          <w:rFonts w:ascii="Times New Roman" w:hAnsi="Times New Roman" w:cs="Times New Roman" w:eastAsia="Times New Roman"/>
          <w:b w:val="0"/>
          <w:i w:val="0"/>
          <w:color w:val="000000"/>
          <w:sz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0" w:after="240" w:line="240" w:lineRule="auto"/>
        <w:ind w:firstLine="0"/>
        <w:jc w:val="center"/>
      </w:pPr>
      <w:r>
        <w:rPr>
          <w:rFonts w:ascii="Times New Roman" w:hAnsi="Times New Roman" w:cs="Times New Roman" w:eastAsia="Times New Roman"/>
          <w:b/>
          <w:i w:val="0"/>
          <w:color w:val="000000"/>
          <w:sz w:val="32"/>
        </w:rPr>
        <w:t>CHAPTER 7</w:t>
      </w:r>
    </w:p>
    <w:p>
      <w:pPr>
        <w:pStyle w:val="Heading1"/>
        <w:keepNext/>
        <w:widowControl/>
        <w:spacing w:before="0" w:after="240" w:line="240" w:lineRule="auto"/>
        <w:ind w:firstLine="0"/>
        <w:jc w:val="center"/>
      </w:pPr>
      <w:r>
        <w:rPr>
          <w:rFonts w:ascii="Times New Roman" w:hAnsi="Times New Roman" w:cs="Times New Roman" w:eastAsia="Times New Roman"/>
          <w:b/>
          <w:i w:val="0"/>
          <w:color w:val="000000"/>
          <w:sz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Jones CS, Billington RW, Pearson GJ. The in vivo perception of roughness of restorations. Br Dent J. 2004;196</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vertAlign w:val="superscript"/>
        </w:rPr>
        <w:t>(19)</w:t>
      </w:r>
      <w:r>
        <w:rPr>
          <w:rFonts w:ascii="Times New Roman" w:hAnsi="Times New Roman" w:cs="Times New Roman" w:eastAsia="Times New Roman"/>
          <w:b w:val="0"/>
          <w:i w:val="0"/>
          <w:color w:val="000000"/>
          <w:sz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7. Sexson JC, Phillips RW. Studies on the effects of abrasives on acrylic resins. J Prosthet Dent. 1951;1</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11. Ferracane JL. Resin composite—state of the art. Dent Mater. 2011;27</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vertAlign w:val="superscript"/>
        </w:rPr>
        <w:t>(11)</w:t>
      </w:r>
      <w:r>
        <w:rPr>
          <w:rFonts w:ascii="Times New Roman" w:hAnsi="Times New Roman" w:cs="Times New Roman" w:eastAsia="Times New Roman"/>
          <w:b w:val="0"/>
          <w:i w:val="0"/>
          <w:color w:val="000000"/>
          <w:sz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vertAlign w:val="superscript"/>
        </w:rPr>
        <w:t>(14)</w:t>
      </w:r>
      <w:r>
        <w:rPr>
          <w:rFonts w:ascii="Times New Roman" w:hAnsi="Times New Roman" w:cs="Times New Roman" w:eastAsia="Times New Roman"/>
          <w:b w:val="0"/>
          <w:i w:val="0"/>
          <w:color w:val="000000"/>
          <w:sz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vertAlign w:val="superscript"/>
        </w:rPr>
        <w:t>(11)</w:t>
      </w:r>
      <w:r>
        <w:rPr>
          <w:rFonts w:ascii="Times New Roman" w:hAnsi="Times New Roman" w:cs="Times New Roman" w:eastAsia="Times New Roman"/>
          <w:b w:val="0"/>
          <w:i w:val="0"/>
          <w:color w:val="000000"/>
          <w:sz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vertAlign w:val="superscript"/>
        </w:rPr>
        <w:t>(24)</w:t>
      </w:r>
      <w:r>
        <w:rPr>
          <w:rFonts w:ascii="Times New Roman" w:hAnsi="Times New Roman" w:cs="Times New Roman" w:eastAsia="Times New Roman"/>
          <w:b w:val="0"/>
          <w:i w:val="0"/>
          <w:color w:val="000000"/>
          <w:sz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:e18.</w:t>
      </w:r>
    </w:p>
    <w:sectPr w:rsidR="00FC693F" w:rsidRPr="0006063C" w:rsidSect="00034616">
      <w:headerReference w:type="default" r:id="rId11"/>
      <w:footerReference w:type="default" r:id="rId12"/>
      <w:pgSz w:w="11906" w:h="16838"/>
      <w:pgMar w:top="1814" w:right="1247" w:bottom="1701" w:left="1701"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40" w:lineRule="auto"/>
      <w:ind w:firstLine="0"/>
      <w:jc w:val="center"/>
      <w:pBdr>
        <w:top w:val="single" w:sz="12" w:space="4" w:color="000000"/>
      </w:pBdr>
    </w:pPr>
    <w:r>
      <w:rPr>
        <w:rFonts w:ascii="Times New Roman" w:hAnsi="Times New Roman" w:cs="Times New Roman" w:eastAsia="Times New Roman"/>
        <w:b w:val="0"/>
        <w:i w:val="0"/>
        <w:color w:val="000000"/>
        <w:sz w:val="16"/>
      </w:rPr>
      <w:t>Address: P.O. Box 37, Sidi Gaber, Canal El Mahmoudia Street, Smouha, Alexandria, Egypt</w:t>
    </w:r>
  </w:p>
  <w:p>
    <w:pPr>
      <w:spacing w:before="0" w:after="0" w:line="240" w:lineRule="auto"/>
      <w:ind w:firstLine="0"/>
      <w:jc w:val="center"/>
    </w:pPr>
    <w:r>
      <w:rPr>
        <w:rFonts w:ascii="Times New Roman" w:hAnsi="Times New Roman" w:cs="Times New Roman" w:eastAsia="Times New Roman"/>
        <w:b w:val="0"/>
        <w:i w:val="0"/>
        <w:color w:val="000000"/>
        <w:sz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rPr>
      <w:t>Phone: +(203) 38 77 026    Fax: +(203) 383 0249    E-mail: Dentistry@pua.edu.eg    www.pua.edu.eg</w:t>
    </w:r>
  </w:p>
  <w:p>
    <w:pPr>
      <w:spacing w:before="40" w:after="0" w:line="240" w:lineRule="auto"/>
      <w:ind w:firstLine="0"/>
      <w:jc w:val="center"/>
    </w:pPr>
    <w:r>
      <w:rPr>
        <w:rFonts w:ascii="Times New Roman" w:hAnsi="Times New Roman" w:cs="Times New Roman" w:eastAsia="Times New Roman"/>
        <w:b w:val="0"/>
        <w:i w:val="0"/>
        <w:color w:val="000000"/>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40" w:lineRule="auto"/>
      <w:ind w:firstLine="0"/>
      <w:jc w:val="center"/>
      <w:pBdr>
        <w:top w:val="single" w:sz="12" w:space="4" w:color="000000"/>
      </w:pBdr>
    </w:pPr>
    <w:r>
      <w:rPr>
        <w:rFonts w:ascii="Times New Roman" w:hAnsi="Times New Roman" w:cs="Times New Roman" w:eastAsia="Times New Roman"/>
        <w:b w:val="0"/>
        <w:i w:val="0"/>
        <w:color w:val="000000"/>
        <w:sz w:val="16"/>
      </w:rPr>
      <w:t>Address: P.O. Box 37, Sidi Gaber, Canal El Mahmoudia Street, Smouha, Alexandria, Egypt</w:t>
    </w:r>
  </w:p>
  <w:p>
    <w:pPr>
      <w:spacing w:before="0" w:after="0" w:line="240" w:lineRule="auto"/>
      <w:ind w:firstLine="0"/>
      <w:jc w:val="center"/>
    </w:pPr>
    <w:r>
      <w:rPr>
        <w:rFonts w:ascii="Times New Roman" w:hAnsi="Times New Roman" w:cs="Times New Roman" w:eastAsia="Times New Roman"/>
        <w:b w:val="0"/>
        <w:i w:val="0"/>
        <w:color w:val="000000"/>
        <w:sz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rPr>
      <w:t>Phone: +(203) 38 77 026    Fax: +(203) 383 0249    E-mail: Dentistry@pua.edu.eg    www.pua.edu.eg</w:t>
    </w:r>
  </w:p>
  <w:p>
    <w:pPr>
      <w:spacing w:before="40" w:after="0" w:line="240" w:lineRule="auto"/>
      <w:ind w:firstLine="0"/>
      <w:jc w:val="center"/>
    </w:pPr>
    <w:r>
      <w:rPr>
        <w:rFonts w:ascii="Times New Roman" w:hAnsi="Times New Roman" w:cs="Times New Roman" w:eastAsia="Times New Roman"/>
        <w:b w:val="0"/>
        <w:i w:val="0"/>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ind w:firstLine="0"/>
      <w:jc w:val="center"/>
      <w:pBdr>
        <w:bottom w:val="single" w:sz="12" w:space="4" w:color="000000"/>
      </w:pBdr>
    </w:pPr>
    <w:r>
      <w:drawing>
        <wp:inline xmlns:a="http://schemas.openxmlformats.org/drawingml/2006/main" xmlns:pic="http://schemas.openxmlformats.org/drawingml/2006/picture">
          <wp:extent cx="5472000" cy="7296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5472000" cy="7296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ind w:firstLine="0"/>
      <w:jc w:val="center"/>
      <w:pBdr>
        <w:bottom w:val="single" w:sz="12" w:space="4" w:color="000000"/>
      </w:pBdr>
    </w:pPr>
    <w:r>
      <w:drawing>
        <wp:inline xmlns:a="http://schemas.openxmlformats.org/drawingml/2006/main" xmlns:pic="http://schemas.openxmlformats.org/drawingml/2006/picture">
          <wp:extent cx="5472000" cy="7296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5472000" cy="7296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