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0" w:after="160" w:line="240" w:lineRule="auto"/>
        <w:ind w:firstLine="0"/>
        <w:jc w:val="center"/>
      </w:pPr>
      <w:r>
        <w:drawing>
          <wp:inline xmlns:a="http://schemas.openxmlformats.org/drawingml/2006/main" xmlns:pic="http://schemas.openxmlformats.org/drawingml/2006/picture">
            <wp:extent cx="5580000" cy="868850"/>
            <wp:docPr id="1" name="Picture 1"/>
            <wp:cNvGraphicFramePr>
              <a:graphicFrameLocks noChangeAspect="1"/>
            </wp:cNvGraphicFramePr>
            <a:graphic>
              <a:graphicData uri="http://schemas.openxmlformats.org/drawingml/2006/picture">
                <pic:pic>
                  <pic:nvPicPr>
                    <pic:cNvPr id="0" name="protocol_header.png"/>
                    <pic:cNvPicPr/>
                  </pic:nvPicPr>
                  <pic:blipFill>
                    <a:blip r:embed="rId10"/>
                    <a:stretch>
                      <a:fillRect/>
                    </a:stretch>
                  </pic:blipFill>
                  <pic:spPr>
                    <a:xfrm>
                      <a:off x="0" y="0"/>
                      <a:ext cx="5580000" cy="868850"/>
                    </a:xfrm>
                    <a:prstGeom prst="rect"/>
                  </pic:spPr>
                </pic:pic>
              </a:graphicData>
            </a:graphic>
          </wp:inline>
        </w:drawing>
      </w:r>
    </w:p>
    <w:p>
      <w:pPr>
        <w:keepNext w:val="0"/>
        <w:pageBreakBefore w:val="0"/>
        <w:widowControl/>
        <w:spacing w:before="0" w:after="0" w:line="240" w:lineRule="auto"/>
        <w:ind w:firstLine="0"/>
        <w:jc w:val="center"/>
      </w:pPr>
      <w:r>
        <w:rPr>
          <w:rFonts w:ascii="Times New Roman" w:hAnsi="Times New Roman" w:eastAsia="Times New Roman"/>
          <w:b/>
          <w:i w:val="0"/>
          <w:color w:val="000000"/>
          <w:sz w:val="24"/>
        </w:rPr>
        <w:t>Faculty of Dentistry</w:t>
      </w:r>
    </w:p>
    <w:p>
      <w:pPr>
        <w:keepNext w:val="0"/>
        <w:pageBreakBefore w:val="0"/>
        <w:widowControl/>
        <w:spacing w:before="0" w:after="120" w:line="240" w:lineRule="auto"/>
        <w:ind w:firstLine="0"/>
        <w:jc w:val="center"/>
      </w:pPr>
      <w:r>
        <w:rPr>
          <w:rFonts w:ascii="Times New Roman" w:hAnsi="Times New Roman" w:eastAsia="Times New Roman"/>
          <w:b w:val="0"/>
          <w:i/>
          <w:color w:val="000000"/>
          <w:sz w:val="24"/>
        </w:rPr>
        <w:t>Department of Conservative Dentistry</w:t>
      </w:r>
    </w:p>
    <w:p>
      <w:pPr>
        <w:keepNext w:val="0"/>
        <w:pageBreakBefore w:val="0"/>
        <w:widowControl/>
        <w:spacing w:before="0" w:after="120" w:line="240" w:lineRule="auto"/>
        <w:ind w:firstLine="0"/>
        <w:jc w:val="center"/>
      </w:pPr>
      <w:r>
        <w:rPr>
          <w:rFonts w:ascii="Times New Roman" w:hAnsi="Times New Roman" w:eastAsia="Times New Roman"/>
          <w:b/>
          <w:i w:val="0"/>
          <w:color w:val="000000"/>
          <w:sz w:val="24"/>
        </w:rPr>
        <w:t>Student Code No. 202203112</w:t>
      </w:r>
    </w:p>
    <w:p>
      <w:pPr>
        <w:keepNext w:val="0"/>
        <w:pageBreakBefore w:val="0"/>
        <w:widowControl/>
        <w:spacing w:before="0" w:after="0" w:line="240" w:lineRule="auto"/>
        <w:ind w:firstLine="0"/>
        <w:jc w:val="center"/>
      </w:pPr>
      <w:r>
        <w:rPr>
          <w:rFonts w:ascii="Times New Roman" w:hAnsi="Times New Roman" w:eastAsia="Times New Roman"/>
          <w:b w:val="0"/>
          <w:i w:val="0"/>
          <w:color w:val="000000"/>
          <w:sz w:val="24"/>
        </w:rPr>
        <w:t>A Thesis submitted in partial fulfillment of the</w:t>
      </w:r>
    </w:p>
    <w:p>
      <w:pPr>
        <w:keepNext w:val="0"/>
        <w:pageBreakBefore w:val="0"/>
        <w:widowControl/>
        <w:spacing w:before="0" w:after="0" w:line="240" w:lineRule="auto"/>
        <w:ind w:firstLine="0"/>
        <w:jc w:val="center"/>
      </w:pPr>
      <w:r>
        <w:rPr>
          <w:rFonts w:ascii="Times New Roman" w:hAnsi="Times New Roman" w:eastAsia="Times New Roman"/>
          <w:b w:val="0"/>
          <w:i w:val="0"/>
          <w:color w:val="000000"/>
          <w:sz w:val="24"/>
        </w:rPr>
        <w:t>requirements for the degree of Master of Science</w:t>
      </w:r>
    </w:p>
    <w:p>
      <w:pPr>
        <w:keepNext w:val="0"/>
        <w:pageBreakBefore w:val="0"/>
        <w:widowControl/>
        <w:spacing w:before="0" w:after="120" w:line="240" w:lineRule="auto"/>
        <w:ind w:firstLine="0"/>
        <w:jc w:val="center"/>
      </w:pPr>
      <w:r>
        <w:rPr>
          <w:rFonts w:ascii="Times New Roman" w:hAnsi="Times New Roman" w:eastAsia="Times New Roman"/>
          <w:b/>
          <w:i w:val="0"/>
          <w:color w:val="000000"/>
          <w:sz w:val="24"/>
        </w:rPr>
        <w:t>in Conservative Dentistry</w:t>
      </w:r>
    </w:p>
    <w:p>
      <w:pPr>
        <w:keepNext w:val="0"/>
        <w:pageBreakBefore w:val="0"/>
        <w:widowControl/>
        <w:spacing w:before="0" w:after="120" w:line="240" w:lineRule="auto"/>
        <w:ind w:firstLine="0"/>
        <w:jc w:val="center"/>
      </w:pPr>
      <w:r>
        <w:rPr>
          <w:rFonts w:ascii="Times New Roman" w:hAnsi="Times New Roman" w:eastAsia="Times New Roman"/>
          <w:b/>
          <w:i w:val="0"/>
          <w:color w:val="000000"/>
          <w:sz w:val="24"/>
        </w:rPr>
        <w:t>Academic Year 2024–2025</w:t>
      </w:r>
    </w:p>
    <w:p>
      <w:pPr>
        <w:keepNext w:val="0"/>
        <w:pageBreakBefore w:val="0"/>
        <w:widowControl/>
        <w:spacing w:before="0" w:after="200" w:line="240" w:lineRule="auto"/>
        <w:ind w:firstLine="0"/>
        <w:jc w:val="center"/>
      </w:pPr>
      <w:r>
        <w:rPr>
          <w:rFonts w:ascii="Times New Roman" w:hAnsi="Times New Roman" w:eastAsia="Times New Roman"/>
          <w:b/>
          <w:i w:val="0"/>
          <w:color w:val="000000"/>
          <w:sz w:val="24"/>
        </w:rPr>
        <w:t>Name of Candidate: Mohamed Talaat Mohamed AbdelMoaty ElAbd</w:t>
      </w:r>
    </w:p>
    <w:p>
      <w:pPr>
        <w:keepNext w:val="0"/>
        <w:pageBreakBefore w:val="0"/>
        <w:widowControl/>
        <w:spacing w:before="0" w:after="0" w:line="240" w:lineRule="auto"/>
        <w:ind w:firstLine="0"/>
        <w:jc w:val="center"/>
      </w:pPr>
      <w:r>
        <w:rPr>
          <w:rFonts w:ascii="Times New Roman" w:hAnsi="Times New Roman" w:eastAsia="Times New Roman"/>
          <w:b/>
          <w:i w:val="0"/>
          <w:color w:val="000000"/>
          <w:sz w:val="24"/>
        </w:rPr>
        <w:t>English Title</w:t>
      </w:r>
    </w:p>
    <w:p>
      <w:pPr>
        <w:keepNext w:val="0"/>
        <w:pageBreakBefore w:val="0"/>
        <w:widowControl/>
        <w:spacing w:before="0" w:after="160" w:line="240" w:lineRule="auto"/>
        <w:ind w:firstLine="0"/>
        <w:jc w:val="center"/>
      </w:pPr>
      <w:r>
        <w:rPr>
          <w:rFonts w:ascii="Times New Roman" w:hAnsi="Times New Roman" w:eastAsia="Times New Roman"/>
          <w:b/>
          <w:i w:val="0"/>
          <w:color w:val="000000"/>
          <w:sz w:val="26"/>
        </w:rPr>
        <w:t>COMPARATIVE STUDY OF WEAR RESISTANCE AND SURFACE ROUGHNESS OF INJECTABLE VERSUS CONVENTIONAL COMPOSITE RESIN — IN VITRO STUDY</w:t>
      </w:r>
    </w:p>
    <w:p>
      <w:pPr>
        <w:keepNext w:val="0"/>
        <w:pageBreakBefore w:val="0"/>
        <w:widowControl/>
        <w:spacing w:before="0" w:after="40" w:line="240" w:lineRule="auto"/>
        <w:ind w:firstLine="0"/>
        <w:jc w:val="center"/>
      </w:pPr>
      <w:r>
        <w:rPr>
          <w:rFonts w:ascii="Times New Roman" w:hAnsi="Times New Roman" w:eastAsia="Times New Roman"/>
          <w:b/>
          <w:i w:val="0"/>
          <w:color w:val="000000"/>
          <w:sz w:val="24"/>
        </w:rPr>
        <w:t>Arabic Title</w:t>
      </w:r>
    </w:p>
    <w:p>
      <w:pPr>
        <w:keepNext w:val="0"/>
        <w:pageBreakBefore w:val="0"/>
        <w:widowControl/>
        <w:spacing w:before="0" w:after="200" w:line="240" w:lineRule="auto"/>
        <w:ind w:firstLine="0"/>
        <w:jc w:val="center"/>
        <w:bidi w:val="1"/>
      </w:pPr>
      <w:r>
        <w:rPr>
          <w:rFonts w:ascii="Noto Naskh Arabic" w:hAnsi="Noto Naskh Arabic" w:eastAsia="Noto Naskh Arabic" w:cs="Noto Naskh Arabic"/>
          <w:b/>
          <w:i w:val="0"/>
          <w:color w:val="000000"/>
          <w:sz w:val="28"/>
          <w:rtl/>
          <w:szCs w:val="28"/>
        </w:rPr>
        <w:t>دراسة مقارنة للتآكل و خشونة سطح الراتينج المركب القابل للحقن و التقليدي - دراسة في المختبر</w:t>
      </w:r>
    </w:p>
    <w:p>
      <w:pPr>
        <w:keepNext w:val="0"/>
        <w:pageBreakBefore w:val="0"/>
        <w:widowControl/>
        <w:spacing w:before="80" w:after="80" w:line="240" w:lineRule="auto"/>
        <w:ind w:firstLine="0"/>
        <w:jc w:val="center"/>
      </w:pPr>
      <w:r>
        <w:rPr>
          <w:rFonts w:ascii="Times New Roman" w:hAnsi="Times New Roman" w:eastAsia="Times New Roman"/>
          <w:b/>
          <w:i w:val="0"/>
          <w:color w:val="000000"/>
          <w:sz w:val="24"/>
        </w:rPr>
        <w:t>Supervision Committee</w:t>
      </w:r>
    </w:p>
    <w:p>
      <w:pPr>
        <w:keepNext w:val="0"/>
        <w:pageBreakBefore w:val="0"/>
        <w:widowControl/>
        <w:spacing w:before="0" w:after="0" w:line="240" w:lineRule="auto"/>
        <w:ind w:firstLine="0"/>
        <w:jc w:val="center"/>
      </w:pPr>
      <w:r>
        <w:rPr>
          <w:rFonts w:ascii="Times New Roman" w:hAnsi="Times New Roman" w:eastAsia="Times New Roman"/>
          <w:b/>
          <w:i w:val="0"/>
          <w:color w:val="000000"/>
          <w:sz w:val="24"/>
        </w:rPr>
        <w:t>1. Prof. Wegdan M. Abdel-Fattah</w:t>
      </w:r>
    </w:p>
    <w:p>
      <w:pPr>
        <w:keepNext w:val="0"/>
        <w:pageBreakBefore w:val="0"/>
        <w:widowControl/>
        <w:spacing w:before="0" w:after="0" w:line="240" w:lineRule="auto"/>
        <w:ind w:firstLine="0"/>
        <w:jc w:val="center"/>
      </w:pPr>
      <w:r>
        <w:rPr>
          <w:rFonts w:ascii="Times New Roman" w:hAnsi="Times New Roman" w:eastAsia="Times New Roman"/>
          <w:b/>
          <w:i w:val="0"/>
          <w:color w:val="000000"/>
          <w:sz w:val="24"/>
        </w:rPr>
        <w:t>2. Asst. Prof. Emad M. El-Sayed (Main supervisor)</w:t>
      </w:r>
    </w:p>
    <w:p>
      <w:pPr>
        <w:sectPr>
          <w:footerReference w:type="default" r:id="rId9"/>
          <w:pgSz w:w="11906" w:h="16838"/>
          <w:pgMar w:top="850" w:right="1417" w:bottom="1417" w:left="1701" w:header="720" w:footer="720" w:gutter="0"/>
          <w:cols w:space="720"/>
          <w:titlePg/>
          <w:docGrid w:linePitch="360"/>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SUPERVISION COMMITTEE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This thesis was carried out under the supervision of:</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1. Prof. Wegdan M. Abdel-Fattah</w:t>
      </w:r>
    </w:p>
    <w:p>
      <w:pPr>
        <w:keepNext w:val="0"/>
        <w:pageBreakBefore w:val="0"/>
        <w:widowControl/>
        <w:spacing w:before="0" w:after="240" w:line="480" w:lineRule="auto"/>
        <w:ind w:firstLine="0"/>
        <w:jc w:val="center"/>
      </w:pPr>
      <w:r>
        <w:rPr>
          <w:rFonts w:ascii="Times New Roman" w:hAnsi="Times New Roman" w:eastAsia="Times New Roman"/>
          <w:b w:val="0"/>
          <w:i/>
          <w:color w:val="000000"/>
          <w:sz w:val="24"/>
        </w:rPr>
        <w:t>Professor of Conservative Dentistry</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4"/>
        </w:rPr>
        <w:t>2. Asst. Prof. Emad M. El-Sayed</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Assistant Professor of Conservative Dentistry</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(Main supervisor)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Faculty of Dentistry, Pharos University in Alexandria.</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DECLARATION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declare that this thesis is my own work. It has not been submitted, in whole or in part, for any other degree or qualification. The experimental data are those of the laboratory study described herein. Sources used in the text are cited in the list of references.</w:t>
      </w:r>
    </w:p>
    <w:p>
      <w:pPr>
        <w:keepNext w:val="0"/>
        <w:pageBreakBefore w:val="0"/>
        <w:widowControl/>
        <w:spacing w:before="480" w:after="0" w:line="480" w:lineRule="auto"/>
        <w:ind w:firstLine="0"/>
        <w:jc w:val="center"/>
      </w:pPr>
      <w:r>
        <w:rPr>
          <w:rFonts w:ascii="Times New Roman" w:hAnsi="Times New Roman" w:eastAsia="Times New Roman"/>
          <w:b/>
          <w:i w:val="0"/>
          <w:color w:val="000000"/>
          <w:sz w:val="24"/>
        </w:rPr>
        <w:t>Mohamed Talaat Mohamed AbdelMoaty ElAbd</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Signature: …………………………     Date: …………………………</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ABSTRACT</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Background. </w:t>
      </w:r>
      <w:r>
        <w:rPr>
          <w:rFonts w:ascii="Times New Roman" w:hAnsi="Times New Roman" w:eastAsia="Times New Roman"/>
          <w:b w:val="0"/>
          <w:i w:val="0"/>
          <w:color w:val="000000"/>
          <w:sz w:val="24"/>
        </w:rPr>
        <w:t>Highly filled injectable composites are sold for load-bearing use. Their loss of mass and change in surface roughness after toothbrush abrasion still need a direct comparison with a conventional nanohybrid resin under the same laboratory conditions.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Aim. </w:t>
      </w:r>
      <w:r>
        <w:rPr>
          <w:rFonts w:ascii="Times New Roman" w:hAnsi="Times New Roman" w:eastAsia="Times New Roman"/>
          <w:b w:val="0"/>
          <w:i w:val="0"/>
          <w:color w:val="000000"/>
          <w:sz w:val="24"/>
        </w:rPr>
        <w:t>To compare percentage weight loss and arithmetic mean roughness (Ra) of Beautifil Flow Plus X F00, G-ænial Universal Injectable and Beautifil II LS after 10 000 toothbrushing cycles.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Methods. </w:t>
      </w:r>
      <w:r>
        <w:rPr>
          <w:rFonts w:ascii="Times New Roman" w:hAnsi="Times New Roman" w:eastAsia="Times New Roman"/>
          <w:b w:val="0"/>
          <w:i w:val="0"/>
          <w:color w:val="000000"/>
          <w:sz w:val="24"/>
        </w:rPr>
        <w:t>Thirty-six discs (10 mm diameter × 1 mm thick; n = 12) were brushed at 2 N in a Colgate Total slurry prepared after ISO guidance. Mass was recorded before and after abrasion. Ra was measured by contact profilometry. Percentage weight loss was compared by one-way ANOVA. Ra after brushing was compared by the Kruskal–Wallis test (α = 0.05).</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Results. </w:t>
      </w:r>
      <w:r>
        <w:rPr>
          <w:rFonts w:ascii="Times New Roman" w:hAnsi="Times New Roman" w:eastAsia="Times New Roman"/>
          <w:b w:val="0"/>
          <w:i w:val="0"/>
          <w:color w:val="000000"/>
          <w:sz w:val="24"/>
        </w:rPr>
        <w:t>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smoother than Beautifil II LS. The two injectables did not differ from each other. One Beautifil Flow Plus X F00 disc lost about 11.4 % of its mass and accounts for that group’s large standard deviation.</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Conclusions. </w:t>
      </w:r>
      <w:r>
        <w:rPr>
          <w:rFonts w:ascii="Times New Roman" w:hAnsi="Times New Roman" w:eastAsia="Times New Roman"/>
          <w:b w:val="0"/>
          <w:i w:val="0"/>
          <w:color w:val="000000"/>
          <w:sz w:val="24"/>
        </w:rPr>
        <w:t>Under this toothbrushing protocol, gravimetric wear did not differ significantly among the three resins. Both injectable materials remained significantly smoother than the conventional nanohybrid. The injectable means stayed below the 0.2 µm plaque threshold. The nanohybrid mean sat on that line.</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Injectable composite; nanohybrid composite; toothbrush abrasion; wear; surface roughness; giomer.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CONTENTS</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1  Introduction</w:t>
        <w:tab/>
        <w:t>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1.1 Aim of the Study</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1.2 Objectives</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1.3 Null Hypotheses</w:t>
        <w:tab/>
        <w:t>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2  Review of Literature</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2.1 Wear of Restorative Resins</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2.2 Surface Roughness</w:t>
        <w:tab/>
        <w:t>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2.3 Injectable Composite Resins</w:t>
        <w:tab/>
        <w:t>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2.4 Conventional Nanohybrid Resins and Giomers</w:t>
        <w:tab/>
        <w:t>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2.5 Statement of the Problem</w:t>
        <w:tab/>
        <w:t>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3  Materials and Methods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3.1 Study Design and Sample</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3.2 Materials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3.3 Specimen Preparation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3.4 Baseline Measurements</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3.5 Toothbrushing Protocol</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3.6 Post-test Evaluation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3.7 Statistical Analysis</w:t>
        <w:tab/>
        <w:t>9</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4  Results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4.1 Weight Loss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4.2 Surface Roughness</w:t>
        <w:tab/>
        <w:t>11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4.3 Summary of Results</w:t>
        <w:tab/>
        <w:t>12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5  Discussion</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5.1 Weight Loss</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5.2 Surface Roughness</w:t>
        <w:tab/>
        <w:t>14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5.3 Clinical Implications</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5.4 Strengths of the Study</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5.5 Limitations of the Study</w:t>
        <w:tab/>
        <w:t>16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5.6 Concluding Remarks</w:t>
        <w:tab/>
        <w:t>16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6  Conclusions and Recommendations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6.1 Conclusions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6.2 Recommendations</w:t>
        <w:tab/>
        <w:t>17</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7  References</w:t>
        <w:tab/>
        <w:t>19</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TABLES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3.1  Brand, type, matrix, filler and load of the resin composites used in the study</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4.1  Mean weight before and after simulated toothbrushing and percentage weight loss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4.2  Mean surface roughness (Ra) before and after simulated toothbrushing and ΔRa</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4.3  Absolute weight loss after 10 000 brushing cycles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ABBREVIATIONS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ANOVA</w:t>
      </w:r>
      <w:r>
        <w:rPr>
          <w:rFonts w:ascii="Times New Roman" w:hAnsi="Times New Roman" w:eastAsia="Times New Roman"/>
          <w:b w:val="0"/>
          <w:i w:val="0"/>
          <w:color w:val="000000"/>
          <w:sz w:val="24"/>
        </w:rPr>
        <w:t xml:space="preserve">    Analysis of variance</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ISO</w:t>
      </w:r>
      <w:r>
        <w:rPr>
          <w:rFonts w:ascii="Times New Roman" w:hAnsi="Times New Roman" w:eastAsia="Times New Roman"/>
          <w:b w:val="0"/>
          <w:i w:val="0"/>
          <w:color w:val="000000"/>
          <w:sz w:val="24"/>
        </w:rPr>
        <w:t xml:space="preserve">    International Organization for Standardization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Ra</w:t>
      </w:r>
      <w:r>
        <w:rPr>
          <w:rFonts w:ascii="Times New Roman" w:hAnsi="Times New Roman" w:eastAsia="Times New Roman"/>
          <w:b w:val="0"/>
          <w:i w:val="0"/>
          <w:color w:val="000000"/>
          <w:sz w:val="24"/>
        </w:rPr>
        <w:t xml:space="preserve">    Arithmetic mean roughness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SD</w:t>
      </w:r>
      <w:r>
        <w:rPr>
          <w:rFonts w:ascii="Times New Roman" w:hAnsi="Times New Roman" w:eastAsia="Times New Roman"/>
          <w:b w:val="0"/>
          <w:i w:val="0"/>
          <w:color w:val="000000"/>
          <w:sz w:val="24"/>
        </w:rPr>
        <w:t xml:space="preserve">    Standard deviation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S-PRG</w:t>
      </w:r>
      <w:r>
        <w:rPr>
          <w:rFonts w:ascii="Times New Roman" w:hAnsi="Times New Roman" w:eastAsia="Times New Roman"/>
          <w:b w:val="0"/>
          <w:i w:val="0"/>
          <w:color w:val="000000"/>
          <w:sz w:val="24"/>
        </w:rPr>
        <w:t xml:space="preserve">    Surface pre-reacted glass-ionomer</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ΔRa</w:t>
      </w:r>
      <w:r>
        <w:rPr>
          <w:rFonts w:ascii="Times New Roman" w:hAnsi="Times New Roman" w:eastAsia="Times New Roman"/>
          <w:b w:val="0"/>
          <w:i w:val="0"/>
          <w:color w:val="000000"/>
          <w:sz w:val="24"/>
        </w:rPr>
        <w:t xml:space="preserve">    Change in Ra (after − before)</w:t>
      </w:r>
    </w:p>
    <w:p>
      <w:pPr>
        <w:sectPr>
          <w:footerReference w:type="default" r:id="rId11"/>
          <w:pgSz w:w="11906" w:h="16838"/>
          <w:pgMar w:top="1417" w:right="1417" w:bottom="1417" w:left="1701" w:header="720" w:footer="720" w:gutter="0"/>
          <w:cols w:space="720"/>
          <w:titlePg/>
          <w:docGrid w:linePitch="360"/>
          <w:pgNumType w:fmt="lowerRoman" w:start="1"/>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CHAPTER 1</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INTRODUCTION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Resin composites fail when the surface wears away or when what is left is rough. Wear flattens anatomy and can shorten the vertical dimension. Roughness holds plaque, takes stain and favours caries at the margin (1,2). Toothbrushing is a daily source of both. Dentifrice abrasive works as a third body. The resin-rich skin is removed first. Filler then stands proud or is pulled out. Mass falls. Ra rises (3,4).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Highly filled injectable resins were made so that a syringeable paste could be used in cavities that used to be reserved for packable composites. Filler load is raised, particle size is reduced, and silane treatment is improved until the paste still flows but no longer behaves like a classical low-filled flowable (5,6). G-ænial Universal Injectable (GC Corporation, Tokyo, Japan) and Beautifil Flow Plus X F00 (Shofu Inc., Kyoto, Japan) are sold on that claim. Beautifil II LS (Shofu Inc.) is a sculptable low-shrinkage nanohybrid giomer and is the conventional control in this work.</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Independent data on these three products, tested together, under three-body toothbrush abrasion, are thin. Two-body chewing-simulator studies are not a substitute. They load a steatite antagonist at about 49 N. They measure volume, not toothbrush slurry (6). The present test is the other wear mode: ISO toothbrushing guidance, 2 N, 10 000 strokes, taken as about one year of twice-daily brushing (3,7,8).</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An Ra of 0.2 µm is the usual threshold above which plaque retention rises (1). Surfaces smoother than that do not keep less plaque in a way that matters clinically. A restoration rougher than about 0.5 µm can be felt by the tongue (2). Those two numbers are the clinical frame for the roughness results.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1.1 Aim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 compare wear resistance, as percentage weight loss, and surface roughness (Ra) of two highly filled injectable composites with a conventional nanohybrid composite after standardised toothbrushing.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1.2 Objectives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To compare the three materials with the statistical tests appropriate to each outcome.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1.3 Null Hypotheses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2</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REVIEW OF LITERATURE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2.1 Wear of Restorative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is progressive loss of substance from two surfaces in relative motion (9). In the mouth the process is mixed. Attrition is two-body contact. Abrasion at non-contact sites is usually three-body, with food or toothpaste as the loose agent. Corrosion and fatigue run beside both (9,10). Laboratory ranking is useful. It is not a clinical lifetime.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Filler volume, size, shape, inter-particle spacing, the resin, the degree of conversion and the silane layer all matter (11,12). Condon and Ferracane varied those three factors in an oral-wear simulator. Wear rose once filler volume fell below 48 vol%. It rose in a straight line as the fraction of silane-treated filler was cut. Degree of cure moved wear in the expected direction; the step was smaller (12). Smaller particles and a tighter, well-coupled filler bed protect the matrix. Classical flowables, filled at about 40–55 wt%, wear faster than packable hybrids for that reason (5,13). Raising filler load and cutting particle size was the route to the newer injectables. G-ænial Universal Injectable is listed at 50 vol%. That sits just above Condon’s 48 vol% step. Beautifil II LS is listed at 83 wt%.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tests follow ISO/TR 14569-1. The brush load should lie between 0.5 N and 2.5 N. The slurry is made from a dentifrice that meets ISO 11609 (3,14). Ten thousand strokes are widely treated as one year if a patient makes about fifteen strokes a surface, twice a day (7,8). The conversion is an estimate. It is still the figure most toothbrushing papers use.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may be read as volume, profile depth or mass. Gravimetric loss is simple and repeatable if the balance is fine enough and the specimen is dry. It does not describe the shape of the worn surface. Volume from a scan does. The two numbers answer different questions (10,15).</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is the mean absolute deviation of the profile from the centre line. It is the parameter almost every dental paper reports. Contact stylus profilometry remains a standard method. Optical methods add a map but are not required to rank Ra (4,16).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Bollen, Lambrechts and Quirynen set 0.2 µm as the plaque threshold (1). Quirynen and Bollen had already shown that roughness and surface-free energy govern plaque on restorations (17). Jones, Billington and Pearson later asked volunteers to rank composite discs with the tongue. Discrimination sat between 0.25 µm and 0.50 µm. They advised finishing to no more than 0.50 µm if the patient is not to feel the surface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raises Ra. Heintze and co-workers showed that the rise depends on material, time and load (4). Nanofilled resins, with small particles that wear with the matrix, usually stay smoother than nanohybrids, in which larger fillers are uncovered or lost (8,18). The toothpaste matters. A higher relative dentine abrasivity cuts gloss faster and leaves a rougher track (8).</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2.3 Injectable Composite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Early flowables were not intended for occlusal load (13). The current injectables are a different paste. G-ænial Universal Injectable is filled to about 69 wt% (50 vol%) with ultrafine barium glass and silica, mean size about 150 nm, in a UDMA / Bis-MEPP / TEGDMA matrix (6,18). Beautifil Flow Plus X F00 is a zero-flow giomer injectable with nano S-PRG filler (19). It is not the same product as Beautifil Flow Plus F00 used in several earlier papers (6).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The two injectables lost less volume than the paste and the classical flowable. Flexural strength was also higher. The two injectables did not differ from each other (6). That is occlusal contact wear, dry, measured as volume. It cannot be read as toothbrush mass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Hasan, Eltoukhy and Zaghloul brushed G-ænial Universal Injectable, a nanofilled paste and a nanohybrid. After times taken as six months and one year, the injectable had the lowest Ra. The nanohybrid was the roughest. The two nanofilled resins did not differ (18). That design is closer to the present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Tzimas and co-workers reviewed highly filled flowables used as sole restoratives. Ra values were often statistically comparable to nanohybrid pastes, and sometimes lower, depending on filler packing and polish (20). Material-to-material scatter remains the rule.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2.4 Conventional Nanohybrid Resins and Giomers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Nanohybrid pastes mix nano-sized particles with larger submicron or micron fillers. Total inorganic load commonly exceeds 70–80 wt% (11). Beautifil II LS is such a paste. Filler load is 83 wt%. The resin uses an SRS monomer aimed at low shrinkage. The filler includes S-PRG glass (19). S-PRG releases ions, including fluoride. The same ion exchange can roughen the surface in acid (21). Larger and irregular fillers, once the matrix is brushed off, leave a higher Ra than a uniform nano-filled injectable (18). An eight-year clinical series of a giomer paste (Beautifil with a self-etch primer) showed acceptable retention and little secondary caries in the teeth that were still available for recall (22). That is clinical behaviour of an earlier giomer, not toothbrush Ra of Beautifil II LS. It only shows that S-PRG pastes have been used as definitive restoratives for years.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Packable nanohybrids remain the clinical reference for posterior direct work. They are harder to adapt in a narrow box and more likely to trap voids. The injectable products were written to close that handling gap without giving up wear resistance. Whether they do so under toothbrush abrasion is the question of this thesis.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2.5 Statement of the Problem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experiment fills.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3</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MATERIALS AND METHODS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 Study Design and Sample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study was an in-vitro comparison of three resin composites. Thirty-six discs were prepared, 10 mm in diameter and 1 mm thick, in a CAD/CAM Teflon mould. The discs were allocated at random to three groups of twelve. A first G*Power estimate had given ten discs a group. Twelve were used to raise power.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3.2 Materials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G-ænial Universal Injectable, a highly filled injectable composite (GC Corporation, Tokyo,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Beautifil Flow Plus X F00, a highly filled injectable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Beautifil II LS, a conventional nanohybrid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Colgate Total toothpaste.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Distilled water.</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composition of the three resin composites is summarised in Table 3.1.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type, matrix, filler and load of the resin composites used in the study</w:t>
      </w:r>
    </w:p>
    <w:tbl>
      <w:tblPr>
        <w:tblW w:type="auto" w:w="0"/>
        <w:jc w:val="center"/>
        <w:tblLayout w:type="autofit"/>
        <w:tblLook w:firstColumn="1" w:firstRow="1" w:lastColumn="0" w:lastRow="0" w:noHBand="0" w:noVBand="1" w:val="04A0"/>
      </w:tblPr>
      <w:tblGrid>
        <w:gridCol w:w="2197"/>
        <w:gridCol w:w="2197"/>
        <w:gridCol w:w="2197"/>
        <w:gridCol w:w="2197"/>
      </w:tblGrid>
      <w:tr>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Type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Matrix and filler</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Load</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Nanofilled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UDMA, Bis-MEPP, TEGDMA; ultrafine barium glass and silica (~150 nm)</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69 wt% / 50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Giomer injectable, zero flow</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Dimethacrylate resin; nano S-PRG filler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Highly filled injectable</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Nanohybrid giomer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SRS monomer; S-PRG and pre-polymerised fillers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83 wt%</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Manufacturers: GC Corporation, Tokyo, Japan; Shofu Inc., Kyoto, Japan.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3.3 Specimen Preparation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material was placed in the Teflon mould. A matrix strip and a glass plate were used to exclude air from the surface and to keep the disc flat. Polymerisation followed the manufacturer’s instructions for that product. Flash was removed. The discs were identified by group and stored in distilled water until testing.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3.4 Baseline Measurements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disc was dried and weighed on an analytical balance. The recorded masses run to 0.0001 g; the balance therefore read to 0.1 mg. Ra was measured with a contact profilometer on the test face. The value used for analysis was the mean of the traces taken on that disc.</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3.5 Toothbrushing Protocol</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Discs were mounted in a toothbrushing simulator. A slurry of Colgate Total and water was prepared after ISO 11609 and ISO/TR 14569-1 (3,14). The brush load was 2 N, inside the ISO range of 0.5–2.5 N (3). Each disc received 10 000 cycles. That count is the conventional laboratory equivalent of one year of twice-daily brushing (7,8). Fresh slurry was used as required to keep the abrasive present. After the run the discs were rinsed free of paste.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3.6 Post-test Evaluation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and the same drying habit as at baseline.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was calculated 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 [(W₁ − W₂) / W₁] × 100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where W₁ and W₂ are mass before and after brushing.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(mg) = (W₁ − W₂) × 1000.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ΔRa (µm) = Ra after − Ra before.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3.7 Statistical Analysis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Descriptive values are presented as mean ± standard deviation. Percentage weight loss was compared among groups by one-way analysis of variance (ANOVA). Ra after brushing was compared by the Kruskal–Wallis test, followed by pairwise post-hoc comparisons. The level of significance was set at α = 0.05.</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4</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mass before and after brushing, and percentage loss, are given in Table 4.1.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before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after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loss (%)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0.1602 ± 0.0074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0.1576 ± 0.0031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1.49 ± 3.14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0.1630 ± 0.0102</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0.1619 ± 0.0106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0.65 ± 0.37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0.329†</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0.2313 ± 0.0154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0.2303 ± 0.0156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0.41 ± 0.25</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One-way ANOVA.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That follows from filler load and density, not from a difference in disc size.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not rejected. Numerically, Beautifil II LS lost the least (0.41 ± 0.25 %), then G-ænial Universal Injectable (0.65 ± 0.37 %), then Beautifil Flow Plus X F00 (1.49 ± 3.14 %). The last standard deviation is an order larger than the other two.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is given in Table 4.3, after the roughness data, because percentage loss on a lighter disc can exaggerate a small mass change.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4.2.</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before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after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ΔRa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0.038 ± 0.011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0.104 ± 0.017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0.066 ± 0.021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0.054 ± 0.010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0.100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0.046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&lt; 0.001‡</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0.119 ± 0.054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0.194 ± 0.050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0.075 ± 0.066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Kruskal–Wallis test. Pairwise tests: each injectable versus Beautifil II LS, p &lt; 0.001; the two injectables, not significant.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Every group roughened. ΔRa was 0.066 ± 0.021 µm, 0.046 ± 0.023 µm and 0.075 ± 0.066 µm. After 10 000 cycles the means were 0.104 ± 0.017 µm (Beautifil Flow Plus X F00), 0.100 ± 0.023 µm (G-ænial Universal Injectable) and 0.194 ± 0.050 µm (Beautifil II 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rejected. Pairwise tests separated Beautifil II LS from each injectable. They did not separate the two injectables.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Relative to the 0.2 µm plaque line (1), both injectable means were below it. The Beautifil II LS mean was 0.194 µm, on the line. Its standard deviation of 0.050 µm means some discs in that group crossed 0.2 µm. All three means were well below 0.50 µm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weight loss is set out in Table 4.3.</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2929"/>
        <w:gridCol w:w="2929"/>
        <w:gridCol w:w="2929"/>
      </w:tblGrid>
      <w:tr>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Absolute weight loss (mg) Mean ± SD</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Range (mg)</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2.58 ± 5.91</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20.7</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1.07 ± 0.62</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1.9</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0.95 ± 0.58</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 – 1.8</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Values are mean ± standard deviation. The large standard deviation in Beautifil Flow Plus X F00 comes from one disc that lost about 11.4 % of its mass (20.7 mg). The rest of that group, and both other groups, sit in a band of roughly 0.1–1.9 mg.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4.3 Summary of 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Absolute loss in the two well-behaved groups and in most of the Beautifil Flow Plus X F00 discs was about 1 mg. One disc in that group did not. After the same abrasion both injectables were smoother than Beautifil II LS and did not differ from each other.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5</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DISCUSSION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null hypothesis stands. The second does not. The three resins lost a statistically similar fraction of their mass. They did not finish with a similar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the outlier disc (about 11.4 %, 20.7 mg). Residual variance rises. Power falls. The other eleven discs in that group, and the twenty-four discs in the other groups, lost between 0.1 mg and 1.9 mg. On that restricted view the three pastes are close.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started heavier. Percentage loss on a heavier disc is a smaller number for the same milligrams shed. Absolute loss treats that fairly: 0.95 ± 0.58 mg against 1.07 ± 0.62 mg for G-ænial Universal Injectable. Those two means are near each other. The injectable with the nano-filled barium-glass bed did not shed more mass than the 83 wt% nanohybrid under this slurry.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friendly to injectables. The test is not the same test. They used 200 000 chewing cycles, 49 N and a steatite ball. They did not use toothpaste. They measured volume. Beautifil Flow Plus F00 is also not Beautifil Flow Plus X F00. Agreement can be stated only as a general remark: highly filled injectables are not automatically the weaker partner in a wear assay.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Why one disc lost 20.7 mg is not known from the laboratory record used here. A void, a soft under-cured layer, or a weighing error would all produce that point. The value was not dropped. It is footnoted in Table 4.3. Any later re-analysis that excludes it must say so.</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roughness result is cleaner. The nanohybrid was rougher before brushing and rougher after it. ΔRa was also largest in that group, with a wide spread (0.075 ± 0.066 µm). G-ænial Universal Injectable changed the least (0.046 ± 0.023 µm). Beautifil Flow Plus X F00 started smoothest and ended statistically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That pattern fits filler geometry. A nanofilled injectable with ~150 nm barium glass and silica wears more evenly (6,18). A nanohybrid with larger S-PRG and pre-polymerised particles loses matrix first. The large fillers stand up or leave pits (4,18). Hasan, Eltoukhy and Zaghloul saw the same order after simulated brushing: G-ænial Universal Injectable smoother than a nanohybrid; two nanofilled resins not different from each other (18). Heintze et al. had already shown that hybrid and microhybrid pastes roughen more with load and time than microfilled resins (4).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0.2 µm line is the clinically useful one (1,17). Both injectables ended near 0.10 µm. They remain, on the mean, in the range where further smoothing is not expected to cut plaque. Beautifil II LS ended at 0.194 ± 0.050 µm. The mean is acceptable on the published threshold.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5.3 Clinical Implications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Within this protocol the two injectables may be used where toothbrush abrasion is the wear of interest without paying a roughness penalty against Beautifil II LS. They do not, on these data, wear less. They finish smoother. That matters on free cleanable surfaces and at margins. It does not license a claim that they survive occlusal contact better. Occlusal contact was not tested.</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may reflect filler size, polish, or both. If the nanohybrid was left with a coarser finish, part of the after-brushing difference was already present at baseline. The after-brushing test is still valid. The groups were compared as they stood after the same abrasion.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5.4 Strengths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products are current commercial pastes, including the X-generation Flow Plus. Sample size was twelve, not ten. Both mass and Ra were read on the same discs. The brushing load and cycle count sit on published ISO and Sexson–Phillips figures (3,7). The statistical tests match the distributions used in the locked spreadsheet. The outlier was kept and named.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5.5 Limitations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test is in vitro. Saliva, pH, enzymes and occlusal load are missing. Gravimetric loss is not worn volume and is not worn anatomy. One dentifrice was used. There are no scanning electron images, so filler plucking is an inference from the roughness numbers, not a micrograph. Ten thousand cycles are one conventional year, not a clinical year. Disc geometry is not a Class II box.</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5.6 Concluding Remarks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injectables were smoother. Beautifil II LS sat on the plaque threshold. That is the result. It should not be enlarged into a general ranking of injectable versus nanohybrid outside toothbrush abrasion.</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6</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CONCLUSIONS AND RECOMMENDATIONS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6.1 Conclusions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smoother than Beautifil II LS. The two injectables did not differ from each other.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Mean Ra of both injectables remained below 0.2 µm. Mean Ra of Beautifil II LS was 0.194 µm.</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One Beautifil Flow Plus X F00 disc lost about 11.4 % of its mass and is the source of that group’s large standard deviation.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6.2 Recommendations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smoothness after hygiene are the concern, either injectable tested here may be considered beside Beautifil II LS. The data do not show less wear. They show a smoother surface after this brushing model.</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SEM of the worn face. State the polish sequence, the brush and the slurry ratio in full. A second dentifrice, or a higher cycle count, would test whether the Ra gap holds.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say whether the 0.10 µm versus 0.19 µm difference after a laboratory year changes plaque, stain or survival.</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7</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REFERENCES</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11. Ferracane JL. Resin composite—state of the art. Dent Mater. 2011;27(1):29-38.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16. International Organization for Standardization. ISO 4049:2019. Dentistry — Polymer-based restorative materials. Geneva: ISO; 2019.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19. Shofu Inc. Beautifil II LS product information; Beautifil Flow Plus X product information. Kyoto: Shofu.</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sectPr w:rsidR="00FC693F" w:rsidRPr="0006063C" w:rsidSect="00034616">
      <w:footerReference w:type="default" r:id="rId12"/>
      <w:pgSz w:w="11906" w:h="16838"/>
      <w:pgMar w:top="1417" w:right="1417" w:bottom="1417" w:left="1701"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line="48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jc w:val="left"/>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jc w:val="left"/>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