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24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72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280" w:after="200" w:lineRule="auto" w:line="312"/>
        <w:ind w:firstLine="0"/>
        <w:jc w:val="left"/>
      </w:pPr>
      <w:r>
        <w:rPr>
          <w:rFonts w:ascii="Times New Roman" w:hAnsi="Times New Roman" w:cs="Times New Roman" w:eastAsia="Times New Roman"/>
          <w:b/>
          <w:i/>
          <w:color w:val="000000"/>
          <w:sz w:val="24"/>
          <w:szCs w:val="24"/>
        </w:rPr>
        <w:t>English Title:</w:t>
      </w:r>
    </w:p>
    <w:p>
      <w:pPr>
        <w:widowControl/>
        <w:spacing w:before="24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240" w:after="160" w:lineRule="auto" w:line="312"/>
        <w:ind w:firstLine="0"/>
        <w:jc w:val="left"/>
      </w:pPr>
      <w:r>
        <w:rPr>
          <w:rFonts w:ascii="Times New Roman" w:hAnsi="Times New Roman" w:cs="Times New Roman" w:eastAsia="Times New Roman"/>
          <w:b/>
          <w:i/>
          <w:color w:val="000000"/>
          <w:sz w:val="24"/>
          <w:szCs w:val="24"/>
        </w:rPr>
        <w:t>Arabic Title:</w:t>
      </w:r>
    </w:p>
    <w:p>
      <w:pPr>
        <w:widowControl/>
        <w:spacing w:before="20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200" w:after="32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r>
        <w:br w:type="page"/>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ROLE OF SUPERVISORS</w:t>
      </w:r>
    </w:p>
    <w:p>
      <w:pPr>
        <w:keepNext/>
        <w:widowControl/>
        <w:spacing w:before="0" w:after="120" w:line="240" w:lineRule="auto"/>
        <w:ind w:firstLine="0"/>
        <w:jc w:val="both"/>
      </w:pP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ACKNOWLEDGEMENTS</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CONTENTS</w:t>
      </w:r>
    </w:p>
    <w:p>
      <w:pPr>
        <w:keepNext/>
        <w:widowControl/>
        <w:spacing w:before="0" w:after="120" w:line="240" w:lineRule="auto"/>
        <w:ind w:firstLine="0"/>
        <w:jc w:val="both"/>
      </w:pP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38</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LIST OF TABLES</w:t>
      </w:r>
    </w:p>
    <w:p>
      <w:pPr>
        <w:keepNext/>
        <w:widowControl/>
        <w:spacing w:before="0" w:after="120" w:line="240" w:lineRule="auto"/>
        <w:ind w:firstLine="0"/>
        <w:jc w:val="both"/>
      </w:pP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27</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LIST OF FIGURES</w:t>
      </w:r>
    </w:p>
    <w:p>
      <w:pPr>
        <w:keepNext/>
        <w:widowControl/>
        <w:spacing w:before="0" w:after="120" w:line="240" w:lineRule="auto"/>
        <w:ind w:firstLine="0"/>
        <w:jc w:val="both"/>
      </w:pP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29</w:t>
      </w:r>
    </w:p>
    <w:p>
      <w:pPr>
        <w:pStyle w:val="Heading1"/>
        <w:keepNext/>
        <w:pageBreakBefore/>
        <w:widowControl/>
        <w:spacing w:before="360" w:after="1440" w:line="240" w:lineRule="auto"/>
        <w:ind w:firstLine="0"/>
        <w:jc w:val="center"/>
      </w:pPr>
      <w:r>
        <w:rPr>
          <w:rFonts w:ascii="Times New Roman" w:hAnsi="Times New Roman" w:cs="Times New Roman" w:eastAsia="Times New Roman"/>
          <w:b/>
          <w:i w:val="0"/>
          <w:color w:val="000000"/>
          <w:sz w:val="32"/>
          <w:szCs w:val="32"/>
        </w:rPr>
        <w:t>LIST OF ABBREVIATIONS</w:t>
      </w:r>
    </w:p>
    <w:p>
      <w:pPr>
        <w:keepNext/>
        <w:widowControl/>
        <w:spacing w:before="0" w:after="120" w:line="240" w:lineRule="auto"/>
        <w:ind w:firstLine="0"/>
        <w:jc w:val="both"/>
      </w:pPr>
    </w:p>
    <w:tbl>
      <w:tblPr>
        <w:jc w:val="center"/>
        <w:tblLook w:firstColumn="1" w:firstRow="1" w:lastColumn="0" w:lastRow="0" w:noHBand="0" w:noVBand="1" w:val="04A0"/>
        <w:tblW w:w="8958" w:type="dxa"/>
        <w:tblLayout w:type="fixed"/>
      </w:tblPr>
      <w:tblGrid>
        <w:gridCol w:w="2154"/>
        <w:gridCol w:w="6804"/>
      </w:tblGrid>
      <w:tr>
        <w:trPr>
          <w:cantSplit/>
          <w:tblHeader/>
          <w:trHeight w:val="340" w:hRule="atLeast"/>
        </w:trPr>
        <w:tc>
          <w:tcPr>
            <w:tcW w:type="dxa" w:w="2154"/>
            <w:tcW w:w="2154" w:type="dxa"/>
            <w:noWrap/>
            <w:vAlign w:val="center"/>
            <w:tcMar>
              <w:top w:w="80" w:type="dxa"/>
              <w:left w:w="80" w:type="dxa"/>
              <w:bottom w:w="80" w:type="dxa"/>
              <w:right w:w="80" w:type="dxa"/>
            </w:tcMar>
            <w:shd w:val="clear" w:color="auto" w:fill="E7E6E6"/>
            <w:tcBorders>
              <w:top w:val="single" w:sz="18" w:space="0" w:color="000000"/>
              <w:left w:val="nil" w:sz="0" w:space="0" w:color="auto"/>
              <w:bottom w:val="single" w:sz="12"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Abbreviation</w:t>
            </w:r>
          </w:p>
        </w:tc>
        <w:tc>
          <w:tcPr>
            <w:tcW w:type="dxa" w:w="6803"/>
            <w:tcW w:w="6804" w:type="dxa"/>
            <w:vAlign w:val="center"/>
            <w:tcMar>
              <w:top w:w="80" w:type="dxa"/>
              <w:left w:w="80" w:type="dxa"/>
              <w:bottom w:w="80" w:type="dxa"/>
              <w:right w:w="80" w:type="dxa"/>
            </w:tcMar>
            <w:shd w:val="clear" w:color="auto" w:fill="E7E6E6"/>
            <w:tcBorders>
              <w:top w:val="single" w:sz="18" w:space="0" w:color="000000"/>
              <w:left w:val="nil" w:sz="0" w:space="0" w:color="auto"/>
              <w:bottom w:val="single" w:sz="12"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Meaning</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ANOVA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analysis of variance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CAD/CAM</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computer-aided design / computer-aided manufacture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ISO</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International Organization for Standardization</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LED</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light-emitting diode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Ra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arithmetic mean roughness</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RDA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relative dentine abrasivity</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SD</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standard deviation</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S-PRG</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surface pre-reacted glass-ionomer</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vol%</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percentage by volume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ΔRa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change in Ra (after − before)</w:t>
            </w:r>
          </w:p>
        </w:tc>
      </w:tr>
    </w:tbl>
    <w:p>
      <w:pPr>
        <w:widowControl/>
        <w:spacing w:before="0" w:after="240" w:line="240" w:lineRule="auto"/>
        <w:ind w:firstLine="0"/>
        <w:jc w:val="both"/>
      </w:pPr>
    </w:p>
    <w:p>
      <w:pPr>
        <w:pStyle w:val="Heading1"/>
        <w:keepNext/>
        <w:pageBreakBefore/>
        <w:widowControl/>
        <w:spacing w:before="360" w:after="1680" w:line="240" w:lineRule="auto"/>
        <w:ind w:firstLine="0"/>
        <w:jc w:val="center"/>
      </w:pPr>
      <w:r>
        <w:rPr>
          <w:rFonts w:ascii="Times New Roman" w:hAnsi="Times New Roman" w:cs="Times New Roman" w:eastAsia="Times New Roman"/>
          <w:b/>
          <w:i w:val="0"/>
          <w:color w:val="000000"/>
          <w:sz w:val="32"/>
          <w:szCs w:val="32"/>
        </w:rPr>
        <w:t>ABSTRACT</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360" w:after="1680" w:line="240" w:lineRule="auto"/>
        <w:ind w:firstLine="0"/>
        <w:jc w:val="center"/>
      </w:pPr>
      <w:r>
        <w:rPr>
          <w:rFonts w:ascii="Times New Roman" w:hAnsi="Times New Roman" w:cs="Times New Roman" w:eastAsia="Times New Roman"/>
          <w:b/>
          <w:i w:val="0"/>
          <w:color w:val="000000"/>
          <w:sz w:val="32"/>
          <w:szCs w:val="32"/>
        </w:rPr>
        <w:t>INTRODUCTION</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REVIEW OF LITERATURE</w:t>
      </w:r>
    </w:p>
    <w:p>
      <w:pPr>
        <w:keepNext/>
        <w:widowControl/>
        <w:spacing w:before="0" w:after="120" w:line="240" w:lineRule="auto"/>
        <w:ind w:firstLine="0"/>
        <w:jc w:val="both"/>
      </w:pP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MATERIALS AND METHODS</w:t>
      </w:r>
    </w:p>
    <w:p>
      <w:pPr>
        <w:keepNext/>
        <w:widowControl/>
        <w:spacing w:before="0" w:after="120" w:line="240" w:lineRule="auto"/>
        <w:ind w:firstLine="0"/>
        <w:jc w:val="both"/>
      </w:pP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jc w:val="center"/>
        <w:tblLook w:firstColumn="1" w:firstRow="1" w:lastColumn="0" w:lastRow="0" w:noHBand="0" w:noVBand="1" w:val="04A0"/>
        <w:tblW w:w="8958" w:type="dxa"/>
        <w:tblLayout w:type="fixed"/>
      </w:tblPr>
      <w:tblGrid>
        <w:gridCol w:w="1445"/>
        <w:gridCol w:w="1247"/>
        <w:gridCol w:w="1814"/>
        <w:gridCol w:w="1871"/>
        <w:gridCol w:w="963"/>
        <w:gridCol w:w="1615"/>
      </w:tblGrid>
      <w:tr>
        <w:trPr>
          <w:cantSplit/>
          <w:tblHeader/>
        </w:trPr>
        <w:tc>
          <w:tcPr>
            <w:tcW w:type="dxa" w:w="1446"/>
            <w:tcW w:w="144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w:t>
            </w:r>
          </w:p>
        </w:tc>
        <w:tc>
          <w:tcPr>
            <w:tcW w:type="dxa" w:w="1247"/>
            <w:tcW w:w="1247"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Type</w:t>
            </w:r>
          </w:p>
        </w:tc>
        <w:tc>
          <w:tcPr>
            <w:tcW w:type="dxa" w:w="1814"/>
            <w:tcW w:w="181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Matrix</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Filler</w:t>
            </w:r>
          </w:p>
        </w:tc>
        <w:tc>
          <w:tcPr>
            <w:tcW w:type="dxa" w:w="964"/>
            <w:tcW w:w="963"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Load</w:t>
            </w:r>
          </w:p>
        </w:tc>
        <w:tc>
          <w:tcPr>
            <w:tcW w:type="dxa" w:w="1616"/>
            <w:tcW w:w="161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Manufacturer</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Dimethacrylate monomers</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Barium glass, silica</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50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GC, Tokyo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47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conventional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UDMA, Bis-EMA, PEGMA,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68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RESULTS</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before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after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loss (%)</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0.1602 ± 0.0074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0.1576 ± 0.0031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1.49 ± 3.14</w:t>
            </w:r>
          </w:p>
        </w:tc>
        <w:tc>
          <w:tcPr>
            <w:tcW w:type="dxa" w:w="1361"/>
            <w:tcW w:w="1360" w:type="dxa"/>
            <w:vAlign w:val="cente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0.329†</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0.1630 ± 0.0102</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0.1619 ± 0.0106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0.65 ± 0.37</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0.2313 ± 0.0154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0.2303 ± 0.0156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0.41 ± 0.25</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jc w:val="center"/>
        <w:tblLook w:firstColumn="1" w:firstRow="1" w:lastColumn="0" w:lastRow="0" w:noHBand="0" w:noVBand="1" w:val="04A0"/>
        <w:tblW w:w="8958" w:type="dxa"/>
        <w:tblLayout w:type="fixed"/>
      </w:tblPr>
      <w:tblGrid>
        <w:gridCol w:w="3288"/>
        <w:gridCol w:w="3118"/>
        <w:gridCol w:w="2551"/>
      </w:tblGrid>
      <w:tr>
        <w:trPr>
          <w:cantSplit/>
          <w:tblHeader/>
        </w:trPr>
        <w:tc>
          <w:tcPr>
            <w:tcW w:type="dxa" w:w="3288"/>
            <w:tcW w:w="328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3118"/>
            <w:tcW w:w="311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Absolute weight loss (mg)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2551"/>
            <w:tcW w:w="2551"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Range (mg)</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2.58 ± 5.91</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20.7</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1.07 ± 0.62</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1.9</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0.95 ± 0.58</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before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after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ΔRa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0.038 ± 0.011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0.104 ± 0.017</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0.066 ± 0.021</w:t>
            </w:r>
          </w:p>
        </w:tc>
        <w:tc>
          <w:tcPr>
            <w:tcW w:type="dxa" w:w="1361"/>
            <w:tcW w:w="1360" w:type="dxa"/>
            <w:vAlign w:val="cente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&lt; 0.001‡</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0.054 ± 0.010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0.100 ± 0.023</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0.046 ± 0.023</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0.119 ± 0.054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0.194 ± 0.050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0.075 ± 0.066</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DISCUSSION</w:t>
      </w:r>
    </w:p>
    <w:p>
      <w:pPr>
        <w:keepNext/>
        <w:widowControl/>
        <w:spacing w:before="0" w:after="12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CONCLUSIONS AND RECOMMENDATIONS</w:t>
      </w:r>
    </w:p>
    <w:p>
      <w:pPr>
        <w:keepNext/>
        <w:widowControl/>
        <w:spacing w:before="0" w:after="120" w:line="240" w:lineRule="auto"/>
        <w:ind w:firstLine="0"/>
        <w:jc w:val="both"/>
      </w:pP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560" w:after="40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360" w:after="28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360" w:after="1440" w:line="240" w:lineRule="auto"/>
        <w:ind w:firstLine="0"/>
        <w:jc w:val="center"/>
      </w:pPr>
      <w:r>
        <w:rPr>
          <w:rFonts w:ascii="Times New Roman" w:hAnsi="Times New Roman" w:cs="Times New Roman" w:eastAsia="Times New Roman"/>
          <w:b/>
          <w:i w:val="0"/>
          <w:color w:val="000000"/>
          <w:sz w:val="32"/>
          <w:szCs w:val="32"/>
        </w:rPr>
        <w:t>REFERENCES</w:t>
      </w:r>
    </w:p>
    <w:p>
      <w:pPr>
        <w:keepNext/>
        <w:widowControl/>
        <w:spacing w:before="0" w:after="120" w:line="240" w:lineRule="auto"/>
        <w:ind w:firstLine="0"/>
        <w:jc w:val="both"/>
      </w:pP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9"/>
      <w:footerReference w:type="default" r:id="rId10"/>
      <w:pgSz w:w="11906" w:h="16838"/>
      <w:pgMar w:top="1049" w:right="1247" w:bottom="964" w:left="1701" w:header="113" w:footer="10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Rule="exact" w:line="737"/>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4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560" w:after="40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