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auto"/>
        <w:ind w:firstLine="0"/>
        <w:jc w:val="center"/>
      </w:pPr>
      <w:r>
        <w:rPr>
          <w:rFonts w:ascii="Times New Roman" w:hAnsi="Times New Roman" w:eastAsia="Times New Roman"/>
          <w:b/>
          <w:i w:val="0"/>
          <w:color w:val="000000"/>
          <w:sz w:val="32"/>
        </w:rPr>
        <w:t>PHAROS UNIVERSITY IN ALEXANDRIA</w:t>
      </w:r>
    </w:p>
    <w:p>
      <w:pPr>
        <w:spacing w:before="0" w:after="0" w:line="480" w:lineRule="auto"/>
        <w:ind w:firstLine="0"/>
        <w:jc w:val="center"/>
      </w:pPr>
      <w:r>
        <w:rPr>
          <w:rFonts w:ascii="Times New Roman" w:hAnsi="Times New Roman" w:eastAsia="Times New Roman"/>
          <w:b/>
          <w:i w:val="0"/>
          <w:color w:val="000000"/>
          <w:sz w:val="28"/>
        </w:rPr>
        <w:t>FACULTY OF DENTISTRY</w:t>
      </w:r>
    </w:p>
    <w:p>
      <w:pPr>
        <w:spacing w:before="0" w:after="480" w:line="480" w:lineRule="auto"/>
        <w:ind w:firstLine="0"/>
        <w:jc w:val="center"/>
      </w:pPr>
      <w:r>
        <w:rPr>
          <w:rFonts w:ascii="Times New Roman" w:hAnsi="Times New Roman" w:eastAsia="Times New Roman"/>
          <w:b w:val="0"/>
          <w:i/>
          <w:color w:val="000000"/>
          <w:sz w:val="26"/>
        </w:rPr>
        <w:t>Department of Conservative Dentistry</w:t>
      </w:r>
    </w:p>
    <w:p>
      <w:pPr>
        <w:spacing w:before="240" w:after="120" w:line="480" w:lineRule="auto"/>
        <w:ind w:firstLine="0"/>
        <w:jc w:val="center"/>
      </w:pPr>
      <w:r>
        <w:rPr>
          <w:rFonts w:ascii="Times New Roman" w:hAnsi="Times New Roman" w:eastAsia="Times New Roman"/>
          <w:b/>
          <w:i w:val="0"/>
          <w:color w:val="000000"/>
          <w:sz w:val="28"/>
        </w:rPr>
        <w:t>COMPARATIVE EVALUATION OF WEAR RESISTANCE AND SURFACE ROUGHNESS OF INJECTABLE VERSUS CONVENTIONAL NANOHYBRID COMPOSITE RESINS</w:t>
      </w:r>
    </w:p>
    <w:p>
      <w:pPr>
        <w:spacing w:before="0" w:after="480" w:line="480" w:lineRule="auto"/>
        <w:ind w:firstLine="0"/>
        <w:jc w:val="center"/>
      </w:pPr>
      <w:r>
        <w:rPr>
          <w:rFonts w:ascii="Times New Roman" w:hAnsi="Times New Roman" w:eastAsia="Times New Roman"/>
          <w:b w:val="0"/>
          <w:i/>
          <w:color w:val="000000"/>
          <w:sz w:val="26"/>
        </w:rPr>
        <w:t>(In Vitro Study)</w:t>
      </w:r>
    </w:p>
    <w:p>
      <w:pPr>
        <w:spacing w:before="0" w:after="0" w:line="480" w:lineRule="auto"/>
        <w:ind w:firstLine="0"/>
        <w:jc w:val="center"/>
      </w:pPr>
      <w:r>
        <w:rPr>
          <w:rFonts w:ascii="Times New Roman" w:hAnsi="Times New Roman" w:eastAsia="Times New Roman"/>
          <w:b w:val="0"/>
          <w:i w:val="0"/>
          <w:color w:val="000000"/>
          <w:sz w:val="24"/>
        </w:rPr>
        <w:t>A Thesis submitted in partial fulfilment of the</w:t>
      </w:r>
    </w:p>
    <w:p>
      <w:pPr>
        <w:spacing w:before="0" w:after="0" w:line="480" w:lineRule="auto"/>
        <w:ind w:firstLine="0"/>
        <w:jc w:val="center"/>
      </w:pPr>
      <w:r>
        <w:rPr>
          <w:rFonts w:ascii="Times New Roman" w:hAnsi="Times New Roman" w:eastAsia="Times New Roman"/>
          <w:b w:val="0"/>
          <w:i w:val="0"/>
          <w:color w:val="000000"/>
          <w:sz w:val="24"/>
        </w:rPr>
        <w:t>requirements for the degree of Master of Science</w:t>
      </w:r>
    </w:p>
    <w:p>
      <w:pPr>
        <w:spacing w:before="0" w:after="0" w:line="480" w:lineRule="auto"/>
        <w:ind w:firstLine="0"/>
        <w:jc w:val="center"/>
      </w:pPr>
      <w:r>
        <w:rPr>
          <w:rFonts w:ascii="Times New Roman" w:hAnsi="Times New Roman" w:eastAsia="Times New Roman"/>
          <w:b w:val="0"/>
          <w:i w:val="0"/>
          <w:color w:val="000000"/>
          <w:sz w:val="24"/>
        </w:rPr>
        <w:t>in</w:t>
      </w:r>
    </w:p>
    <w:p>
      <w:pPr>
        <w:spacing w:before="0" w:after="480" w:line="480" w:lineRule="auto"/>
        <w:ind w:firstLine="0"/>
        <w:jc w:val="center"/>
      </w:pPr>
      <w:r>
        <w:rPr>
          <w:rFonts w:ascii="Times New Roman" w:hAnsi="Times New Roman" w:eastAsia="Times New Roman"/>
          <w:b/>
          <w:i w:val="0"/>
          <w:color w:val="000000"/>
          <w:sz w:val="26"/>
        </w:rPr>
        <w:t>Conservative Dentistry</w:t>
      </w:r>
    </w:p>
    <w:p>
      <w:pPr>
        <w:spacing w:before="240" w:after="0" w:line="480" w:lineRule="auto"/>
        <w:ind w:firstLine="0"/>
        <w:jc w:val="center"/>
      </w:pPr>
      <w:r>
        <w:rPr>
          <w:rFonts w:ascii="Times New Roman" w:hAnsi="Times New Roman" w:eastAsia="Times New Roman"/>
          <w:b w:val="0"/>
          <w:i w:val="0"/>
          <w:color w:val="000000"/>
          <w:sz w:val="24"/>
        </w:rPr>
        <w:t>Submitted by</w:t>
      </w:r>
    </w:p>
    <w:p>
      <w:pPr>
        <w:spacing w:before="0" w:after="480" w:line="480" w:lineRule="auto"/>
        <w:ind w:firstLine="0"/>
        <w:jc w:val="center"/>
      </w:pPr>
      <w:r>
        <w:rPr>
          <w:rFonts w:ascii="Times New Roman" w:hAnsi="Times New Roman" w:eastAsia="Times New Roman"/>
          <w:b/>
          <w:i w:val="0"/>
          <w:color w:val="000000"/>
          <w:sz w:val="26"/>
        </w:rPr>
        <w:t>Mohamed Talaat Mohamed AbdelMoaty ElAbd</w:t>
      </w:r>
    </w:p>
    <w:p>
      <w:pPr>
        <w:spacing w:before="240" w:after="0" w:line="480" w:lineRule="auto"/>
        <w:ind w:firstLine="0"/>
        <w:jc w:val="center"/>
      </w:pPr>
      <w:r>
        <w:rPr>
          <w:rFonts w:ascii="Times New Roman" w:hAnsi="Times New Roman" w:eastAsia="Times New Roman"/>
          <w:b/>
          <w:i w:val="0"/>
          <w:color w:val="000000"/>
          <w:sz w:val="24"/>
        </w:rPr>
        <w:t>Supervisors</w:t>
      </w:r>
    </w:p>
    <w:p>
      <w:pPr>
        <w:spacing w:before="0" w:after="0" w:line="480" w:lineRule="auto"/>
        <w:ind w:firstLine="0"/>
        <w:jc w:val="center"/>
      </w:pPr>
      <w:r>
        <w:rPr>
          <w:rFonts w:ascii="Times New Roman" w:hAnsi="Times New Roman" w:eastAsia="Times New Roman"/>
          <w:b w:val="0"/>
          <w:i w:val="0"/>
          <w:color w:val="000000"/>
          <w:sz w:val="24"/>
        </w:rPr>
        <w:t>Professor Dr. …………………………………………</w:t>
      </w:r>
    </w:p>
    <w:p>
      <w:pPr>
        <w:spacing w:before="0" w:after="480" w:line="480" w:lineRule="auto"/>
        <w:ind w:firstLine="0"/>
        <w:jc w:val="center"/>
      </w:pPr>
      <w:r>
        <w:rPr>
          <w:rFonts w:ascii="Times New Roman" w:hAnsi="Times New Roman" w:eastAsia="Times New Roman"/>
          <w:b w:val="0"/>
          <w:i w:val="0"/>
          <w:color w:val="000000"/>
          <w:sz w:val="24"/>
        </w:rPr>
        <w:t>Assistant Professor Dr. …………………………………………</w:t>
      </w:r>
    </w:p>
    <w:p>
      <w:pPr>
        <w:spacing w:before="360" w:after="0" w:line="480" w:lineRule="auto"/>
        <w:ind w:firstLine="0"/>
        <w:jc w:val="center"/>
      </w:pPr>
      <w:r>
        <w:rPr>
          <w:rFonts w:ascii="Times New Roman" w:hAnsi="Times New Roman" w:eastAsia="Times New Roman"/>
          <w:b/>
          <w:i w:val="0"/>
          <w:color w:val="000000"/>
          <w:sz w:val="26"/>
        </w:rPr>
        <w:t>2025 / 2026</w:t>
      </w:r>
    </w:p>
    <w:p>
      <w:pPr>
        <w:spacing w:before="0" w:after="0"/>
      </w:pPr>
      <w:r>
        <w:br w:type="page"/>
      </w:r>
    </w:p>
    <w:p>
      <w:pPr>
        <w:spacing w:before="240" w:after="120" w:line="480" w:lineRule="auto"/>
        <w:ind w:firstLine="0"/>
        <w:jc w:val="left"/>
      </w:pPr>
      <w:r>
        <w:rPr>
          <w:rFonts w:ascii="Times New Roman" w:hAnsi="Times New Roman" w:eastAsia="Times New Roman"/>
          <w:b/>
          <w:i w:val="0"/>
          <w:color w:val="000000"/>
          <w:sz w:val="28"/>
        </w:rPr>
        <w:t>Supervisors</w:t>
      </w:r>
    </w:p>
    <w:p>
      <w:pPr>
        <w:spacing w:before="0" w:after="0" w:line="480" w:lineRule="auto"/>
        <w:ind w:firstLine="709"/>
        <w:jc w:val="both"/>
      </w:pPr>
      <w:r>
        <w:rPr>
          <w:rFonts w:ascii="Times New Roman" w:hAnsi="Times New Roman" w:eastAsia="Times New Roman"/>
          <w:b w:val="0"/>
          <w:i w:val="0"/>
          <w:color w:val="000000"/>
          <w:sz w:val="24"/>
        </w:rPr>
        <w:t>Professor Dr. …………………………………………</w:t>
      </w:r>
    </w:p>
    <w:p>
      <w:pPr>
        <w:spacing w:before="0" w:after="0" w:line="480" w:lineRule="auto"/>
        <w:ind w:firstLine="709"/>
        <w:jc w:val="both"/>
      </w:pPr>
      <w:r>
        <w:rPr>
          <w:rFonts w:ascii="Times New Roman" w:hAnsi="Times New Roman" w:eastAsia="Times New Roman"/>
          <w:b w:val="0"/>
          <w:i w:val="0"/>
          <w:color w:val="000000"/>
          <w:sz w:val="24"/>
        </w:rPr>
        <w:t>Assistant Professor Dr. …………………………………………</w:t>
      </w:r>
    </w:p>
    <w:p>
      <w:pPr>
        <w:spacing w:before="0" w:after="0" w:line="480" w:lineRule="auto"/>
        <w:ind w:firstLine="709"/>
        <w:jc w:val="both"/>
      </w:pPr>
      <w:r>
        <w:rPr>
          <w:rFonts w:ascii="Times New Roman" w:hAnsi="Times New Roman" w:eastAsia="Times New Roman"/>
          <w:b w:val="0"/>
          <w:i w:val="0"/>
          <w:color w:val="000000"/>
          <w:sz w:val="24"/>
        </w:rPr>
        <w:t>*(Supervisor names and titles to be entered from the approved research protocol.)*</w:t>
      </w:r>
    </w:p>
    <w:p>
      <w:pPr>
        <w:spacing w:before="240" w:after="120" w:line="480" w:lineRule="auto"/>
        <w:ind w:firstLine="0"/>
        <w:jc w:val="left"/>
      </w:pPr>
      <w:r>
        <w:rPr>
          <w:rFonts w:ascii="Times New Roman" w:hAnsi="Times New Roman" w:eastAsia="Times New Roman"/>
          <w:b/>
          <w:i w:val="0"/>
          <w:color w:val="000000"/>
          <w:sz w:val="28"/>
        </w:rPr>
        <w:t>Acknowledgements</w:t>
      </w:r>
    </w:p>
    <w:p>
      <w:pPr>
        <w:spacing w:before="0" w:after="0" w:line="480" w:lineRule="auto"/>
        <w:ind w:firstLine="709"/>
        <w:jc w:val="both"/>
      </w:pPr>
      <w:r>
        <w:rPr>
          <w:rFonts w:ascii="Times New Roman" w:hAnsi="Times New Roman" w:eastAsia="Times New Roman"/>
          <w:b w:val="0"/>
          <w:i w:val="0"/>
          <w:color w:val="000000"/>
          <w:sz w:val="24"/>
        </w:rPr>
        <w:t>I wish to thank my supervisors for their guidance throughout the planning and writing of this work, and the laboratory staff who supported the experimental procedures. I am grateful to my family for their patience during the period of study.</w:t>
      </w:r>
    </w:p>
    <w:p>
      <w:pPr>
        <w:spacing w:before="120" w:after="120" w:line="480" w:lineRule="auto"/>
        <w:ind w:firstLine="0"/>
        <w:jc w:val="center"/>
      </w:pPr>
      <w:r>
        <w:rPr>
          <w:rFonts w:ascii="Times New Roman" w:hAnsi="Times New Roman" w:eastAsia="Times New Roman"/>
          <w:b/>
          <w:i w:val="0"/>
          <w:color w:val="000000"/>
          <w:sz w:val="32"/>
        </w:rPr>
        <w:t>Abstract</w:t>
      </w:r>
    </w:p>
    <w:p>
      <w:pPr>
        <w:spacing w:before="0" w:after="0" w:line="480" w:lineRule="auto"/>
        <w:ind w:firstLine="709"/>
        <w:jc w:val="both"/>
      </w:pPr>
      <w:r>
        <w:rPr>
          <w:rFonts w:ascii="Times New Roman" w:hAnsi="Times New Roman" w:eastAsia="Times New Roman"/>
          <w:b/>
          <w:i w:val="0"/>
          <w:color w:val="000000"/>
          <w:sz w:val="24"/>
        </w:rPr>
        <w:t>Background.</w:t>
      </w:r>
      <w:r>
        <w:rPr>
          <w:rFonts w:ascii="Times New Roman" w:hAnsi="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spacing w:before="0" w:after="0" w:line="480" w:lineRule="auto"/>
        <w:ind w:firstLine="709"/>
        <w:jc w:val="both"/>
      </w:pPr>
      <w:r>
        <w:rPr>
          <w:rFonts w:ascii="Times New Roman" w:hAnsi="Times New Roman" w:eastAsia="Times New Roman"/>
          <w:b/>
          <w:i w:val="0"/>
          <w:color w:val="000000"/>
          <w:sz w:val="24"/>
        </w:rPr>
        <w:t>Aim.</w:t>
      </w:r>
      <w:r>
        <w:rPr>
          <w:rFonts w:ascii="Times New Roman" w:hAnsi="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spacing w:before="0" w:after="0" w:line="480" w:lineRule="auto"/>
        <w:ind w:firstLine="709"/>
        <w:jc w:val="both"/>
      </w:pPr>
      <w:r>
        <w:rPr>
          <w:rFonts w:ascii="Times New Roman" w:hAnsi="Times New Roman" w:eastAsia="Times New Roman"/>
          <w:b/>
          <w:i w:val="0"/>
          <w:color w:val="000000"/>
          <w:sz w:val="24"/>
        </w:rPr>
        <w:t>Methods.</w:t>
      </w:r>
      <w:r>
        <w:rPr>
          <w:rFonts w:ascii="Times New Roman" w:hAnsi="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spacing w:before="0" w:after="0" w:line="480" w:lineRule="auto"/>
        <w:ind w:firstLine="709"/>
        <w:jc w:val="both"/>
      </w:pPr>
      <w:r>
        <w:rPr>
          <w:rFonts w:ascii="Times New Roman" w:hAnsi="Times New Roman" w:eastAsia="Times New Roman"/>
          <w:b/>
          <w:i w:val="0"/>
          <w:color w:val="000000"/>
          <w:sz w:val="24"/>
        </w:rPr>
        <w:t>Results.</w:t>
      </w:r>
      <w:r>
        <w:rPr>
          <w:rFonts w:ascii="Times New Roman" w:hAnsi="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spacing w:before="0" w:after="0" w:line="480" w:lineRule="auto"/>
        <w:ind w:firstLine="709"/>
        <w:jc w:val="both"/>
      </w:pPr>
      <w:r>
        <w:rPr>
          <w:rFonts w:ascii="Times New Roman" w:hAnsi="Times New Roman" w:eastAsia="Times New Roman"/>
          <w:b/>
          <w:i w:val="0"/>
          <w:color w:val="000000"/>
          <w:sz w:val="24"/>
        </w:rPr>
        <w:t>Conclusions.</w:t>
      </w:r>
      <w:r>
        <w:rPr>
          <w:rFonts w:ascii="Times New Roman" w:hAnsi="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spacing w:before="0" w:after="0" w:line="480" w:lineRule="auto"/>
        <w:ind w:firstLine="709"/>
        <w:jc w:val="both"/>
      </w:pPr>
      <w:r>
        <w:rPr>
          <w:rFonts w:ascii="Times New Roman" w:hAnsi="Times New Roman" w:eastAsia="Times New Roman"/>
          <w:b/>
          <w:i w:val="0"/>
          <w:color w:val="000000"/>
          <w:sz w:val="24"/>
        </w:rPr>
        <w:t>Keywords.</w:t>
      </w:r>
      <w:r>
        <w:rPr>
          <w:rFonts w:ascii="Times New Roman" w:hAnsi="Times New Roman" w:eastAsia="Times New Roman"/>
          <w:b w:val="0"/>
          <w:i w:val="0"/>
          <w:color w:val="000000"/>
          <w:sz w:val="24"/>
        </w:rPr>
        <w:t xml:space="preserve"> Injectable composite; nanohybrid composite; toothbrush abrasion; wear; surface roughness; giomer.</w:t>
      </w:r>
    </w:p>
    <w:p>
      <w:pPr>
        <w:spacing w:before="240" w:after="120" w:line="480" w:lineRule="auto"/>
        <w:ind w:firstLine="0"/>
        <w:jc w:val="left"/>
      </w:pPr>
      <w:r>
        <w:rPr>
          <w:rFonts w:ascii="Times New Roman" w:hAnsi="Times New Roman" w:eastAsia="Times New Roman"/>
          <w:b/>
          <w:i w:val="0"/>
          <w:color w:val="000000"/>
          <w:sz w:val="28"/>
        </w:rPr>
        <w:t>List of tables</w:t>
      </w:r>
    </w:p>
    <w:p>
      <w:pPr>
        <w:spacing w:before="0" w:after="0" w:line="480" w:lineRule="auto"/>
        <w:ind w:firstLine="0"/>
        <w:jc w:val="both"/>
      </w:pPr>
      <w:r>
        <w:rPr>
          <w:rFonts w:ascii="Times New Roman" w:hAnsi="Times New Roman" w:eastAsia="Times New Roman"/>
          <w:b w:val="0"/>
          <w:i w:val="0"/>
          <w:color w:val="000000"/>
          <w:sz w:val="24"/>
        </w:rPr>
        <w:t>Table 3.1 Composition of the resin composites</w:t>
      </w:r>
    </w:p>
    <w:p>
      <w:pPr>
        <w:spacing w:before="0" w:after="0" w:line="480" w:lineRule="auto"/>
        <w:ind w:firstLine="0"/>
        <w:jc w:val="both"/>
      </w:pPr>
      <w:r>
        <w:rPr>
          <w:rFonts w:ascii="Times New Roman" w:hAnsi="Times New Roman" w:eastAsia="Times New Roman"/>
          <w:b w:val="0"/>
          <w:i w:val="0"/>
          <w:color w:val="000000"/>
          <w:sz w:val="24"/>
        </w:rPr>
        <w:t>Table 4.1 Weight before and after brushing and percentage weight loss</w:t>
      </w:r>
    </w:p>
    <w:p>
      <w:pPr>
        <w:spacing w:before="0" w:after="0" w:line="480" w:lineRule="auto"/>
        <w:ind w:firstLine="0"/>
        <w:jc w:val="both"/>
      </w:pPr>
      <w:r>
        <w:rPr>
          <w:rFonts w:ascii="Times New Roman" w:hAnsi="Times New Roman" w:eastAsia="Times New Roman"/>
          <w:b w:val="0"/>
          <w:i w:val="0"/>
          <w:color w:val="000000"/>
          <w:sz w:val="24"/>
        </w:rPr>
        <w:t>Table 4.2 Absolute weight loss after 10 000 brushing cycles</w:t>
      </w:r>
    </w:p>
    <w:p>
      <w:pPr>
        <w:spacing w:before="0" w:after="0" w:line="480" w:lineRule="auto"/>
        <w:ind w:firstLine="0"/>
        <w:jc w:val="both"/>
      </w:pPr>
      <w:r>
        <w:rPr>
          <w:rFonts w:ascii="Times New Roman" w:hAnsi="Times New Roman" w:eastAsia="Times New Roman"/>
          <w:b w:val="0"/>
          <w:i w:val="0"/>
          <w:color w:val="000000"/>
          <w:sz w:val="24"/>
        </w:rPr>
        <w:t>Table 4.3 Ra before and after brushing and ΔRa</w:t>
      </w:r>
    </w:p>
    <w:p>
      <w:pPr>
        <w:spacing w:before="240" w:after="120" w:line="480" w:lineRule="auto"/>
        <w:ind w:firstLine="0"/>
        <w:jc w:val="left"/>
      </w:pPr>
      <w:r>
        <w:rPr>
          <w:rFonts w:ascii="Times New Roman" w:hAnsi="Times New Roman" w:eastAsia="Times New Roman"/>
          <w:b/>
          <w:i w:val="0"/>
          <w:color w:val="000000"/>
          <w:sz w:val="28"/>
        </w:rPr>
        <w:t>List of figures</w:t>
      </w:r>
    </w:p>
    <w:p>
      <w:pPr>
        <w:spacing w:before="0" w:after="0" w:line="480" w:lineRule="auto"/>
        <w:ind w:firstLine="0"/>
        <w:jc w:val="both"/>
      </w:pPr>
      <w:r>
        <w:rPr>
          <w:rFonts w:ascii="Times New Roman" w:hAnsi="Times New Roman" w:eastAsia="Times New Roman"/>
          <w:b w:val="0"/>
          <w:i w:val="0"/>
          <w:color w:val="000000"/>
          <w:sz w:val="24"/>
        </w:rPr>
        <w:t>Figure 4.1 Mean percentage weight loss after 10 000 brushing cycles</w:t>
      </w:r>
    </w:p>
    <w:p>
      <w:pPr>
        <w:spacing w:before="0" w:after="0" w:line="480" w:lineRule="auto"/>
        <w:ind w:firstLine="0"/>
        <w:jc w:val="both"/>
      </w:pPr>
      <w:r>
        <w:rPr>
          <w:rFonts w:ascii="Times New Roman" w:hAnsi="Times New Roman" w:eastAsia="Times New Roman"/>
          <w:b w:val="0"/>
          <w:i w:val="0"/>
          <w:color w:val="000000"/>
          <w:sz w:val="24"/>
        </w:rPr>
        <w:t>Figure 4.2 Mean Ra before and after brushing, with the 0.2 µm plaque-retention threshold</w:t>
      </w:r>
    </w:p>
    <w:p>
      <w:pPr>
        <w:spacing w:before="0" w:after="0" w:line="480" w:lineRule="auto"/>
        <w:ind w:firstLine="0"/>
        <w:jc w:val="both"/>
      </w:pPr>
      <w:r>
        <w:rPr>
          <w:rFonts w:ascii="Times New Roman" w:hAnsi="Times New Roman" w:eastAsia="Times New Roman"/>
          <w:b w:val="0"/>
          <w:i w:val="0"/>
          <w:color w:val="000000"/>
          <w:sz w:val="24"/>
        </w:rPr>
        <w:t>Figure 4.3 Mean change in surface roughness (ΔRa)</w:t>
      </w:r>
    </w:p>
    <w:p>
      <w:pPr>
        <w:spacing w:before="240" w:after="120" w:line="480" w:lineRule="auto"/>
        <w:ind w:firstLine="0"/>
        <w:jc w:val="left"/>
      </w:pPr>
      <w:r>
        <w:rPr>
          <w:rFonts w:ascii="Times New Roman" w:hAnsi="Times New Roman" w:eastAsia="Times New Roman"/>
          <w:b/>
          <w:i w:val="0"/>
          <w:color w:val="000000"/>
          <w:sz w:val="28"/>
        </w:rPr>
        <w:t>List of abbreviations</w:t>
      </w:r>
    </w:p>
    <w:p>
      <w:pPr>
        <w:spacing w:before="0" w:after="0" w:line="480" w:lineRule="auto"/>
        <w:ind w:firstLine="709"/>
        <w:jc w:val="both"/>
      </w:pPr>
      <w:r>
        <w:rPr>
          <w:rFonts w:ascii="Times New Roman" w:hAnsi="Times New Roman" w:eastAsia="Times New Roman"/>
          <w:b w:val="0"/>
          <w:i w:val="0"/>
          <w:color w:val="000000"/>
          <w:sz w:val="24"/>
        </w:rPr>
        <w:t>ANOVA — analysis of variance</w:t>
      </w:r>
    </w:p>
    <w:p>
      <w:pPr>
        <w:spacing w:before="0" w:after="0" w:line="480" w:lineRule="auto"/>
        <w:ind w:firstLine="709"/>
        <w:jc w:val="both"/>
      </w:pPr>
      <w:r>
        <w:rPr>
          <w:rFonts w:ascii="Times New Roman" w:hAnsi="Times New Roman" w:eastAsia="Times New Roman"/>
          <w:b w:val="0"/>
          <w:i w:val="0"/>
          <w:color w:val="000000"/>
          <w:sz w:val="24"/>
        </w:rPr>
        <w:t>ISO — International Organization for Standardization</w:t>
      </w:r>
    </w:p>
    <w:p>
      <w:pPr>
        <w:spacing w:before="0" w:after="0" w:line="480" w:lineRule="auto"/>
        <w:ind w:firstLine="709"/>
        <w:jc w:val="both"/>
      </w:pPr>
      <w:r>
        <w:rPr>
          <w:rFonts w:ascii="Times New Roman" w:hAnsi="Times New Roman" w:eastAsia="Times New Roman"/>
          <w:b w:val="0"/>
          <w:i w:val="0"/>
          <w:color w:val="000000"/>
          <w:sz w:val="24"/>
        </w:rPr>
        <w:t>Ra — arithmetic mean roughness</w:t>
      </w:r>
    </w:p>
    <w:p>
      <w:pPr>
        <w:spacing w:before="0" w:after="0" w:line="480" w:lineRule="auto"/>
        <w:ind w:firstLine="709"/>
        <w:jc w:val="both"/>
      </w:pPr>
      <w:r>
        <w:rPr>
          <w:rFonts w:ascii="Times New Roman" w:hAnsi="Times New Roman" w:eastAsia="Times New Roman"/>
          <w:b w:val="0"/>
          <w:i w:val="0"/>
          <w:color w:val="000000"/>
          <w:sz w:val="24"/>
        </w:rPr>
        <w:t>RDA — relative dentine abrasivity</w:t>
      </w:r>
    </w:p>
    <w:p>
      <w:pPr>
        <w:spacing w:before="0" w:after="0" w:line="480" w:lineRule="auto"/>
        <w:ind w:firstLine="709"/>
        <w:jc w:val="both"/>
      </w:pPr>
      <w:r>
        <w:rPr>
          <w:rFonts w:ascii="Times New Roman" w:hAnsi="Times New Roman" w:eastAsia="Times New Roman"/>
          <w:b w:val="0"/>
          <w:i w:val="0"/>
          <w:color w:val="000000"/>
          <w:sz w:val="24"/>
        </w:rPr>
        <w:t>SD — standard deviation</w:t>
      </w:r>
    </w:p>
    <w:p>
      <w:pPr>
        <w:spacing w:before="0" w:after="0" w:line="480" w:lineRule="auto"/>
        <w:ind w:firstLine="709"/>
        <w:jc w:val="both"/>
      </w:pPr>
      <w:r>
        <w:rPr>
          <w:rFonts w:ascii="Times New Roman" w:hAnsi="Times New Roman" w:eastAsia="Times New Roman"/>
          <w:b w:val="0"/>
          <w:i w:val="0"/>
          <w:color w:val="000000"/>
          <w:sz w:val="24"/>
        </w:rPr>
        <w:t>S-PRG — surface pre-reacted glass-ionomer</w:t>
      </w:r>
    </w:p>
    <w:p>
      <w:pPr>
        <w:spacing w:before="0" w:after="0" w:line="480" w:lineRule="auto"/>
        <w:ind w:firstLine="709"/>
        <w:jc w:val="both"/>
      </w:pPr>
      <w:r>
        <w:rPr>
          <w:rFonts w:ascii="Times New Roman" w:hAnsi="Times New Roman" w:eastAsia="Times New Roman"/>
          <w:b w:val="0"/>
          <w:i w:val="0"/>
          <w:color w:val="000000"/>
          <w:sz w:val="24"/>
        </w:rPr>
        <w:t>ΔRa — change in Ra (after − before)</w:t>
      </w:r>
    </w:p>
    <w:p>
      <w:pPr>
        <w:spacing w:before="0" w:after="0"/>
      </w:pPr>
      <w:r>
        <w:br w:type="page"/>
      </w:r>
    </w:p>
    <w:p>
      <w:pPr>
        <w:spacing w:before="120" w:after="120" w:line="480" w:lineRule="auto"/>
        <w:ind w:firstLine="0"/>
        <w:jc w:val="center"/>
      </w:pPr>
      <w:r>
        <w:rPr>
          <w:rFonts w:ascii="Times New Roman" w:hAnsi="Times New Roman" w:eastAsia="Times New Roman"/>
          <w:b/>
          <w:i w:val="0"/>
          <w:color w:val="000000"/>
          <w:sz w:val="32"/>
        </w:rPr>
        <w:t>Chapter 1</w:t>
      </w:r>
    </w:p>
    <w:p>
      <w:pPr>
        <w:spacing w:before="120" w:after="120" w:line="480" w:lineRule="auto"/>
        <w:ind w:firstLine="0"/>
        <w:jc w:val="center"/>
      </w:pPr>
      <w:r>
        <w:rPr>
          <w:rFonts w:ascii="Times New Roman" w:hAnsi="Times New Roman" w:eastAsia="Times New Roman"/>
          <w:b/>
          <w:i w:val="0"/>
          <w:color w:val="000000"/>
          <w:sz w:val="32"/>
        </w:rPr>
        <w:t>Introduction</w:t>
      </w:r>
    </w:p>
    <w:p>
      <w:pPr>
        <w:spacing w:before="0" w:after="0" w:line="480" w:lineRule="auto"/>
        <w:ind w:firstLine="709"/>
        <w:jc w:val="both"/>
      </w:pPr>
      <w:r>
        <w:rPr>
          <w:rFonts w:ascii="Times New Roman" w:hAnsi="Times New Roman" w:eastAsia="Times New Roman"/>
          <w:b w:val="0"/>
          <w:i w:val="0"/>
          <w:color w:val="000000"/>
          <w:sz w:val="24"/>
        </w:rPr>
        <w:t>The clinical success of a resin composite depends, among other properties, on how the surface behaves under daily use. Wear flattens occlusal anatomy and can reduce vertical dimension. Increased roughness retains plaque, takes stain and favours secondary caries at the margin (1,2). Toothbrushing is a daily source of both problems. Dentifrice abrasive acts as a third body: the resin-rich surface layer is removed first, filler particles then stand proud or are dislodged, mass is lost and Ra rises (3,4).</w:t>
      </w:r>
    </w:p>
    <w:p>
      <w:pPr>
        <w:spacing w:before="0" w:after="0" w:line="480" w:lineRule="auto"/>
        <w:ind w:firstLine="709"/>
        <w:jc w:val="both"/>
      </w:pPr>
      <w:r>
        <w:rPr>
          <w:rFonts w:ascii="Times New Roman" w:hAnsi="Times New Roman" w:eastAsia="Times New Roman"/>
          <w:b w:val="0"/>
          <w:i w:val="0"/>
          <w:color w:val="000000"/>
          <w:sz w:val="24"/>
        </w:rPr>
        <w:t>Highly filled injectable resins were developed so that a syringeable material could be placed in cavities previously reserved for packable composites. Filler load is raised, particle size is reduced and silane treatment is improved until the paste still flows but no longer behaves like a classical low-filled flowable (5,6). G-ænial Universal Injectable (GC Corporation, Tokyo, Japan) and Beautifil Flow Plus X F00 (Shofu Inc., Kyoto, Japan) are marketed on that claim. Beautifil II LS (Shofu Inc.) is a sculptable low-shrinkage nanohybrid giomer and served as the conventional control in this study.</w:t>
      </w:r>
    </w:p>
    <w:p>
      <w:pPr>
        <w:spacing w:before="0" w:after="0" w:line="480" w:lineRule="auto"/>
        <w:ind w:firstLine="709"/>
        <w:jc w:val="both"/>
      </w:pPr>
      <w:r>
        <w:rPr>
          <w:rFonts w:ascii="Times New Roman" w:hAnsi="Times New Roman" w:eastAsia="Times New Roman"/>
          <w:b w:val="0"/>
          <w:i w:val="0"/>
          <w:color w:val="000000"/>
          <w:sz w:val="24"/>
        </w:rPr>
        <w:t>Direct comparative data on these three products, tested together under three-body toothbrush abrasion, remain scarce. Two-body chewing-simulator studies are not a substitute: they load a steatite antagonist at approximately 49 N and measure volumetric loss rather than mass loss in a toothpaste slurry (6). The present experiment examines the other wear mode — toothbrushing according to ISO guidance, at 2 N, for 10 000 strokes, conventionally taken as about one year of twice-daily brushing (3,7,8).</w:t>
      </w:r>
    </w:p>
    <w:p>
      <w:pPr>
        <w:spacing w:before="0" w:after="0" w:line="480" w:lineRule="auto"/>
        <w:ind w:firstLine="709"/>
        <w:jc w:val="both"/>
      </w:pPr>
      <w:r>
        <w:rPr>
          <w:rFonts w:ascii="Times New Roman" w:hAnsi="Times New Roman" w:eastAsia="Times New Roman"/>
          <w:b w:val="0"/>
          <w:i w:val="0"/>
          <w:color w:val="000000"/>
          <w:sz w:val="24"/>
        </w:rPr>
        <w:t>An Ra of 0.2 µm is the threshold above which plaque retention increases (1). Surfaces smoother than this do not retain less plaque in a clinically meaningful way. A restoration rougher than about 0.5 µm can be detected by the tongue (2). Those two values provide the clinical frame for the roughness results reported here.</w:t>
      </w:r>
    </w:p>
    <w:p>
      <w:pPr>
        <w:spacing w:before="240" w:after="120" w:line="480" w:lineRule="auto"/>
        <w:ind w:firstLine="0"/>
        <w:jc w:val="left"/>
      </w:pPr>
      <w:r>
        <w:rPr>
          <w:rFonts w:ascii="Times New Roman" w:hAnsi="Times New Roman" w:eastAsia="Times New Roman"/>
          <w:b/>
          <w:i w:val="0"/>
          <w:color w:val="000000"/>
          <w:sz w:val="26"/>
        </w:rPr>
        <w:t>1.1 Aim of the study</w:t>
      </w:r>
    </w:p>
    <w:p>
      <w:pPr>
        <w:spacing w:before="0" w:after="0" w:line="480" w:lineRule="auto"/>
        <w:ind w:firstLine="709"/>
        <w:jc w:val="both"/>
      </w:pPr>
      <w:r>
        <w:rPr>
          <w:rFonts w:ascii="Times New Roman" w:hAnsi="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spacing w:before="240" w:after="120" w:line="480" w:lineRule="auto"/>
        <w:ind w:firstLine="0"/>
        <w:jc w:val="left"/>
      </w:pPr>
      <w:r>
        <w:rPr>
          <w:rFonts w:ascii="Times New Roman" w:hAnsi="Times New Roman" w:eastAsia="Times New Roman"/>
          <w:b/>
          <w:i w:val="0"/>
          <w:color w:val="000000"/>
          <w:sz w:val="26"/>
        </w:rPr>
        <w:t>1.2 Objectives</w:t>
      </w:r>
    </w:p>
    <w:p>
      <w:pPr>
        <w:spacing w:before="0" w:after="0" w:line="480" w:lineRule="auto"/>
        <w:ind w:firstLine="0"/>
        <w:jc w:val="both"/>
      </w:pPr>
      <w:r>
        <w:rPr>
          <w:rFonts w:ascii="Times New Roman" w:hAnsi="Times New Roman" w:eastAsia="Times New Roman"/>
          <w:b w:val="0"/>
          <w:i w:val="0"/>
          <w:color w:val="000000"/>
          <w:sz w:val="24"/>
        </w:rPr>
        <w:t>1. To measure specimen mass before and after 10 000 brushing cycles and to calculate percentage and absolute weight loss.</w:t>
      </w:r>
    </w:p>
    <w:p>
      <w:pPr>
        <w:spacing w:before="0" w:after="0" w:line="480" w:lineRule="auto"/>
        <w:ind w:firstLine="0"/>
        <w:jc w:val="both"/>
      </w:pPr>
      <w:r>
        <w:rPr>
          <w:rFonts w:ascii="Times New Roman" w:hAnsi="Times New Roman" w:eastAsia="Times New Roman"/>
          <w:b w:val="0"/>
          <w:i w:val="0"/>
          <w:color w:val="000000"/>
          <w:sz w:val="24"/>
        </w:rPr>
        <w:t>2. To measure Ra before and after the same abrasion and to calculate ΔRa.</w:t>
      </w:r>
    </w:p>
    <w:p>
      <w:pPr>
        <w:spacing w:before="0" w:after="0" w:line="480" w:lineRule="auto"/>
        <w:ind w:firstLine="0"/>
        <w:jc w:val="both"/>
      </w:pPr>
      <w:r>
        <w:rPr>
          <w:rFonts w:ascii="Times New Roman" w:hAnsi="Times New Roman" w:eastAsia="Times New Roman"/>
          <w:b w:val="0"/>
          <w:i w:val="0"/>
          <w:color w:val="000000"/>
          <w:sz w:val="24"/>
        </w:rPr>
        <w:t>3. To compare the three materials using the statistical tests appropriate to each outcome.</w:t>
      </w:r>
    </w:p>
    <w:p>
      <w:pPr>
        <w:spacing w:before="240" w:after="120" w:line="480" w:lineRule="auto"/>
        <w:ind w:firstLine="0"/>
        <w:jc w:val="left"/>
      </w:pPr>
      <w:r>
        <w:rPr>
          <w:rFonts w:ascii="Times New Roman" w:hAnsi="Times New Roman" w:eastAsia="Times New Roman"/>
          <w:b/>
          <w:i w:val="0"/>
          <w:color w:val="000000"/>
          <w:sz w:val="26"/>
        </w:rPr>
        <w:t>1.3 Null hypotheses</w:t>
      </w:r>
    </w:p>
    <w:p>
      <w:pPr>
        <w:spacing w:before="0" w:after="0" w:line="480" w:lineRule="auto"/>
        <w:ind w:firstLine="0"/>
        <w:jc w:val="both"/>
      </w:pPr>
      <w:r>
        <w:rPr>
          <w:rFonts w:ascii="Times New Roman" w:hAnsi="Times New Roman" w:eastAsia="Times New Roman"/>
          <w:b w:val="0"/>
          <w:i w:val="0"/>
          <w:color w:val="000000"/>
          <w:sz w:val="24"/>
        </w:rPr>
        <w:t>1. There is no significant difference in percentage weight loss among Beautifil Flow Plus X F00, G-ænial Universal Injectable and Beautifil II LS.</w:t>
      </w:r>
    </w:p>
    <w:p>
      <w:pPr>
        <w:spacing w:before="0" w:after="0" w:line="480" w:lineRule="auto"/>
        <w:ind w:firstLine="0"/>
        <w:jc w:val="both"/>
      </w:pPr>
      <w:r>
        <w:rPr>
          <w:rFonts w:ascii="Times New Roman" w:hAnsi="Times New Roman" w:eastAsia="Times New Roman"/>
          <w:b w:val="0"/>
          <w:i w:val="0"/>
          <w:color w:val="000000"/>
          <w:sz w:val="24"/>
        </w:rPr>
        <w:t>2. There is no significant difference in Ra after toothbrushing among the same three materials.</w:t>
      </w:r>
    </w:p>
    <w:p>
      <w:pPr>
        <w:spacing w:before="120" w:after="120" w:line="480" w:lineRule="auto"/>
        <w:ind w:firstLine="0"/>
        <w:jc w:val="center"/>
      </w:pPr>
      <w:r>
        <w:rPr>
          <w:rFonts w:ascii="Times New Roman" w:hAnsi="Times New Roman" w:eastAsia="Times New Roman"/>
          <w:b/>
          <w:i w:val="0"/>
          <w:color w:val="000000"/>
          <w:sz w:val="32"/>
        </w:rPr>
        <w:t>Chapter 2</w:t>
      </w:r>
    </w:p>
    <w:p>
      <w:pPr>
        <w:spacing w:before="120" w:after="120" w:line="480" w:lineRule="auto"/>
        <w:ind w:firstLine="0"/>
        <w:jc w:val="center"/>
      </w:pPr>
      <w:r>
        <w:rPr>
          <w:rFonts w:ascii="Times New Roman" w:hAnsi="Times New Roman" w:eastAsia="Times New Roman"/>
          <w:b/>
          <w:i w:val="0"/>
          <w:color w:val="000000"/>
          <w:sz w:val="32"/>
        </w:rPr>
        <w:t>Review of literature</w:t>
      </w:r>
    </w:p>
    <w:p>
      <w:pPr>
        <w:spacing w:before="240" w:after="120" w:line="480" w:lineRule="auto"/>
        <w:ind w:firstLine="0"/>
        <w:jc w:val="left"/>
      </w:pPr>
      <w:r>
        <w:rPr>
          <w:rFonts w:ascii="Times New Roman" w:hAnsi="Times New Roman" w:eastAsia="Times New Roman"/>
          <w:b/>
          <w:i w:val="0"/>
          <w:color w:val="000000"/>
          <w:sz w:val="26"/>
        </w:rPr>
        <w:t>2.1 Wear of restorative resins</w:t>
      </w:r>
    </w:p>
    <w:p>
      <w:pPr>
        <w:spacing w:before="0" w:after="0" w:line="480" w:lineRule="auto"/>
        <w:ind w:firstLine="709"/>
        <w:jc w:val="both"/>
      </w:pPr>
      <w:r>
        <w:rPr>
          <w:rFonts w:ascii="Times New Roman" w:hAnsi="Times New Roman" w:eastAsia="Times New Roman"/>
          <w:b w:val="0"/>
          <w:i w:val="0"/>
          <w:color w:val="000000"/>
          <w:sz w:val="24"/>
        </w:rPr>
        <w:t>Wear is the progressive loss of substance from two surfaces in relative motion (9). In the mouth the process is mixed. Attrition is two-body contact; abrasion at non-contact sites is usually three-body, with food or toothpaste as the loose agent; corrosion and fatigue accompany both (9,10). Laboratory ranking is useful for comparing materials under controlled conditions, but it does not predict clinical lifetime.</w:t>
      </w:r>
    </w:p>
    <w:p>
      <w:pPr>
        <w:spacing w:before="0" w:after="0" w:line="480" w:lineRule="auto"/>
        <w:ind w:firstLine="709"/>
        <w:jc w:val="both"/>
      </w:pPr>
      <w:r>
        <w:rPr>
          <w:rFonts w:ascii="Times New Roman" w:hAnsi="Times New Roman" w:eastAsia="Times New Roman"/>
          <w:b w:val="0"/>
          <w:i w:val="0"/>
          <w:color w:val="000000"/>
          <w:sz w:val="24"/>
        </w:rPr>
        <w:t>Filler volume, size, shape, inter-particle spacing, the resin matrix, the degree of conversion and the quality of the silane layer all influence wear (11,12). Condon and Ferracane varied filler volume, silane treatment and degree of cure in an oral-wear simulator. Wear increased once filler volume fell below 48 vol% and rose linearly as the fraction of silane-treated filler was reduced. Degree of conversion moved wear in the expected direction, although the effect was smaller (12). Smaller particles and a well-coupled filler bed protect the matrix. Classical flowables, filled at about 40–55 wt%, wear faster than packable hybrids for this reason (5,13). Raising filler load and reducing particle size was the route taken with the newer injectables. G-ænial Universal Injectable is listed at 50 vol%, just above Condon’s 48 vol% step. Beautifil II LS is listed at 83 wt%; its volume fraction is not stated by the manufacturer.</w:t>
      </w:r>
    </w:p>
    <w:p>
      <w:pPr>
        <w:spacing w:before="0" w:after="0" w:line="480" w:lineRule="auto"/>
        <w:ind w:firstLine="709"/>
        <w:jc w:val="both"/>
      </w:pPr>
      <w:r>
        <w:rPr>
          <w:rFonts w:ascii="Times New Roman" w:hAnsi="Times New Roman" w:eastAsia="Times New Roman"/>
          <w:b w:val="0"/>
          <w:i w:val="0"/>
          <w:color w:val="000000"/>
          <w:sz w:val="24"/>
        </w:rPr>
        <w:t>Toothbrushing tests follow ISO/TR 14569-1. The stated scope of that technical report is wear of artificial teeth and veneering materials, but the load range (0.5–2.5 N) and the requirement for a dentifrice meeting ISO 11609 have been adopted widely for composite screening (3,14). Ten thousand strokes are commonly treated as one year of twice-daily brushing if a patient makes about fifteen strokes per surface, twice a day (7,8). The conversion is an estimate, but it remains the figure used in most toothbrushing papers.</w:t>
      </w:r>
    </w:p>
    <w:p>
      <w:pPr>
        <w:spacing w:before="0" w:after="0" w:line="480" w:lineRule="auto"/>
        <w:ind w:firstLine="709"/>
        <w:jc w:val="both"/>
      </w:pPr>
      <w:r>
        <w:rPr>
          <w:rFonts w:ascii="Times New Roman" w:hAnsi="Times New Roman" w:eastAsia="Times New Roman"/>
          <w:b w:val="0"/>
          <w:i w:val="0"/>
          <w:color w:val="000000"/>
          <w:sz w:val="24"/>
        </w:rPr>
        <w:t>Wear may be recorded as volume, profile depth or mass. Gravimetric loss is simple and repeatable when the balance is sufficiently sensitive and the specimen is dry; it does not describe the shape of the worn surface. Volumetric loss from a scan does. The two quantities answer different questions (10,15).</w:t>
      </w:r>
    </w:p>
    <w:p>
      <w:pPr>
        <w:spacing w:before="240" w:after="120" w:line="480" w:lineRule="auto"/>
        <w:ind w:firstLine="0"/>
        <w:jc w:val="left"/>
      </w:pPr>
      <w:r>
        <w:rPr>
          <w:rFonts w:ascii="Times New Roman" w:hAnsi="Times New Roman" w:eastAsia="Times New Roman"/>
          <w:b/>
          <w:i w:val="0"/>
          <w:color w:val="000000"/>
          <w:sz w:val="26"/>
        </w:rPr>
        <w:t>2.2 Surface roughness</w:t>
      </w:r>
    </w:p>
    <w:p>
      <w:pPr>
        <w:spacing w:before="0" w:after="0" w:line="480" w:lineRule="auto"/>
        <w:ind w:firstLine="709"/>
        <w:jc w:val="both"/>
      </w:pPr>
      <w:r>
        <w:rPr>
          <w:rFonts w:ascii="Times New Roman" w:hAnsi="Times New Roman" w:eastAsia="Times New Roman"/>
          <w:b w:val="0"/>
          <w:i w:val="0"/>
          <w:color w:val="000000"/>
          <w:sz w:val="24"/>
        </w:rPr>
        <w:t>Ra is the arithmetic mean of the absolute deviations of the roughness profile from the centre line, as defined in ISO 4287 (16). It is the parameter reported in almost every dental paper on this subject. Contact stylus profilometry remains a standard method; optical methods add a three-dimensional map but are not required in order to rank Ra (4,16).</w:t>
      </w:r>
    </w:p>
    <w:p>
      <w:pPr>
        <w:spacing w:before="0" w:after="0" w:line="480" w:lineRule="auto"/>
        <w:ind w:firstLine="709"/>
        <w:jc w:val="both"/>
      </w:pPr>
      <w:r>
        <w:rPr>
          <w:rFonts w:ascii="Times New Roman" w:hAnsi="Times New Roman" w:eastAsia="Times New Roman"/>
          <w:b w:val="0"/>
          <w:i w:val="0"/>
          <w:color w:val="000000"/>
          <w:sz w:val="24"/>
        </w:rPr>
        <w:t>Bollen, Lambrechts and Quirynen set 0.2 µm as the plaque-retention threshold (1). Quirynen and Bollen had already shown that roughness and surface-free energy govern plaque accumulation on restorations (17). Jones, Billington and Pearson later asked volunteers to rank composite discs with the tongue. Discrimination lay between 0.25 µm and 0.50 µm, and they advised finishing to no more than 0.50 µm if the patient is not to feel the surface (2).</w:t>
      </w:r>
    </w:p>
    <w:p>
      <w:pPr>
        <w:spacing w:before="0" w:after="0" w:line="480" w:lineRule="auto"/>
        <w:ind w:firstLine="709"/>
        <w:jc w:val="both"/>
      </w:pPr>
      <w:r>
        <w:rPr>
          <w:rFonts w:ascii="Times New Roman" w:hAnsi="Times New Roman" w:eastAsia="Times New Roman"/>
          <w:b w:val="0"/>
          <w:i w:val="0"/>
          <w:color w:val="000000"/>
          <w:sz w:val="24"/>
        </w:rPr>
        <w:t>Toothbrushing raises Ra. Heintze and colleagues showed that the increase depends on material, time and load (4). Nanofilled resins, whose small particles wear with the matrix, usually remain smoother than nanohybrids, in which larger fillers are uncovered or lost (8,18). The dentifrice also matters. Monteiro and Spohr found that toothbrushing with different pastes increased roughness of composite resins, although the relationship between relative dentine abrasivity and the final Ra was not straightforward (8).</w:t>
      </w:r>
    </w:p>
    <w:p>
      <w:pPr>
        <w:spacing w:before="240" w:after="120" w:line="480" w:lineRule="auto"/>
        <w:ind w:firstLine="0"/>
        <w:jc w:val="left"/>
      </w:pPr>
      <w:r>
        <w:rPr>
          <w:rFonts w:ascii="Times New Roman" w:hAnsi="Times New Roman" w:eastAsia="Times New Roman"/>
          <w:b/>
          <w:i w:val="0"/>
          <w:color w:val="000000"/>
          <w:sz w:val="26"/>
        </w:rPr>
        <w:t>2.3 Injectable composites</w:t>
      </w:r>
    </w:p>
    <w:p>
      <w:pPr>
        <w:spacing w:before="0" w:after="0" w:line="480" w:lineRule="auto"/>
        <w:ind w:firstLine="709"/>
        <w:jc w:val="both"/>
      </w:pPr>
      <w:r>
        <w:rPr>
          <w:rFonts w:ascii="Times New Roman" w:hAnsi="Times New Roman" w:eastAsia="Times New Roman"/>
          <w:b w:val="0"/>
          <w:i w:val="0"/>
          <w:color w:val="000000"/>
          <w:sz w:val="24"/>
        </w:rPr>
        <w:t>Early flowables were not intended for occlusal load (13). Current highly filled injectables are a different material. G-ænial Universal Injectable is filled to about 69 wt% (50 vol%) with ultrafine barium glass and silica, mean size about 150 nm, in a UDMA / Bis-MEPP / TEGDMA matrix (6,18). Beautifil Flow Plus X F00 is a zero-flow giomer injectable containing nano-sized surface pre-reacted glass-ionomer (S-PRG) filler (19). It is not the same product as Beautifil Flow Plus F00, which appears in several earlier papers (6).</w:t>
      </w:r>
    </w:p>
    <w:p>
      <w:pPr>
        <w:spacing w:before="0" w:after="0" w:line="480" w:lineRule="auto"/>
        <w:ind w:firstLine="709"/>
        <w:jc w:val="both"/>
      </w:pPr>
      <w:r>
        <w:rPr>
          <w:rFonts w:ascii="Times New Roman" w:hAnsi="Times New Roman" w:eastAsia="Times New Roman"/>
          <w:b w:val="0"/>
          <w:i w:val="0"/>
          <w:color w:val="000000"/>
          <w:sz w:val="24"/>
        </w:rPr>
        <w:t>Rajabi et al. compared G-ænial Universal Injectable and Beautifil Flow Plus F00 with a conventional flowable and a nanohybrid paste in two-body wear (200 000 cycles, 49 N, steatite antagonist, dry conditions). The two injectables lost less volume than the paste and the classical flowable, and flexural strength was also higher. The two injectables did not differ from each other (6). That assay measures occlusal-contact wear as volume; it cannot be read as toothbrush mass loss.</w:t>
      </w:r>
    </w:p>
    <w:p>
      <w:pPr>
        <w:spacing w:before="0" w:after="0" w:line="480" w:lineRule="auto"/>
        <w:ind w:firstLine="709"/>
        <w:jc w:val="both"/>
      </w:pPr>
      <w:r>
        <w:rPr>
          <w:rFonts w:ascii="Times New Roman" w:hAnsi="Times New Roman" w:eastAsia="Times New Roman"/>
          <w:b w:val="0"/>
          <w:i w:val="0"/>
          <w:color w:val="000000"/>
          <w:sz w:val="24"/>
        </w:rPr>
        <w:t>Hasan, Eltoukhy and Zaghloul brushed G-ænial Universal Injectable, a nanofilled paste and a nanohybrid composite for times taken to represent six months and one year. After abrasion the injectable had the lowest Ra and the nanohybrid was the roughest; the two nanofilled resins did not differ (18). That design is closer to the present study.</w:t>
      </w:r>
    </w:p>
    <w:p>
      <w:pPr>
        <w:spacing w:before="0" w:after="0" w:line="480" w:lineRule="auto"/>
        <w:ind w:firstLine="709"/>
        <w:jc w:val="both"/>
      </w:pPr>
      <w:r>
        <w:rPr>
          <w:rFonts w:ascii="Times New Roman" w:hAnsi="Times New Roman" w:eastAsia="Times New Roman"/>
          <w:b w:val="0"/>
          <w:i w:val="0"/>
          <w:color w:val="000000"/>
          <w:sz w:val="24"/>
        </w:rPr>
        <w:t>A 2025 systematic review of highly filled flowables used as sole restoratives concluded that optical properties are generally adequate but that mechanical properties remain inferior to those of medium-viscosity composites, and advised caution in extensive cavities, load-bearing areas and patients with parafunction (20). Material-to-material scatter remains the rule, and toothbrush abrasion of Beautifil Flow Plus X F00 against Beautifil II LS was not among the comparisons reviewed.</w:t>
      </w:r>
    </w:p>
    <w:p>
      <w:pPr>
        <w:spacing w:before="240" w:after="120" w:line="480" w:lineRule="auto"/>
        <w:ind w:firstLine="0"/>
        <w:jc w:val="left"/>
      </w:pPr>
      <w:r>
        <w:rPr>
          <w:rFonts w:ascii="Times New Roman" w:hAnsi="Times New Roman" w:eastAsia="Times New Roman"/>
          <w:b/>
          <w:i w:val="0"/>
          <w:color w:val="000000"/>
          <w:sz w:val="26"/>
        </w:rPr>
        <w:t>2.4 Conventional nanohybrid resins and giomers</w:t>
      </w:r>
    </w:p>
    <w:p>
      <w:pPr>
        <w:spacing w:before="0" w:after="0" w:line="480" w:lineRule="auto"/>
        <w:ind w:firstLine="709"/>
        <w:jc w:val="both"/>
      </w:pPr>
      <w:r>
        <w:rPr>
          <w:rFonts w:ascii="Times New Roman" w:hAnsi="Times New Roman" w:eastAsia="Times New Roman"/>
          <w:b w:val="0"/>
          <w:i w:val="0"/>
          <w:color w:val="000000"/>
          <w:sz w:val="24"/>
        </w:rPr>
        <w:t>Nanohybrid pastes combine nano-sized particles with larger submicron or micron fillers. Total inorganic load commonly exceeds 70–80 wt% (11). Beautifil II LS is such a paste: filler load is 83 wt%, the resin uses an SRS monomer intended to reduce shrinkage, and the filler includes S-PRG glass (19). S-PRG is a three-layered filler with a fluoro-boro-aluminosilicate core, a pre-reacted glass-ionomer phase and a silica coating; it releases fluoride, strontium, borate, sodium, silicate and aluminium ions (23). The same ion-exchange behaviour can roughen the surface under acidic challenge (21). Once the matrix is brushed away, larger and irregular fillers leave a higher Ra than a uniform nanofilled injectable (18).</w:t>
      </w:r>
    </w:p>
    <w:p>
      <w:pPr>
        <w:spacing w:before="0" w:after="0" w:line="480" w:lineRule="auto"/>
        <w:ind w:firstLine="709"/>
        <w:jc w:val="both"/>
      </w:pPr>
      <w:r>
        <w:rPr>
          <w:rFonts w:ascii="Times New Roman" w:hAnsi="Times New Roman" w:eastAsia="Times New Roman"/>
          <w:b w:val="0"/>
          <w:i w:val="0"/>
          <w:color w:val="000000"/>
          <w:sz w:val="24"/>
        </w:rPr>
        <w:t>An eight-year clinical series of an earlier giomer paste (Beautifil with a self-etch primer) showed acceptable retention and little secondary caries in the teeth available for recall (22). That is clinical behaviour of a related material, not toothbrush Ra of Beautifil II LS; it only establishes that S-PRG pastes have been used as definitive restoratives for years.</w:t>
      </w:r>
    </w:p>
    <w:p>
      <w:pPr>
        <w:spacing w:before="0" w:after="0" w:line="480" w:lineRule="auto"/>
        <w:ind w:firstLine="709"/>
        <w:jc w:val="both"/>
      </w:pPr>
      <w:r>
        <w:rPr>
          <w:rFonts w:ascii="Times New Roman" w:hAnsi="Times New Roman" w:eastAsia="Times New Roman"/>
          <w:b w:val="0"/>
          <w:i w:val="0"/>
          <w:color w:val="000000"/>
          <w:sz w:val="24"/>
        </w:rPr>
        <w:t>Packable nanohybrids remain the clinical reference for posterior direct work. They are harder to adapt in a narrow box and more likely to trap voids. Injectable products were developed to close that handling gap without sacrificing wear resistance. Whether they do so under toothbrush abrasion is the question addressed by this thesis.</w:t>
      </w:r>
    </w:p>
    <w:p>
      <w:pPr>
        <w:spacing w:before="240" w:after="120" w:line="480" w:lineRule="auto"/>
        <w:ind w:firstLine="0"/>
        <w:jc w:val="left"/>
      </w:pPr>
      <w:r>
        <w:rPr>
          <w:rFonts w:ascii="Times New Roman" w:hAnsi="Times New Roman" w:eastAsia="Times New Roman"/>
          <w:b/>
          <w:i w:val="0"/>
          <w:color w:val="000000"/>
          <w:sz w:val="26"/>
        </w:rPr>
        <w:t>2.5 What remains unclear</w:t>
      </w:r>
    </w:p>
    <w:p>
      <w:pPr>
        <w:spacing w:before="0" w:after="0" w:line="480" w:lineRule="auto"/>
        <w:ind w:firstLine="709"/>
        <w:jc w:val="both"/>
      </w:pPr>
      <w:r>
        <w:rPr>
          <w:rFonts w:ascii="Times New Roman" w:hAnsi="Times New Roman" w:eastAsia="Times New Roman"/>
          <w:b w:val="0"/>
          <w:i w:val="0"/>
          <w:color w:val="000000"/>
          <w:sz w:val="24"/>
        </w:rPr>
        <w:t>Two-body wear of G-ænial Universal Injectable and Beautifil Flow Plus F00 is favourable in one recent laboratory study (6). Toothbrush Ra of G-ænial Universal Injectable is favourable against a nanohybrid in another (18). Beautifil Flow Plus X F00 and Beautifil II LS have not been placed beside G-ænial Universal Injectable in the same 10 000-cycle, 2 N, gravimetric-plus-Ra protocol. That is the gap the present experiment fills.</w:t>
      </w:r>
    </w:p>
    <w:p>
      <w:pPr>
        <w:spacing w:before="120" w:after="120" w:line="480" w:lineRule="auto"/>
        <w:ind w:firstLine="0"/>
        <w:jc w:val="center"/>
      </w:pPr>
      <w:r>
        <w:rPr>
          <w:rFonts w:ascii="Times New Roman" w:hAnsi="Times New Roman" w:eastAsia="Times New Roman"/>
          <w:b/>
          <w:i w:val="0"/>
          <w:color w:val="000000"/>
          <w:sz w:val="32"/>
        </w:rPr>
        <w:t>Chapter 3</w:t>
      </w:r>
    </w:p>
    <w:p>
      <w:pPr>
        <w:spacing w:before="120" w:after="120" w:line="480" w:lineRule="auto"/>
        <w:ind w:firstLine="0"/>
        <w:jc w:val="center"/>
      </w:pPr>
      <w:r>
        <w:rPr>
          <w:rFonts w:ascii="Times New Roman" w:hAnsi="Times New Roman" w:eastAsia="Times New Roman"/>
          <w:b/>
          <w:i w:val="0"/>
          <w:color w:val="000000"/>
          <w:sz w:val="32"/>
        </w:rPr>
        <w:t>Materials and methods</w:t>
      </w:r>
    </w:p>
    <w:p>
      <w:pPr>
        <w:spacing w:before="240" w:after="120" w:line="480" w:lineRule="auto"/>
        <w:ind w:firstLine="0"/>
        <w:jc w:val="left"/>
      </w:pPr>
      <w:r>
        <w:rPr>
          <w:rFonts w:ascii="Times New Roman" w:hAnsi="Times New Roman" w:eastAsia="Times New Roman"/>
          <w:b/>
          <w:i w:val="0"/>
          <w:color w:val="000000"/>
          <w:sz w:val="26"/>
        </w:rPr>
        <w:t>3.1 Study design and sample</w:t>
      </w:r>
    </w:p>
    <w:p>
      <w:pPr>
        <w:spacing w:before="0" w:after="0" w:line="480" w:lineRule="auto"/>
        <w:ind w:firstLine="709"/>
        <w:jc w:val="both"/>
      </w:pPr>
      <w:r>
        <w:rPr>
          <w:rFonts w:ascii="Times New Roman" w:hAnsi="Times New Roman" w:eastAsia="Times New Roman"/>
          <w:b w:val="0"/>
          <w:i w:val="0"/>
          <w:color w:val="000000"/>
          <w:sz w:val="24"/>
        </w:rPr>
        <w:t>The study was an in-vitro comparison of three resin composites. Thirty-six discs, 10 mm in diameter and 1 mm thick, were prepared in a CAD/CAM Teflon mould and allocated at random to three groups of twelve. An initial G*Power estimate had indicated ten discs per group; twelve were used in order to increase statistical power.</w:t>
      </w:r>
    </w:p>
    <w:p>
      <w:pPr>
        <w:spacing w:before="240" w:after="120" w:line="480" w:lineRule="auto"/>
        <w:ind w:firstLine="0"/>
        <w:jc w:val="left"/>
      </w:pPr>
      <w:r>
        <w:rPr>
          <w:rFonts w:ascii="Times New Roman" w:hAnsi="Times New Roman" w:eastAsia="Times New Roman"/>
          <w:b/>
          <w:i w:val="0"/>
          <w:color w:val="000000"/>
          <w:sz w:val="26"/>
        </w:rPr>
        <w:t>3.2 Materials</w:t>
      </w:r>
    </w:p>
    <w:p>
      <w:pPr>
        <w:spacing w:before="0" w:after="0" w:line="480" w:lineRule="auto"/>
        <w:ind w:firstLine="0"/>
        <w:jc w:val="both"/>
      </w:pPr>
      <w:r>
        <w:rPr>
          <w:rFonts w:ascii="Times New Roman" w:hAnsi="Times New Roman" w:eastAsia="Times New Roman"/>
          <w:b w:val="0"/>
          <w:i w:val="0"/>
          <w:color w:val="000000"/>
          <w:sz w:val="24"/>
        </w:rPr>
        <w:t>1. G-ænial Universal Injectable — highly filled injectable composite, GC Corporation, Tokyo, Japan.</w:t>
      </w:r>
    </w:p>
    <w:p>
      <w:pPr>
        <w:spacing w:before="0" w:after="0" w:line="480" w:lineRule="auto"/>
        <w:ind w:firstLine="0"/>
        <w:jc w:val="both"/>
      </w:pPr>
      <w:r>
        <w:rPr>
          <w:rFonts w:ascii="Times New Roman" w:hAnsi="Times New Roman" w:eastAsia="Times New Roman"/>
          <w:b w:val="0"/>
          <w:i w:val="0"/>
          <w:color w:val="000000"/>
          <w:sz w:val="24"/>
        </w:rPr>
        <w:t>2. Beautifil Flow Plus X F00 — highly filled injectable giomer, Shofu Inc., Kyoto, Japan.</w:t>
      </w:r>
    </w:p>
    <w:p>
      <w:pPr>
        <w:spacing w:before="0" w:after="0" w:line="480" w:lineRule="auto"/>
        <w:ind w:firstLine="0"/>
        <w:jc w:val="both"/>
      </w:pPr>
      <w:r>
        <w:rPr>
          <w:rFonts w:ascii="Times New Roman" w:hAnsi="Times New Roman" w:eastAsia="Times New Roman"/>
          <w:b w:val="0"/>
          <w:i w:val="0"/>
          <w:color w:val="000000"/>
          <w:sz w:val="24"/>
        </w:rPr>
        <w:t>3. Beautifil II LS — conventional nanohybrid giomer, Shofu Inc., Kyoto, Japan.</w:t>
      </w:r>
    </w:p>
    <w:p>
      <w:pPr>
        <w:spacing w:before="0" w:after="0" w:line="480" w:lineRule="auto"/>
        <w:ind w:firstLine="0"/>
        <w:jc w:val="both"/>
      </w:pPr>
      <w:r>
        <w:rPr>
          <w:rFonts w:ascii="Times New Roman" w:hAnsi="Times New Roman" w:eastAsia="Times New Roman"/>
          <w:b w:val="0"/>
          <w:i w:val="0"/>
          <w:color w:val="000000"/>
          <w:sz w:val="24"/>
        </w:rPr>
        <w:t>4. Colgate Total toothpaste.</w:t>
      </w:r>
    </w:p>
    <w:p>
      <w:pPr>
        <w:spacing w:before="0" w:after="0" w:line="480" w:lineRule="auto"/>
        <w:ind w:firstLine="0"/>
        <w:jc w:val="both"/>
      </w:pPr>
      <w:r>
        <w:rPr>
          <w:rFonts w:ascii="Times New Roman" w:hAnsi="Times New Roman" w:eastAsia="Times New Roman"/>
          <w:b w:val="0"/>
          <w:i w:val="0"/>
          <w:color w:val="000000"/>
          <w:sz w:val="24"/>
        </w:rPr>
        <w:t>5. Distilled water.</w:t>
      </w:r>
    </w:p>
    <w:p>
      <w:pPr>
        <w:spacing w:before="0" w:after="0" w:line="480" w:lineRule="auto"/>
        <w:ind w:firstLine="709"/>
        <w:jc w:val="both"/>
      </w:pPr>
      <w:r>
        <w:rPr>
          <w:rFonts w:ascii="Times New Roman" w:hAnsi="Times New Roman" w:eastAsia="Times New Roman"/>
          <w:b/>
          <w:i w:val="0"/>
          <w:color w:val="000000"/>
          <w:sz w:val="24"/>
        </w:rPr>
        <w:t>Table 3.1</w:t>
      </w:r>
      <w:r>
        <w:rPr>
          <w:rFonts w:ascii="Times New Roman" w:hAnsi="Times New Roman" w:eastAsia="Times New Roman"/>
          <w:b w:val="0"/>
          <w:i w:val="0"/>
          <w:color w:val="000000"/>
          <w:sz w:val="24"/>
        </w:rPr>
        <w:t xml:space="preserve"> Brand, manufacturer, matrix, filler and load of the resin composites</w:t>
      </w:r>
    </w:p>
    <w:tbl>
      <w:tblPr>
        <w:tblW w:type="auto" w:w="0"/>
        <w:jc w:val="center"/>
        <w:tblLayout w:type="autofit"/>
        <w:tblLook w:firstColumn="1" w:firstRow="1" w:lastColumn="0" w:lastRow="0" w:noHBand="0" w:noVBand="1" w:val="04A0"/>
      </w:tblPr>
      <w:tblGrid>
        <w:gridCol w:w="1512"/>
        <w:gridCol w:w="1512"/>
        <w:gridCol w:w="1512"/>
        <w:gridCol w:w="1512"/>
        <w:gridCol w:w="1512"/>
        <w:gridCol w:w="1512"/>
      </w:tblGrid>
      <w:tr>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Type</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Matrix</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Filler</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Load</w:t>
            </w:r>
          </w:p>
        </w:tc>
        <w:tc>
          <w:tcPr>
            <w:tcW w:type="dxa" w:w="1512"/>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Manufacturer</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Nanofilled injectable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UDMA, Bis-MEPP, TEGDMA</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Ultrafine barium glass and silica, ~150 nm</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69 wt% / 50 vol%</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GC, Tokyo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Giomer injectable, zero flow</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Dimethacrylate resin</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 S-PRG filler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Highly filled injectable (manufacturer)</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r>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Nanohybrid giomer, low shrinkage</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SRS monomer complex</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S-PRG and pre-polymerised fillers</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83 wt%</w:t>
            </w:r>
          </w:p>
        </w:tc>
        <w:tc>
          <w:tcPr>
            <w:tcW w:type="dxa" w:w="1512"/>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Shofu, Kyoto</w:t>
            </w:r>
          </w:p>
        </w:tc>
      </w:tr>
    </w:tbl>
    <w:p>
      <w:pPr>
        <w:spacing w:before="0" w:after="120" w:line="480" w:lineRule="auto"/>
        <w:ind w:firstLine="0"/>
        <w:jc w:val="both"/>
      </w:pPr>
    </w:p>
    <w:p>
      <w:pPr>
        <w:spacing w:before="240" w:after="120" w:line="480" w:lineRule="auto"/>
        <w:ind w:firstLine="0"/>
        <w:jc w:val="left"/>
      </w:pPr>
      <w:r>
        <w:rPr>
          <w:rFonts w:ascii="Times New Roman" w:hAnsi="Times New Roman" w:eastAsia="Times New Roman"/>
          <w:b/>
          <w:i w:val="0"/>
          <w:color w:val="000000"/>
          <w:sz w:val="26"/>
        </w:rPr>
        <w:t>3.3 Specimen preparation</w:t>
      </w:r>
    </w:p>
    <w:p>
      <w:pPr>
        <w:spacing w:before="0" w:after="0" w:line="480" w:lineRule="auto"/>
        <w:ind w:firstLine="709"/>
        <w:jc w:val="both"/>
      </w:pPr>
      <w:r>
        <w:rPr>
          <w:rFonts w:ascii="Times New Roman" w:hAnsi="Times New Roman" w:eastAsia="Times New Roman"/>
          <w:b w:val="0"/>
          <w:i w:val="0"/>
          <w:color w:val="000000"/>
          <w:sz w:val="24"/>
        </w:rPr>
        <w:t>Each material was placed in the Teflon mould. A matrix strip and glass plate were used to exclude air from the surface and to keep the disc flat. Polymerisation followed the manufacturer’s instructions for that product. Flash was removed. The discs were identified by group and stored in distilled water until testing.</w:t>
      </w:r>
    </w:p>
    <w:p>
      <w:pPr>
        <w:spacing w:before="240" w:after="120" w:line="480" w:lineRule="auto"/>
        <w:ind w:firstLine="0"/>
        <w:jc w:val="left"/>
      </w:pPr>
      <w:r>
        <w:rPr>
          <w:rFonts w:ascii="Times New Roman" w:hAnsi="Times New Roman" w:eastAsia="Times New Roman"/>
          <w:b/>
          <w:i w:val="0"/>
          <w:color w:val="000000"/>
          <w:sz w:val="26"/>
        </w:rPr>
        <w:t>3.4 Baseline measurements</w:t>
      </w:r>
    </w:p>
    <w:p>
      <w:pPr>
        <w:spacing w:before="0" w:after="0" w:line="480" w:lineRule="auto"/>
        <w:ind w:firstLine="709"/>
        <w:jc w:val="both"/>
      </w:pPr>
      <w:r>
        <w:rPr>
          <w:rFonts w:ascii="Times New Roman" w:hAnsi="Times New Roman" w:eastAsia="Times New Roman"/>
          <w:b w:val="0"/>
          <w:i w:val="0"/>
          <w:color w:val="000000"/>
          <w:sz w:val="24"/>
        </w:rPr>
        <w:t>Each disc was dried and weighed on an analytical balance. The recorded masses run to 0.0001 g, indicating that the balance read to 0.1 mg. Ra was measured with a contact profilometer on the test face. The value used for analysis was the mean of the traces taken on that disc.</w:t>
      </w:r>
    </w:p>
    <w:p>
      <w:pPr>
        <w:spacing w:before="240" w:after="120" w:line="480" w:lineRule="auto"/>
        <w:ind w:firstLine="0"/>
        <w:jc w:val="left"/>
      </w:pPr>
      <w:r>
        <w:rPr>
          <w:rFonts w:ascii="Times New Roman" w:hAnsi="Times New Roman" w:eastAsia="Times New Roman"/>
          <w:b/>
          <w:i w:val="0"/>
          <w:color w:val="000000"/>
          <w:sz w:val="26"/>
        </w:rPr>
        <w:t>3.5 Toothbrushing</w:t>
      </w:r>
    </w:p>
    <w:p>
      <w:pPr>
        <w:spacing w:before="0" w:after="0" w:line="480" w:lineRule="auto"/>
        <w:ind w:firstLine="709"/>
        <w:jc w:val="both"/>
      </w:pPr>
      <w:r>
        <w:rPr>
          <w:rFonts w:ascii="Times New Roman" w:hAnsi="Times New Roman" w:eastAsia="Times New Roman"/>
          <w:b w:val="0"/>
          <w:i w:val="0"/>
          <w:color w:val="000000"/>
          <w:sz w:val="24"/>
        </w:rPr>
        <w:t>Discs were mounted in a toothbrushing simulator. A slurry of Colgate Total and water was prepared according to ISO 11609 and ISO/TR 14569-1 guidance (3,14). The brush load was 2 N, within the ISO range of 0.5–2.5 N (3). Each disc received 10 000 cycles, the conventional laboratory equivalent of one year of twice-daily brushing (7,8). Fresh slurry was used as required to keep the abrasive present. After the test the discs were rinsed free of paste.</w:t>
      </w:r>
    </w:p>
    <w:p>
      <w:pPr>
        <w:spacing w:before="240" w:after="120" w:line="480" w:lineRule="auto"/>
        <w:ind w:firstLine="0"/>
        <w:jc w:val="left"/>
      </w:pPr>
      <w:r>
        <w:rPr>
          <w:rFonts w:ascii="Times New Roman" w:hAnsi="Times New Roman" w:eastAsia="Times New Roman"/>
          <w:b/>
          <w:i w:val="0"/>
          <w:color w:val="000000"/>
          <w:sz w:val="26"/>
        </w:rPr>
        <w:t>3.6 Post-test measurements</w:t>
      </w:r>
    </w:p>
    <w:p>
      <w:pPr>
        <w:spacing w:before="0" w:after="0" w:line="480" w:lineRule="auto"/>
        <w:ind w:firstLine="709"/>
        <w:jc w:val="both"/>
      </w:pPr>
      <w:r>
        <w:rPr>
          <w:rFonts w:ascii="Times New Roman" w:hAnsi="Times New Roman" w:eastAsia="Times New Roman"/>
          <w:b w:val="0"/>
          <w:i w:val="0"/>
          <w:color w:val="000000"/>
          <w:sz w:val="24"/>
        </w:rPr>
        <w:t>Mass and Ra were recorded again with the same instruments and the same drying procedure as at baseline.</w:t>
      </w:r>
    </w:p>
    <w:p>
      <w:pPr>
        <w:spacing w:before="0" w:after="0" w:line="480" w:lineRule="auto"/>
        <w:ind w:firstLine="709"/>
        <w:jc w:val="both"/>
      </w:pPr>
      <w:r>
        <w:rPr>
          <w:rFonts w:ascii="Times New Roman" w:hAnsi="Times New Roman" w:eastAsia="Times New Roman"/>
          <w:b w:val="0"/>
          <w:i w:val="0"/>
          <w:color w:val="000000"/>
          <w:sz w:val="24"/>
        </w:rPr>
        <w:t>Percentage weight loss = [(W₁ − W₂) / W₁] × 100</w:t>
      </w:r>
    </w:p>
    <w:p>
      <w:pPr>
        <w:spacing w:before="0" w:after="0" w:line="480" w:lineRule="auto"/>
        <w:ind w:firstLine="709"/>
        <w:jc w:val="both"/>
      </w:pPr>
      <w:r>
        <w:rPr>
          <w:rFonts w:ascii="Times New Roman" w:hAnsi="Times New Roman" w:eastAsia="Times New Roman"/>
          <w:b w:val="0"/>
          <w:i w:val="0"/>
          <w:color w:val="000000"/>
          <w:sz w:val="24"/>
        </w:rPr>
        <w:t>where W₁ and W₂ are mass before and after brushing.</w:t>
      </w:r>
    </w:p>
    <w:p>
      <w:pPr>
        <w:spacing w:before="0" w:after="0" w:line="480" w:lineRule="auto"/>
        <w:ind w:firstLine="709"/>
        <w:jc w:val="both"/>
      </w:pPr>
      <w:r>
        <w:rPr>
          <w:rFonts w:ascii="Times New Roman" w:hAnsi="Times New Roman" w:eastAsia="Times New Roman"/>
          <w:b w:val="0"/>
          <w:i w:val="0"/>
          <w:color w:val="000000"/>
          <w:sz w:val="24"/>
        </w:rPr>
        <w:t>Absolute loss (mg) = (W₁ − W₂) × 1000.</w:t>
      </w:r>
    </w:p>
    <w:p>
      <w:pPr>
        <w:spacing w:before="0" w:after="0" w:line="480" w:lineRule="auto"/>
        <w:ind w:firstLine="709"/>
        <w:jc w:val="both"/>
      </w:pPr>
      <w:r>
        <w:rPr>
          <w:rFonts w:ascii="Times New Roman" w:hAnsi="Times New Roman" w:eastAsia="Times New Roman"/>
          <w:b w:val="0"/>
          <w:i w:val="0"/>
          <w:color w:val="000000"/>
          <w:sz w:val="24"/>
        </w:rPr>
        <w:t>ΔRa (µm) = Ra after − Ra before.</w:t>
      </w:r>
    </w:p>
    <w:p>
      <w:pPr>
        <w:spacing w:before="0" w:after="0" w:line="480" w:lineRule="auto"/>
        <w:ind w:firstLine="709"/>
        <w:jc w:val="both"/>
      </w:pPr>
      <w:r>
        <w:rPr>
          <w:rFonts w:ascii="Times New Roman" w:hAnsi="Times New Roman" w:eastAsia="Times New Roman"/>
          <w:b w:val="0"/>
          <w:i w:val="0"/>
          <w:color w:val="000000"/>
          <w:sz w:val="24"/>
        </w:rPr>
        <w:t>Percentage weight loss was calculated as the mean of the per-disc ratios, not as the ratio of the group-mean masses.</w:t>
      </w:r>
    </w:p>
    <w:p>
      <w:pPr>
        <w:spacing w:before="240" w:after="120" w:line="480" w:lineRule="auto"/>
        <w:ind w:firstLine="0"/>
        <w:jc w:val="left"/>
      </w:pPr>
      <w:r>
        <w:rPr>
          <w:rFonts w:ascii="Times New Roman" w:hAnsi="Times New Roman" w:eastAsia="Times New Roman"/>
          <w:b/>
          <w:i w:val="0"/>
          <w:color w:val="000000"/>
          <w:sz w:val="26"/>
        </w:rPr>
        <w:t>3.7 Statistical analysis</w:t>
      </w:r>
    </w:p>
    <w:p>
      <w:pPr>
        <w:spacing w:before="0" w:after="0" w:line="480" w:lineRule="auto"/>
        <w:ind w:firstLine="709"/>
        <w:jc w:val="both"/>
      </w:pPr>
      <w:r>
        <w:rPr>
          <w:rFonts w:ascii="Times New Roman" w:hAnsi="Times New Roman" w:eastAsia="Times New Roman"/>
          <w:b w:val="0"/>
          <w:i w:val="0"/>
          <w:color w:val="000000"/>
          <w:sz w:val="24"/>
        </w:rPr>
        <w:t>Descriptive values are reported as mean ± standard deviation. Percentage weight loss was compared among groups by one-way ANOVA. Ra after brushing was compared by the Kruskal–Wallis test, with pairwise post-hoc comparisons. Significance was set at α = 0.05.</w:t>
      </w:r>
    </w:p>
    <w:p>
      <w:pPr>
        <w:spacing w:before="120" w:after="120" w:line="480" w:lineRule="auto"/>
        <w:ind w:firstLine="0"/>
        <w:jc w:val="center"/>
      </w:pPr>
      <w:r>
        <w:rPr>
          <w:rFonts w:ascii="Times New Roman" w:hAnsi="Times New Roman" w:eastAsia="Times New Roman"/>
          <w:b/>
          <w:i w:val="0"/>
          <w:color w:val="000000"/>
          <w:sz w:val="32"/>
        </w:rPr>
        <w:t>Chapter 4</w:t>
      </w:r>
    </w:p>
    <w:p>
      <w:pPr>
        <w:spacing w:before="120" w:after="120" w:line="480" w:lineRule="auto"/>
        <w:ind w:firstLine="0"/>
        <w:jc w:val="center"/>
      </w:pPr>
      <w:r>
        <w:rPr>
          <w:rFonts w:ascii="Times New Roman" w:hAnsi="Times New Roman" w:eastAsia="Times New Roman"/>
          <w:b/>
          <w:i w:val="0"/>
          <w:color w:val="000000"/>
          <w:sz w:val="32"/>
        </w:rPr>
        <w:t>Results</w:t>
      </w:r>
    </w:p>
    <w:p>
      <w:pPr>
        <w:spacing w:before="0" w:after="0" w:line="480" w:lineRule="auto"/>
        <w:ind w:firstLine="709"/>
        <w:jc w:val="both"/>
      </w:pPr>
      <w:r>
        <w:rPr>
          <w:rFonts w:ascii="Times New Roman" w:hAnsi="Times New Roman" w:eastAsia="Times New Roman"/>
          <w:b w:val="0"/>
          <w:i w:val="0"/>
          <w:color w:val="000000"/>
          <w:sz w:val="24"/>
        </w:rPr>
        <w:t>Thirty-six discs were tested, twelve in each group. All discs completed 10 000 cycles at 2 N. Wear is reported as mass; roughness is reported as Ra.</w:t>
      </w:r>
    </w:p>
    <w:p>
      <w:pPr>
        <w:spacing w:before="240" w:after="120" w:line="480" w:lineRule="auto"/>
        <w:ind w:firstLine="0"/>
        <w:jc w:val="left"/>
      </w:pPr>
      <w:r>
        <w:rPr>
          <w:rFonts w:ascii="Times New Roman" w:hAnsi="Times New Roman" w:eastAsia="Times New Roman"/>
          <w:b/>
          <w:i w:val="0"/>
          <w:color w:val="000000"/>
          <w:sz w:val="26"/>
        </w:rPr>
        <w:t>4.1 Weight loss</w:t>
      </w:r>
    </w:p>
    <w:p>
      <w:pPr>
        <w:spacing w:before="0" w:after="0" w:line="480" w:lineRule="auto"/>
        <w:ind w:firstLine="709"/>
        <w:jc w:val="both"/>
      </w:pPr>
      <w:r>
        <w:rPr>
          <w:rFonts w:ascii="Times New Roman" w:hAnsi="Times New Roman" w:eastAsia="Times New Roman"/>
          <w:b w:val="0"/>
          <w:i w:val="0"/>
          <w:color w:val="000000"/>
          <w:sz w:val="24"/>
        </w:rPr>
        <w:t>Mean mass before and after brushing, and percentage loss, are given in Table 4.1 and illustrated in Figure 4.1.</w:t>
      </w:r>
    </w:p>
    <w:p>
      <w:pPr>
        <w:spacing w:before="0" w:after="0" w:line="480" w:lineRule="auto"/>
        <w:ind w:firstLine="709"/>
        <w:jc w:val="both"/>
      </w:pPr>
      <w:r>
        <w:rPr>
          <w:rFonts w:ascii="Times New Roman" w:hAnsi="Times New Roman" w:eastAsia="Times New Roman"/>
          <w:b/>
          <w:i w:val="0"/>
          <w:color w:val="000000"/>
          <w:sz w:val="24"/>
        </w:rPr>
        <w:t>Table 4.1</w:t>
      </w:r>
      <w:r>
        <w:rPr>
          <w:rFonts w:ascii="Times New Roman" w:hAnsi="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before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after (g)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Weight loss (%)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0.1602 ± 0.0074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0.1576 ± 0.0031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1.49 ± 3.14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0.1630 ± 0.0102</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0.1619 ± 0.0106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0.65 ± 0.37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0.329†</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0.2313 ± 0.0154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0.2303 ± 0.0156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0.41 ± 0.25</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One-way ANOVA. Values are mean ± standard deviation.</w:t>
      </w:r>
    </w:p>
    <w:p>
      <w:pPr>
        <w:spacing w:before="120" w:after="120" w:line="480" w:lineRule="auto"/>
        <w:ind w:firstLine="0"/>
        <w:jc w:val="center"/>
      </w:pPr>
      <w:r>
        <w:drawing>
          <wp:inline xmlns:a="http://schemas.openxmlformats.org/drawingml/2006/main" xmlns:pic="http://schemas.openxmlformats.org/drawingml/2006/picture">
            <wp:extent cx="5212080" cy="3628734"/>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0"/>
                    <a:stretch>
                      <a:fillRect/>
                    </a:stretch>
                  </pic:blipFill>
                  <pic:spPr>
                    <a:xfrm>
                      <a:off x="0" y="0"/>
                      <a:ext cx="5212080" cy="3628734"/>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4.1</w:t>
      </w:r>
      <w:r>
        <w:rPr>
          <w:rFonts w:ascii="Times New Roman" w:hAnsi="Times New Roman" w:eastAsia="Times New Roman"/>
          <w:b w:val="0"/>
          <w:i w:val="0"/>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spacing w:before="0" w:after="0" w:line="480" w:lineRule="auto"/>
        <w:ind w:firstLine="709"/>
        <w:jc w:val="both"/>
      </w:pPr>
      <w:r>
        <w:rPr>
          <w:rFonts w:ascii="Times New Roman" w:hAnsi="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spacing w:before="0" w:after="0" w:line="480" w:lineRule="auto"/>
        <w:ind w:firstLine="709"/>
        <w:jc w:val="both"/>
      </w:pPr>
      <w:r>
        <w:rPr>
          <w:rFonts w:ascii="Times New Roman" w:hAnsi="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spacing w:before="0" w:after="0" w:line="480" w:lineRule="auto"/>
        <w:ind w:firstLine="709"/>
        <w:jc w:val="both"/>
      </w:pPr>
      <w:r>
        <w:rPr>
          <w:rFonts w:ascii="Times New Roman" w:hAnsi="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spacing w:before="0" w:after="0" w:line="480" w:lineRule="auto"/>
        <w:ind w:firstLine="709"/>
        <w:jc w:val="both"/>
      </w:pPr>
      <w:r>
        <w:rPr>
          <w:rFonts w:ascii="Times New Roman" w:hAnsi="Times New Roman" w:eastAsia="Times New Roman"/>
          <w:b/>
          <w:i w:val="0"/>
          <w:color w:val="000000"/>
          <w:sz w:val="24"/>
        </w:rPr>
        <w:t>Table 4.2</w:t>
      </w:r>
      <w:r>
        <w:rPr>
          <w:rFonts w:ascii="Times New Roman" w:hAnsi="Times New Roman" w:eastAsia="Times New Roman"/>
          <w:b w:val="0"/>
          <w:i w:val="0"/>
          <w:color w:val="000000"/>
          <w:sz w:val="24"/>
        </w:rPr>
        <w:t xml:space="preserve"> Absolute weight loss after 10 000 brushing cycles (n = 12)</w:t>
      </w:r>
    </w:p>
    <w:tbl>
      <w:tblPr>
        <w:tblW w:type="auto" w:w="0"/>
        <w:jc w:val="center"/>
        <w:tblLayout w:type="autofit"/>
        <w:tblLook w:firstColumn="1" w:firstRow="1" w:lastColumn="0" w:lastRow="0" w:noHBand="0" w:noVBand="1" w:val="04A0"/>
      </w:tblPr>
      <w:tblGrid>
        <w:gridCol w:w="3024"/>
        <w:gridCol w:w="3024"/>
        <w:gridCol w:w="3024"/>
      </w:tblGrid>
      <w:tr>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Absolute weight loss (mg) Mean ± SD</w:t>
            </w:r>
          </w:p>
        </w:tc>
        <w:tc>
          <w:tcPr>
            <w:tcW w:type="dxa" w:w="302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Range (mg)</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2.58 ± 5.91</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20.7</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1.07 ± 0.62</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0.2 – 1.9</w:t>
            </w:r>
          </w:p>
        </w:tc>
      </w:tr>
      <w:tr>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0.95 ± 0.58</w:t>
            </w:r>
          </w:p>
        </w:tc>
        <w:tc>
          <w:tcPr>
            <w:tcW w:type="dxa" w:w="302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 – 1.8</w:t>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spacing w:before="0" w:after="0" w:line="480" w:lineRule="auto"/>
        <w:ind w:firstLine="709"/>
        <w:jc w:val="both"/>
      </w:pPr>
      <w:r>
        <w:rPr>
          <w:rFonts w:ascii="Times New Roman" w:hAnsi="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spacing w:before="240" w:after="120" w:line="480" w:lineRule="auto"/>
        <w:ind w:firstLine="0"/>
        <w:jc w:val="left"/>
      </w:pPr>
      <w:r>
        <w:rPr>
          <w:rFonts w:ascii="Times New Roman" w:hAnsi="Times New Roman" w:eastAsia="Times New Roman"/>
          <w:b/>
          <w:i w:val="0"/>
          <w:color w:val="000000"/>
          <w:sz w:val="26"/>
        </w:rPr>
        <w:t>4.2 Surface roughness</w:t>
      </w:r>
    </w:p>
    <w:p>
      <w:pPr>
        <w:spacing w:before="0" w:after="0" w:line="480" w:lineRule="auto"/>
        <w:ind w:firstLine="709"/>
        <w:jc w:val="both"/>
      </w:pPr>
      <w:r>
        <w:rPr>
          <w:rFonts w:ascii="Times New Roman" w:hAnsi="Times New Roman" w:eastAsia="Times New Roman"/>
          <w:b w:val="0"/>
          <w:i w:val="0"/>
          <w:color w:val="000000"/>
          <w:sz w:val="24"/>
        </w:rPr>
        <w:t>Mean Ra before and after brushing, and ΔRa, are given in Table 4.3 and illustrated in Figures 4.2 and 4.3.</w:t>
      </w:r>
    </w:p>
    <w:p>
      <w:pPr>
        <w:spacing w:before="0" w:after="0" w:line="480" w:lineRule="auto"/>
        <w:ind w:firstLine="709"/>
        <w:jc w:val="both"/>
      </w:pPr>
      <w:r>
        <w:rPr>
          <w:rFonts w:ascii="Times New Roman" w:hAnsi="Times New Roman" w:eastAsia="Times New Roman"/>
          <w:b/>
          <w:i w:val="0"/>
          <w:color w:val="000000"/>
          <w:sz w:val="24"/>
        </w:rPr>
        <w:t>Table 4.3</w:t>
      </w:r>
      <w:r>
        <w:rPr>
          <w:rFonts w:ascii="Times New Roman" w:hAnsi="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autofit"/>
        <w:tblLook w:firstColumn="1" w:firstRow="1" w:lastColumn="0" w:lastRow="0" w:noHBand="0" w:noVBand="1" w:val="04A0"/>
      </w:tblPr>
      <w:tblGrid>
        <w:gridCol w:w="1814"/>
        <w:gridCol w:w="1814"/>
        <w:gridCol w:w="1814"/>
        <w:gridCol w:w="1814"/>
        <w:gridCol w:w="1814"/>
      </w:tblGrid>
      <w:tr>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Composite resin</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before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Ra after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ΔRa (µm) Mean ± SD</w:t>
            </w:r>
          </w:p>
        </w:tc>
        <w:tc>
          <w:tcPr>
            <w:tcW w:type="dxa" w:w="1814"/>
            <w:tcBorders>
              <w:top w:val="single" w:sz="4" w:space="0" w:color="000000"/>
              <w:left w:val="single" w:sz="4" w:space="0" w:color="000000"/>
              <w:bottom w:val="single" w:sz="4" w:space="0" w:color="000000"/>
              <w:right w:val="single" w:sz="4" w:space="0" w:color="000000"/>
            </w:tcBorders>
            <w:shd w:fill="E8E8E8" w:val="clear"/>
          </w:tcPr>
          <w:p>
            <w:pPr>
              <w:spacing w:line="240" w:lineRule="auto" w:after="40" w:before="40"/>
              <w:ind w:firstLine="0"/>
            </w:pPr>
            <w:r/>
            <w:r>
              <w:rPr>
                <w:rFonts w:ascii="Times New Roman" w:hAnsi="Times New Roman" w:eastAsia="Times New Roman"/>
                <w:b/>
                <w:i w:val="0"/>
                <w:color w:val="000000"/>
                <w:sz w:val="18"/>
              </w:rPr>
              <w:t>p-value</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Flow Plus X F00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0.038 ± 0.011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0.104 ± 0.017</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0.066 ± 0.021</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G-ænial Universal Injectable</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0.054 ± 0.010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0.100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0.046 ± 0.023</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&lt; 0.001‡</w:t>
            </w:r>
          </w:p>
        </w:tc>
      </w:tr>
      <w:tr>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Beautifil II LS</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0.119 ± 0.054</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0.194 ± 0.050</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t>0.075 ± 0.066</w:t>
            </w:r>
          </w:p>
        </w:tc>
        <w:tc>
          <w:tcPr>
            <w:tcW w:type="dxa" w:w="1814"/>
            <w:tcBorders>
              <w:top w:val="single" w:sz="4" w:space="0" w:color="000000"/>
              <w:left w:val="single" w:sz="4" w:space="0" w:color="000000"/>
              <w:bottom w:val="single" w:sz="4" w:space="0" w:color="000000"/>
              <w:right w:val="single" w:sz="4" w:space="0" w:color="000000"/>
            </w:tcBorders>
          </w:tcPr>
          <w:p>
            <w:pPr>
              <w:spacing w:line="240" w:lineRule="auto" w:after="40" w:before="40"/>
              <w:ind w:firstLine="0"/>
            </w:pPr>
            <w:r/>
            <w:r>
              <w:rPr>
                <w:rFonts w:ascii="Times New Roman" w:hAnsi="Times New Roman" w:eastAsia="Times New Roman"/>
                <w:b w:val="0"/>
                <w:i w:val="0"/>
                <w:color w:val="000000"/>
                <w:sz w:val="18"/>
              </w:rPr>
            </w:r>
          </w:p>
        </w:tc>
      </w:tr>
    </w:tbl>
    <w:p>
      <w:pPr>
        <w:spacing w:before="0" w:after="120" w:line="480" w:lineRule="auto"/>
        <w:ind w:firstLine="0"/>
        <w:jc w:val="both"/>
      </w:pPr>
    </w:p>
    <w:p>
      <w:pPr>
        <w:spacing w:before="0" w:after="0" w:line="480" w:lineRule="auto"/>
        <w:ind w:firstLine="709"/>
        <w:jc w:val="both"/>
      </w:pPr>
      <w:r>
        <w:rPr>
          <w:rFonts w:ascii="Times New Roman" w:hAnsi="Times New Roman" w:eastAsia="Times New Roman"/>
          <w:b w:val="0"/>
          <w:i w:val="0"/>
          <w:color w:val="000000"/>
          <w:sz w:val="24"/>
        </w:rPr>
        <w:t>‡ Kruskal–Wallis test. Pairwise comparisons: each injectable versus Beautifil II LS, p &lt; 0.001; the two injectables, not significant. Values are mean ± standard deviation.</w:t>
      </w:r>
    </w:p>
    <w:p>
      <w:pPr>
        <w:spacing w:before="120" w:after="120" w:line="480" w:lineRule="auto"/>
        <w:ind w:firstLine="0"/>
        <w:jc w:val="center"/>
      </w:pPr>
      <w:r>
        <w:drawing>
          <wp:inline xmlns:a="http://schemas.openxmlformats.org/drawingml/2006/main" xmlns:pic="http://schemas.openxmlformats.org/drawingml/2006/picture">
            <wp:extent cx="5212080" cy="3281774"/>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1"/>
                    <a:stretch>
                      <a:fillRect/>
                    </a:stretch>
                  </pic:blipFill>
                  <pic:spPr>
                    <a:xfrm>
                      <a:off x="0" y="0"/>
                      <a:ext cx="5212080" cy="3281774"/>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4.2</w:t>
      </w:r>
      <w:r>
        <w:rPr>
          <w:rFonts w:ascii="Times New Roman" w:hAnsi="Times New Roman" w:eastAsia="Times New Roman"/>
          <w:b w:val="0"/>
          <w:i w:val="0"/>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spacing w:before="0" w:after="0" w:line="480" w:lineRule="auto"/>
        <w:ind w:firstLine="709"/>
        <w:jc w:val="both"/>
      </w:pPr>
      <w:r>
        <w:rPr>
          <w:rFonts w:ascii="Times New Roman" w:hAnsi="Times New Roman" w:eastAsia="Times New Roman"/>
          <w:b w:val="0"/>
          <w:i w:val="0"/>
          <w:color w:val="000000"/>
          <w:sz w:val="24"/>
        </w:rPr>
        <w:t>At baseline Beautifil II LS was already the roughest (0.119 ± 0.054 µm). Beautifil Flow Plus X F00 was the smoothest (0.038 ± 0.011 µm). G-ænial Universal Injectable lay between them (0.054 ± 0.010 µm).</w:t>
      </w:r>
    </w:p>
    <w:p>
      <w:pPr>
        <w:spacing w:before="0" w:after="0" w:line="480" w:lineRule="auto"/>
        <w:ind w:firstLine="709"/>
        <w:jc w:val="both"/>
      </w:pPr>
      <w:r>
        <w:rPr>
          <w:rFonts w:ascii="Times New Roman" w:hAnsi="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w:t>
      </w:r>
    </w:p>
    <w:p>
      <w:pPr>
        <w:spacing w:before="120" w:after="120" w:line="480" w:lineRule="auto"/>
        <w:ind w:firstLine="0"/>
        <w:jc w:val="center"/>
      </w:pPr>
      <w:r>
        <w:drawing>
          <wp:inline xmlns:a="http://schemas.openxmlformats.org/drawingml/2006/main" xmlns:pic="http://schemas.openxmlformats.org/drawingml/2006/picture">
            <wp:extent cx="5212080" cy="3442945"/>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2"/>
                    <a:stretch>
                      <a:fillRect/>
                    </a:stretch>
                  </pic:blipFill>
                  <pic:spPr>
                    <a:xfrm>
                      <a:off x="0" y="0"/>
                      <a:ext cx="5212080" cy="3442945"/>
                    </a:xfrm>
                    <a:prstGeom prst="rect"/>
                  </pic:spPr>
                </pic:pic>
              </a:graphicData>
            </a:graphic>
          </wp:inline>
        </w:drawing>
      </w:r>
    </w:p>
    <w:p>
      <w:pPr>
        <w:spacing w:before="0" w:after="0" w:line="480" w:lineRule="auto"/>
        <w:ind w:firstLine="709"/>
        <w:jc w:val="both"/>
      </w:pPr>
      <w:r>
        <w:rPr>
          <w:rFonts w:ascii="Times New Roman" w:hAnsi="Times New Roman" w:eastAsia="Times New Roman"/>
          <w:b/>
          <w:i w:val="0"/>
          <w:color w:val="000000"/>
          <w:sz w:val="24"/>
        </w:rPr>
        <w:t>Figure 4.3</w:t>
      </w:r>
      <w:r>
        <w:rPr>
          <w:rFonts w:ascii="Times New Roman" w:hAnsi="Times New Roman" w:eastAsia="Times New Roman"/>
          <w:b w:val="0"/>
          <w:i w:val="0"/>
          <w:color w:val="000000"/>
          <w:sz w:val="24"/>
        </w:rPr>
        <w:t xml:space="preserve"> Mean change in surface roughness (ΔRa = Ra after − Ra before) of the three composite resins after 10 000 toothbrushing cycles at 2 N. Error bars represent one standard deviation (n = 12 per group).</w:t>
      </w:r>
    </w:p>
    <w:p>
      <w:pPr>
        <w:spacing w:before="0" w:after="0" w:line="480" w:lineRule="auto"/>
        <w:ind w:firstLine="709"/>
        <w:jc w:val="both"/>
      </w:pPr>
      <w:r>
        <w:rPr>
          <w:rFonts w:ascii="Times New Roman" w:hAnsi="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spacing w:before="0" w:after="0" w:line="480" w:lineRule="auto"/>
        <w:ind w:firstLine="709"/>
        <w:jc w:val="both"/>
      </w:pPr>
      <w:r>
        <w:rPr>
          <w:rFonts w:ascii="Times New Roman" w:hAnsi="Times New Roman" w:eastAsia="Times New Roman"/>
          <w:b w:val="0"/>
          <w:i w:val="0"/>
          <w:color w:val="000000"/>
          <w:sz w:val="24"/>
        </w:rPr>
        <w:t>Relative to the 0.2 µm plaque-retention threshold (1),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(2).</w:t>
      </w:r>
    </w:p>
    <w:p>
      <w:pPr>
        <w:spacing w:before="240" w:after="120" w:line="480" w:lineRule="auto"/>
        <w:ind w:firstLine="0"/>
        <w:jc w:val="left"/>
      </w:pPr>
      <w:r>
        <w:rPr>
          <w:rFonts w:ascii="Times New Roman" w:hAnsi="Times New Roman" w:eastAsia="Times New Roman"/>
          <w:b/>
          <w:i w:val="0"/>
          <w:color w:val="000000"/>
          <w:sz w:val="26"/>
        </w:rPr>
        <w:t>4.3 Summary of the findings</w:t>
      </w:r>
    </w:p>
    <w:p>
      <w:pPr>
        <w:spacing w:before="0" w:after="0" w:line="480" w:lineRule="auto"/>
        <w:ind w:firstLine="709"/>
        <w:jc w:val="both"/>
      </w:pPr>
      <w:r>
        <w:rPr>
          <w:rFonts w:ascii="Times New Roman" w:hAnsi="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spacing w:before="120" w:after="120" w:line="480" w:lineRule="auto"/>
        <w:ind w:firstLine="0"/>
        <w:jc w:val="center"/>
      </w:pPr>
      <w:r>
        <w:rPr>
          <w:rFonts w:ascii="Times New Roman" w:hAnsi="Times New Roman" w:eastAsia="Times New Roman"/>
          <w:b/>
          <w:i w:val="0"/>
          <w:color w:val="000000"/>
          <w:sz w:val="32"/>
        </w:rPr>
        <w:t>Chapter 5</w:t>
      </w:r>
    </w:p>
    <w:p>
      <w:pPr>
        <w:spacing w:before="120" w:after="120" w:line="480" w:lineRule="auto"/>
        <w:ind w:firstLine="0"/>
        <w:jc w:val="center"/>
      </w:pPr>
      <w:r>
        <w:rPr>
          <w:rFonts w:ascii="Times New Roman" w:hAnsi="Times New Roman" w:eastAsia="Times New Roman"/>
          <w:b/>
          <w:i w:val="0"/>
          <w:color w:val="000000"/>
          <w:sz w:val="32"/>
        </w:rPr>
        <w:t>Discussion</w:t>
      </w:r>
    </w:p>
    <w:p>
      <w:pPr>
        <w:spacing w:before="0" w:after="0" w:line="480" w:lineRule="auto"/>
        <w:ind w:firstLine="709"/>
        <w:jc w:val="both"/>
      </w:pPr>
      <w:r>
        <w:rPr>
          <w:rFonts w:ascii="Times New Roman" w:hAnsi="Times New Roman" w:eastAsia="Times New Roman"/>
          <w:b w:val="0"/>
          <w:i w:val="0"/>
          <w:color w:val="000000"/>
          <w:sz w:val="24"/>
        </w:rPr>
        <w:t>The first null hypothesis is retained. The second is rejected. The three resins lost a statistically similar fraction of their mass, but they did not finish with a similar surface roughness.</w:t>
      </w:r>
    </w:p>
    <w:p>
      <w:pPr>
        <w:spacing w:before="240" w:after="120" w:line="480" w:lineRule="auto"/>
        <w:ind w:firstLine="0"/>
        <w:jc w:val="left"/>
      </w:pPr>
      <w:r>
        <w:rPr>
          <w:rFonts w:ascii="Times New Roman" w:hAnsi="Times New Roman" w:eastAsia="Times New Roman"/>
          <w:b/>
          <w:i w:val="0"/>
          <w:color w:val="000000"/>
          <w:sz w:val="26"/>
        </w:rPr>
        <w:t>5.1 Weight loss</w:t>
      </w:r>
    </w:p>
    <w:p>
      <w:pPr>
        <w:spacing w:before="0" w:after="0" w:line="480" w:lineRule="auto"/>
        <w:ind w:firstLine="709"/>
        <w:jc w:val="both"/>
      </w:pPr>
      <w:r>
        <w:rPr>
          <w:rFonts w:ascii="Times New Roman" w:hAnsi="Times New Roman" w:eastAsia="Times New Roman"/>
          <w:b w:val="0"/>
          <w:i w:val="0"/>
          <w:color w:val="000000"/>
          <w:sz w:val="24"/>
        </w:rPr>
        <w:t>A non-significant ANOVA (p = 0.329) is not proof of equal wear; it is a failure to reject equality. Beautifil Flow Plus X F00 had a standard deviation of 3.14 % beside a mean of 1.49 %. That spread is produced by the outlying disc (approximately 11.4 %, 20.7 mg). Residual variance rises and power falls. The other eleven discs in that group, and the twenty-four discs in the other groups, lost between 0.1 mg and 1.9 mg. On that restricted view the three materials are close.</w:t>
      </w:r>
    </w:p>
    <w:p>
      <w:pPr>
        <w:spacing w:before="0" w:after="0" w:line="480" w:lineRule="auto"/>
        <w:ind w:firstLine="709"/>
        <w:jc w:val="both"/>
      </w:pPr>
      <w:r>
        <w:rPr>
          <w:rFonts w:ascii="Times New Roman" w:hAnsi="Times New Roman" w:eastAsia="Times New Roman"/>
          <w:b w:val="0"/>
          <w:i w:val="0"/>
          <w:color w:val="000000"/>
          <w:sz w:val="24"/>
        </w:rPr>
        <w:t>Beautifil II LS started heavier. Percentage loss on a heavier disc is a smaller number for the same milligrams lost, which is why absolute loss is the fairer comparison: 0.95 ± 0.58 mg against 1.07 ± 0.62 mg for G-ænial Universal Injectable. Those two means lie near each other. The nanofilled injectable did not lose more mass than the 83 wt% nanohybrid under this slurry.</w:t>
      </w:r>
    </w:p>
    <w:p>
      <w:pPr>
        <w:spacing w:before="0" w:after="0" w:line="480" w:lineRule="auto"/>
        <w:ind w:firstLine="709"/>
        <w:jc w:val="both"/>
      </w:pPr>
      <w:r>
        <w:rPr>
          <w:rFonts w:ascii="Times New Roman" w:hAnsi="Times New Roman" w:eastAsia="Times New Roman"/>
          <w:b w:val="0"/>
          <w:i w:val="0"/>
          <w:color w:val="000000"/>
          <w:sz w:val="24"/>
        </w:rPr>
        <w:t>Rajabi et al. found less volumetric two-body wear for G-ænial Universal Injectable and Beautifil Flow Plus F00 than for a nanohybrid paste (6). The direction is favourable to injectables, but the test is not the same. They used 200 000 chewing cycles, a 49 N load and a steatite ball, without toothpaste, and they measured volume. Beautifil Flow Plus F00 is also not Beautifil Flow Plus X F00. Agreement can be stated only as a general remark: highly filled injectables are not automatically the weaker partner in a wear assay.</w:t>
      </w:r>
    </w:p>
    <w:p>
      <w:pPr>
        <w:spacing w:before="0" w:after="0" w:line="480" w:lineRule="auto"/>
        <w:ind w:firstLine="709"/>
        <w:jc w:val="both"/>
      </w:pPr>
      <w:r>
        <w:rPr>
          <w:rFonts w:ascii="Times New Roman" w:hAnsi="Times New Roman" w:eastAsia="Times New Roman"/>
          <w:b w:val="0"/>
          <w:i w:val="0"/>
          <w:color w:val="000000"/>
          <w:sz w:val="24"/>
        </w:rPr>
        <w:t>The reason one disc lost 20.7 mg is not known. A void, an under-cured layer or a weighing error would all produce that point. The value was retained and is footnoted in Table 4.2. Any later re-analysis that excludes it must say so.</w:t>
      </w:r>
    </w:p>
    <w:p>
      <w:pPr>
        <w:spacing w:before="240" w:after="120" w:line="480" w:lineRule="auto"/>
        <w:ind w:firstLine="0"/>
        <w:jc w:val="left"/>
      </w:pPr>
      <w:r>
        <w:rPr>
          <w:rFonts w:ascii="Times New Roman" w:hAnsi="Times New Roman" w:eastAsia="Times New Roman"/>
          <w:b/>
          <w:i w:val="0"/>
          <w:color w:val="000000"/>
          <w:sz w:val="26"/>
        </w:rPr>
        <w:t>5.2 Surface roughness</w:t>
      </w:r>
    </w:p>
    <w:p>
      <w:pPr>
        <w:spacing w:before="0" w:after="0" w:line="480" w:lineRule="auto"/>
        <w:ind w:firstLine="709"/>
        <w:jc w:val="both"/>
      </w:pPr>
      <w:r>
        <w:rPr>
          <w:rFonts w:ascii="Times New Roman" w:hAnsi="Times New Roman" w:eastAsia="Times New Roman"/>
          <w:b w:val="0"/>
          <w:i w:val="0"/>
          <w:color w:val="000000"/>
          <w:sz w:val="24"/>
        </w:rPr>
        <w:t>The roughness result is more decisive. The nanohybrid was rougher before brushing and rougher after it. ΔRa was also largest in that group, with a wide spread (0.075 ± 0.066 µm). G-ænial Universal Injectable changed the least (0.046 ± 0.023 µm). Beautifil Flow Plus X F00 started smoothest and finished statistically indistinguishable from G-ænial Universal Injectable.</w:t>
      </w:r>
    </w:p>
    <w:p>
      <w:pPr>
        <w:spacing w:before="0" w:after="0" w:line="480" w:lineRule="auto"/>
        <w:ind w:firstLine="709"/>
        <w:jc w:val="both"/>
      </w:pPr>
      <w:r>
        <w:rPr>
          <w:rFonts w:ascii="Times New Roman" w:hAnsi="Times New Roman" w:eastAsia="Times New Roman"/>
          <w:b w:val="0"/>
          <w:i w:val="0"/>
          <w:color w:val="000000"/>
          <w:sz w:val="24"/>
        </w:rPr>
        <w:t>That pattern is consistent with filler geometry. A nanofilled injectable with approximately 150 nm barium glass and silica wears more evenly (6,18). A nanohybrid with larger S-PRG and pre-polymerised particles loses matrix first; the large fillers then stand proud or leave pits (4,18). Hasan, Eltoukhy and Zaghloul observed the same order after simulated brushing: G-ænial Universal Injectable smoother than a nanohybrid, and two nanofilled resins not different from each other (18). Heintze et al. had already shown that hybrid and microhybrid pastes roughen more with load and time than microfilled resins (4).</w:t>
      </w:r>
    </w:p>
    <w:p>
      <w:pPr>
        <w:spacing w:before="0" w:after="0" w:line="480" w:lineRule="auto"/>
        <w:ind w:firstLine="709"/>
        <w:jc w:val="both"/>
      </w:pPr>
      <w:r>
        <w:rPr>
          <w:rFonts w:ascii="Times New Roman" w:hAnsi="Times New Roman" w:eastAsia="Times New Roman"/>
          <w:b w:val="0"/>
          <w:i w:val="0"/>
          <w:color w:val="000000"/>
          <w:sz w:val="24"/>
        </w:rPr>
        <w:t>The 0.2 µm line is the clinically useful one (1,17). Both injectables ended near 0.10 µm and remain, on the mean, in the range where further smoothing is not expected to reduce plaque. Beautifil II LS ended at 0.194 ± 0.050 µm. The mean is acceptable on the published threshold, but the spread is not entirely below it. None of the means approach the 0.50 µm tongue threshold (2). Patients would not be expected to feel these surfaces after one year of this brushing model. Biofilm risk is the sharper distinction, and it applies to the nanohybrid group.</w:t>
      </w:r>
    </w:p>
    <w:p>
      <w:pPr>
        <w:spacing w:before="0" w:after="0" w:line="480" w:lineRule="auto"/>
        <w:ind w:firstLine="709"/>
        <w:jc w:val="both"/>
      </w:pPr>
      <w:r>
        <w:rPr>
          <w:rFonts w:ascii="Times New Roman" w:hAnsi="Times New Roman" w:eastAsia="Times New Roman"/>
          <w:b w:val="0"/>
          <w:i w:val="0"/>
          <w:color w:val="000000"/>
          <w:sz w:val="24"/>
        </w:rPr>
        <w:t>The ΔRa standard deviation of Beautifil II LS (0.066 µm) exceeds both its baseline and its final Ra standard deviations. That pattern requires a negative within-disc correlation — the roughest discs becoming relatively smoother and the smoothest becoming rougher — and is consistent with ΔRa having been computed per disc before averaging.</w:t>
      </w:r>
    </w:p>
    <w:p>
      <w:pPr>
        <w:spacing w:before="240" w:after="120" w:line="480" w:lineRule="auto"/>
        <w:ind w:firstLine="0"/>
        <w:jc w:val="left"/>
      </w:pPr>
      <w:r>
        <w:rPr>
          <w:rFonts w:ascii="Times New Roman" w:hAnsi="Times New Roman" w:eastAsia="Times New Roman"/>
          <w:b/>
          <w:i w:val="0"/>
          <w:color w:val="000000"/>
          <w:sz w:val="26"/>
        </w:rPr>
        <w:t>5.3 Clinical implications</w:t>
      </w:r>
    </w:p>
    <w:p>
      <w:pPr>
        <w:spacing w:before="0" w:after="0" w:line="480" w:lineRule="auto"/>
        <w:ind w:firstLine="709"/>
        <w:jc w:val="both"/>
      </w:pPr>
      <w:r>
        <w:rPr>
          <w:rFonts w:ascii="Times New Roman" w:hAnsi="Times New Roman" w:eastAsia="Times New Roman"/>
          <w:b w:val="0"/>
          <w:i w:val="0"/>
          <w:color w:val="000000"/>
          <w:sz w:val="24"/>
        </w:rPr>
        <w:t>Within this protocol the two injectable resins may be used where toothbrush abrasion is the wear of interest without paying a roughness penalty against Beautifil II LS. They do not, on these data, wear less. They finish smoother. That matters on freely cleanable surfaces and at margins. It does not license a claim that they survive occlusal contact better, because occlusal contact was not tested. The caution expressed by Tzimas et al. regarding load-bearing use of highly filled flowables therefore still stands (20).</w:t>
      </w:r>
    </w:p>
    <w:p>
      <w:pPr>
        <w:spacing w:before="0" w:after="0" w:line="480" w:lineRule="auto"/>
        <w:ind w:firstLine="709"/>
        <w:jc w:val="both"/>
      </w:pPr>
      <w:r>
        <w:rPr>
          <w:rFonts w:ascii="Times New Roman" w:hAnsi="Times New Roman" w:eastAsia="Times New Roman"/>
          <w:b w:val="0"/>
          <w:i w:val="0"/>
          <w:color w:val="000000"/>
          <w:sz w:val="24"/>
        </w:rPr>
        <w:t>Beautifil II LS remains a reasonable packable control. Its higher baseline Ra may reflect filler size, the finishing sequence, or both. If the nanohybrid was left with a coarser finish, part of the after-brushing difference was already present at baseline. The after-brushing comparison is nevertheless valid: the groups were compared as they stood after the same abrasion.</w:t>
      </w:r>
    </w:p>
    <w:p>
      <w:pPr>
        <w:spacing w:before="240" w:after="120" w:line="480" w:lineRule="auto"/>
        <w:ind w:firstLine="0"/>
        <w:jc w:val="left"/>
      </w:pPr>
      <w:r>
        <w:rPr>
          <w:rFonts w:ascii="Times New Roman" w:hAnsi="Times New Roman" w:eastAsia="Times New Roman"/>
          <w:b/>
          <w:i w:val="0"/>
          <w:color w:val="000000"/>
          <w:sz w:val="26"/>
        </w:rPr>
        <w:t>5.4 Strengths</w:t>
      </w:r>
    </w:p>
    <w:p>
      <w:pPr>
        <w:spacing w:before="0" w:after="0" w:line="480" w:lineRule="auto"/>
        <w:ind w:firstLine="709"/>
        <w:jc w:val="both"/>
      </w:pPr>
      <w:r>
        <w:rPr>
          <w:rFonts w:ascii="Times New Roman" w:hAnsi="Times New Roman" w:eastAsia="Times New Roman"/>
          <w:b w:val="0"/>
          <w:i w:val="0"/>
          <w:color w:val="000000"/>
          <w:sz w:val="24"/>
        </w:rPr>
        <w:t>The three products are current commercial materials and include the X-generation Flow Plus rather than the earlier F00 formulation. Sample size was twelve rather than ten. Both mass and Ra were recorded on the same discs. The brushing load and cycle count follow published ISO and Sexson–Phillips figures (3,7). The statistical tests match the distributions of the two outcomes. The outlying specimen was retained and identified rather than silently excluded.</w:t>
      </w:r>
    </w:p>
    <w:p>
      <w:pPr>
        <w:spacing w:before="240" w:after="120" w:line="480" w:lineRule="auto"/>
        <w:ind w:firstLine="0"/>
        <w:jc w:val="left"/>
      </w:pPr>
      <w:r>
        <w:rPr>
          <w:rFonts w:ascii="Times New Roman" w:hAnsi="Times New Roman" w:eastAsia="Times New Roman"/>
          <w:b/>
          <w:i w:val="0"/>
          <w:color w:val="000000"/>
          <w:sz w:val="26"/>
        </w:rPr>
        <w:t>5.5 Limitations</w:t>
      </w:r>
    </w:p>
    <w:p>
      <w:pPr>
        <w:spacing w:before="0" w:after="0" w:line="480" w:lineRule="auto"/>
        <w:ind w:firstLine="709"/>
        <w:jc w:val="both"/>
      </w:pPr>
      <w:r>
        <w:rPr>
          <w:rFonts w:ascii="Times New Roman" w:hAnsi="Times New Roman" w:eastAsia="Times New Roman"/>
          <w:b w:val="0"/>
          <w:i w:val="0"/>
          <w:color w:val="000000"/>
          <w:sz w:val="24"/>
        </w:rPr>
        <w:t>The test is in vitro. Saliva, pH cycling, enzymes and occlusal load are absent. Gravimetric loss is not worn volume and is not worn anatomy. A single dentifrice was used. Brush stiffness and slurry ratio were not fully specified. There are no scanning electron images, so filler plucking is an inference from the roughness numbers rather than a micrograph. Ten thousand cycles represent one conventional laboratory year, not a clinical year. Disc geometry is not a Class II cavity.</w:t>
      </w:r>
    </w:p>
    <w:p>
      <w:pPr>
        <w:spacing w:before="240" w:after="120" w:line="480" w:lineRule="auto"/>
        <w:ind w:firstLine="0"/>
        <w:jc w:val="left"/>
      </w:pPr>
      <w:r>
        <w:rPr>
          <w:rFonts w:ascii="Times New Roman" w:hAnsi="Times New Roman" w:eastAsia="Times New Roman"/>
          <w:b/>
          <w:i w:val="0"/>
          <w:color w:val="000000"/>
          <w:sz w:val="26"/>
        </w:rPr>
        <w:t>5.6 Concluding remarks of the discussion</w:t>
      </w:r>
    </w:p>
    <w:p>
      <w:pPr>
        <w:spacing w:before="0" w:after="0" w:line="480" w:lineRule="auto"/>
        <w:ind w:firstLine="709"/>
        <w:jc w:val="both"/>
      </w:pPr>
      <w:r>
        <w:rPr>
          <w:rFonts w:ascii="Times New Roman" w:hAnsi="Times New Roman" w:eastAsia="Times New Roman"/>
          <w:b w:val="0"/>
          <w:i w:val="0"/>
          <w:color w:val="000000"/>
          <w:sz w:val="24"/>
        </w:rPr>
        <w:t>After 10 000 strokes at 2 N the three resins could not be separated on percentage weight loss. They could be separated on Ra. The injectable materials were smoother. Beautifil II LS finished on the plaque-retention threshold. That is the result of this study, and it should not be enlarged into a general ranking of injectable versus nanohybrid resins outside toothbrush abrasion.</w:t>
      </w:r>
    </w:p>
    <w:p>
      <w:pPr>
        <w:spacing w:before="120" w:after="120" w:line="480" w:lineRule="auto"/>
        <w:ind w:firstLine="0"/>
        <w:jc w:val="center"/>
      </w:pPr>
      <w:r>
        <w:rPr>
          <w:rFonts w:ascii="Times New Roman" w:hAnsi="Times New Roman" w:eastAsia="Times New Roman"/>
          <w:b/>
          <w:i w:val="0"/>
          <w:color w:val="000000"/>
          <w:sz w:val="32"/>
        </w:rPr>
        <w:t>Chapter 6</w:t>
      </w:r>
    </w:p>
    <w:p>
      <w:pPr>
        <w:spacing w:before="120" w:after="120" w:line="480" w:lineRule="auto"/>
        <w:ind w:firstLine="0"/>
        <w:jc w:val="center"/>
      </w:pPr>
      <w:r>
        <w:rPr>
          <w:rFonts w:ascii="Times New Roman" w:hAnsi="Times New Roman" w:eastAsia="Times New Roman"/>
          <w:b/>
          <w:i w:val="0"/>
          <w:color w:val="000000"/>
          <w:sz w:val="32"/>
        </w:rPr>
        <w:t>Conclusions and recommendations</w:t>
      </w:r>
    </w:p>
    <w:p>
      <w:pPr>
        <w:spacing w:before="240" w:after="120" w:line="480" w:lineRule="auto"/>
        <w:ind w:firstLine="0"/>
        <w:jc w:val="left"/>
      </w:pPr>
      <w:r>
        <w:rPr>
          <w:rFonts w:ascii="Times New Roman" w:hAnsi="Times New Roman" w:eastAsia="Times New Roman"/>
          <w:b/>
          <w:i w:val="0"/>
          <w:color w:val="000000"/>
          <w:sz w:val="26"/>
        </w:rPr>
        <w:t>6.1 Conclusions</w:t>
      </w:r>
    </w:p>
    <w:p>
      <w:pPr>
        <w:spacing w:before="0" w:after="0" w:line="480" w:lineRule="auto"/>
        <w:ind w:firstLine="709"/>
        <w:jc w:val="both"/>
      </w:pPr>
      <w:r>
        <w:rPr>
          <w:rFonts w:ascii="Times New Roman" w:hAnsi="Times New Roman" w:eastAsia="Times New Roman"/>
          <w:b w:val="0"/>
          <w:i w:val="0"/>
          <w:color w:val="000000"/>
          <w:sz w:val="24"/>
        </w:rPr>
        <w:t>Under the conditions of this in-vitro study:</w:t>
      </w:r>
    </w:p>
    <w:p>
      <w:pPr>
        <w:spacing w:before="0" w:after="0" w:line="480" w:lineRule="auto"/>
        <w:ind w:firstLine="0"/>
        <w:jc w:val="both"/>
      </w:pPr>
      <w:r>
        <w:rPr>
          <w:rFonts w:ascii="Times New Roman" w:hAnsi="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spacing w:before="0" w:after="0" w:line="480" w:lineRule="auto"/>
        <w:ind w:firstLine="0"/>
        <w:jc w:val="both"/>
      </w:pPr>
      <w:r>
        <w:rPr>
          <w:rFonts w:ascii="Times New Roman" w:hAnsi="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spacing w:before="0" w:after="0" w:line="480" w:lineRule="auto"/>
        <w:ind w:firstLine="0"/>
        <w:jc w:val="both"/>
      </w:pPr>
      <w:r>
        <w:rPr>
          <w:rFonts w:ascii="Times New Roman" w:hAnsi="Times New Roman" w:eastAsia="Times New Roman"/>
          <w:b w:val="0"/>
          <w:i w:val="0"/>
          <w:color w:val="000000"/>
          <w:sz w:val="24"/>
        </w:rPr>
        <w:t>3. Mean Ra of both injectable resins remained below 0.2 µm. Mean Ra of Beautifil II LS was 0.194 µm.</w:t>
      </w:r>
    </w:p>
    <w:p>
      <w:pPr>
        <w:spacing w:before="0" w:after="0" w:line="480" w:lineRule="auto"/>
        <w:ind w:firstLine="0"/>
        <w:jc w:val="both"/>
      </w:pPr>
      <w:r>
        <w:rPr>
          <w:rFonts w:ascii="Times New Roman" w:hAnsi="Times New Roman" w:eastAsia="Times New Roman"/>
          <w:b w:val="0"/>
          <w:i w:val="0"/>
          <w:color w:val="000000"/>
          <w:sz w:val="24"/>
        </w:rPr>
        <w:t>4. One Beautifil Flow Plus X F00 disc lost approximately 11.4 % of its mass and is the source of that group’s large standard deviation.</w:t>
      </w:r>
    </w:p>
    <w:p>
      <w:pPr>
        <w:spacing w:before="0" w:after="0" w:line="480" w:lineRule="auto"/>
        <w:ind w:firstLine="0"/>
        <w:jc w:val="both"/>
      </w:pPr>
      <w:r>
        <w:rPr>
          <w:rFonts w:ascii="Times New Roman" w:hAnsi="Times New Roman" w:eastAsia="Times New Roman"/>
          <w:b w:val="0"/>
          <w:i w:val="0"/>
          <w:color w:val="000000"/>
          <w:sz w:val="24"/>
        </w:rPr>
        <w:t>5. The first null hypothesis is retained. The second is rejected.</w:t>
      </w:r>
    </w:p>
    <w:p>
      <w:pPr>
        <w:spacing w:before="240" w:after="120" w:line="480" w:lineRule="auto"/>
        <w:ind w:firstLine="0"/>
        <w:jc w:val="left"/>
      </w:pPr>
      <w:r>
        <w:rPr>
          <w:rFonts w:ascii="Times New Roman" w:hAnsi="Times New Roman" w:eastAsia="Times New Roman"/>
          <w:b/>
          <w:i w:val="0"/>
          <w:color w:val="000000"/>
          <w:sz w:val="26"/>
        </w:rPr>
        <w:t>6.2 Recommendations</w:t>
      </w:r>
    </w:p>
    <w:p>
      <w:pPr>
        <w:spacing w:before="0" w:after="0" w:line="480" w:lineRule="auto"/>
        <w:ind w:firstLine="709"/>
        <w:jc w:val="both"/>
      </w:pPr>
      <w:r>
        <w:rPr>
          <w:rFonts w:ascii="Times New Roman" w:hAnsi="Times New Roman" w:eastAsia="Times New Roman"/>
          <w:b/>
          <w:i w:val="0"/>
          <w:color w:val="000000"/>
          <w:sz w:val="24"/>
        </w:rPr>
        <w:t>Clinical practice.</w:t>
      </w:r>
      <w:r>
        <w:rPr>
          <w:rFonts w:ascii="Times New Roman" w:hAnsi="Times New Roman" w:eastAsia="Times New Roman"/>
          <w:b w:val="0"/>
          <w:i w:val="0"/>
          <w:color w:val="000000"/>
          <w:sz w:val="24"/>
        </w:rPr>
        <w:t xml:space="preserve"> Where toothbrush abrasion and smoothness after hygiene are the concern, either injectable resin tested here may be considered alongside Beautifil II LS. The data do not show less wear. They show a smoother surface after this brushing model.</w:t>
      </w:r>
    </w:p>
    <w:p>
      <w:pPr>
        <w:spacing w:before="0" w:after="0" w:line="480" w:lineRule="auto"/>
        <w:ind w:firstLine="709"/>
        <w:jc w:val="both"/>
      </w:pPr>
      <w:r>
        <w:rPr>
          <w:rFonts w:ascii="Times New Roman" w:hAnsi="Times New Roman" w:eastAsia="Times New Roman"/>
          <w:b/>
          <w:i w:val="0"/>
          <w:color w:val="000000"/>
          <w:sz w:val="24"/>
        </w:rPr>
        <w:t>Further laboratory work.</w:t>
      </w:r>
      <w:r>
        <w:rPr>
          <w:rFonts w:ascii="Times New Roman" w:hAnsi="Times New Roman" w:eastAsia="Times New Roman"/>
          <w:b w:val="0"/>
          <w:i w:val="0"/>
          <w:color w:val="000000"/>
          <w:sz w:val="24"/>
        </w:rPr>
        <w:t xml:space="preserve"> Repeat the mass analysis with and without the outlying disc, and report both. Add volumetric loss or profilometric wear depth. Add scanning electron microscopy of the worn surface. State the finishing sequence, the brush and the slurry ratio in full. A second dentifrice, or a higher cycle count, would test whether the roughness difference holds.</w:t>
      </w:r>
    </w:p>
    <w:p>
      <w:pPr>
        <w:spacing w:before="0" w:after="0" w:line="480" w:lineRule="auto"/>
        <w:ind w:firstLine="709"/>
        <w:jc w:val="both"/>
      </w:pPr>
      <w:r>
        <w:rPr>
          <w:rFonts w:ascii="Times New Roman" w:hAnsi="Times New Roman" w:eastAsia="Times New Roman"/>
          <w:b/>
          <w:i w:val="0"/>
          <w:color w:val="000000"/>
          <w:sz w:val="24"/>
        </w:rPr>
        <w:t>Clinical research.</w:t>
      </w:r>
      <w:r>
        <w:rPr>
          <w:rFonts w:ascii="Times New Roman" w:hAnsi="Times New Roman" w:eastAsia="Times New Roman"/>
          <w:b w:val="0"/>
          <w:i w:val="0"/>
          <w:color w:val="000000"/>
          <w:sz w:val="24"/>
        </w:rPr>
        <w:t xml:space="preserve"> Only a controlled clinical study can determine whether the 0.10 µm versus 0.19 µm difference after a laboratory year changes plaque accumulation, staining or restoration survival.</w:t>
      </w:r>
    </w:p>
    <w:p>
      <w:pPr>
        <w:spacing w:before="120" w:after="120" w:line="480" w:lineRule="auto"/>
        <w:ind w:firstLine="0"/>
        <w:jc w:val="center"/>
      </w:pPr>
      <w:r>
        <w:rPr>
          <w:rFonts w:ascii="Times New Roman" w:hAnsi="Times New Roman" w:eastAsia="Times New Roman"/>
          <w:b/>
          <w:i w:val="0"/>
          <w:color w:val="000000"/>
          <w:sz w:val="32"/>
        </w:rPr>
        <w:t>Chapter 7</w:t>
      </w:r>
    </w:p>
    <w:p>
      <w:pPr>
        <w:spacing w:before="120" w:after="120" w:line="480" w:lineRule="auto"/>
        <w:ind w:firstLine="0"/>
        <w:jc w:val="center"/>
      </w:pPr>
      <w:r>
        <w:rPr>
          <w:rFonts w:ascii="Times New Roman" w:hAnsi="Times New Roman" w:eastAsia="Times New Roman"/>
          <w:b/>
          <w:i w:val="0"/>
          <w:color w:val="000000"/>
          <w:sz w:val="32"/>
        </w:rPr>
        <w:t>References</w:t>
      </w:r>
    </w:p>
    <w:p>
      <w:pPr>
        <w:spacing w:before="0" w:after="0" w:line="480" w:lineRule="auto"/>
        <w:ind w:firstLine="0"/>
        <w:jc w:val="both"/>
      </w:pPr>
      <w:r>
        <w:rPr>
          <w:rFonts w:ascii="Times New Roman" w:hAnsi="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1997;13(4):258-269.</w:t>
      </w:r>
    </w:p>
    <w:p>
      <w:pPr>
        <w:spacing w:before="0" w:after="0" w:line="480" w:lineRule="auto"/>
        <w:ind w:firstLine="0"/>
        <w:jc w:val="both"/>
      </w:pPr>
      <w:r>
        <w:rPr>
          <w:rFonts w:ascii="Times New Roman" w:hAnsi="Times New Roman" w:eastAsia="Times New Roman"/>
          <w:b w:val="0"/>
          <w:i w:val="0"/>
          <w:color w:val="000000"/>
          <w:sz w:val="24"/>
        </w:rPr>
        <w:t>2. Jones CS, Billington RW, Pearson GJ. The in vivo perception of roughness of restorations. Br Dent J. 2004;196(1):42-45.</w:t>
      </w:r>
    </w:p>
    <w:p>
      <w:pPr>
        <w:spacing w:before="0" w:after="0" w:line="480" w:lineRule="auto"/>
        <w:ind w:firstLine="0"/>
        <w:jc w:val="both"/>
      </w:pPr>
      <w:r>
        <w:rPr>
          <w:rFonts w:ascii="Times New Roman" w:hAnsi="Times New Roman" w:eastAsia="Times New Roman"/>
          <w:b w:val="0"/>
          <w:i w:val="0"/>
          <w:color w:val="000000"/>
          <w:sz w:val="24"/>
        </w:rPr>
        <w:t>3. International Organization for Standardization. ISO/TR 14569-1:2007. Dental materials — Guidance on testing of wear — Part 1: Wear by toothbrushing. Geneva: ISO; 2007.</w:t>
      </w:r>
    </w:p>
    <w:p>
      <w:pPr>
        <w:spacing w:before="0" w:after="0" w:line="480" w:lineRule="auto"/>
        <w:ind w:firstLine="0"/>
        <w:jc w:val="both"/>
      </w:pPr>
      <w:r>
        <w:rPr>
          <w:rFonts w:ascii="Times New Roman" w:hAnsi="Times New Roman" w:eastAsia="Times New Roman"/>
          <w:b w:val="0"/>
          <w:i w:val="0"/>
          <w:color w:val="000000"/>
          <w:sz w:val="24"/>
        </w:rPr>
        <w:t>4. Heintze SD, Forjanic M, Ohmiti K, Rousson V. Surface deterioration of dental materials after simulated toothbrushing in relation to brushing time and load. Dent Mater. 2010;26(4):306-319.</w:t>
      </w:r>
    </w:p>
    <w:p>
      <w:pPr>
        <w:spacing w:before="0" w:after="0" w:line="480" w:lineRule="auto"/>
        <w:ind w:firstLine="0"/>
        <w:jc w:val="both"/>
      </w:pPr>
      <w:r>
        <w:rPr>
          <w:rFonts w:ascii="Times New Roman" w:hAnsi="Times New Roman" w:eastAsia="Times New Roman"/>
          <w:b w:val="0"/>
          <w:i w:val="0"/>
          <w:color w:val="000000"/>
          <w:sz w:val="24"/>
        </w:rPr>
        <w:t>5. Bayne SC, Thompson JY, Swift EJ Jr, Stamatiades P, Wilkerson M. A characterization of first-generation flowable composites. J Am Dent Assoc. 1998;129(5):567-577.</w:t>
      </w:r>
    </w:p>
    <w:p>
      <w:pPr>
        <w:spacing w:before="0" w:after="0" w:line="480" w:lineRule="auto"/>
        <w:ind w:firstLine="0"/>
        <w:jc w:val="both"/>
      </w:pPr>
      <w:r>
        <w:rPr>
          <w:rFonts w:ascii="Times New Roman" w:hAnsi="Times New Roman" w:eastAsia="Times New Roman"/>
          <w:b w:val="0"/>
          <w:i w:val="0"/>
          <w:color w:val="000000"/>
          <w:sz w:val="24"/>
        </w:rPr>
        <w:t>6. Rajabi H, Denny M, Karagiannopoulos K, Petridis H. Comparison of flexural strength and wear of injectable, flowable and paste composite resins. Materials (Basel). 2024;17(19):4749.</w:t>
      </w:r>
    </w:p>
    <w:p>
      <w:pPr>
        <w:spacing w:before="0" w:after="0" w:line="480" w:lineRule="auto"/>
        <w:ind w:firstLine="0"/>
        <w:jc w:val="both"/>
      </w:pPr>
      <w:r>
        <w:rPr>
          <w:rFonts w:ascii="Times New Roman" w:hAnsi="Times New Roman" w:eastAsia="Times New Roman"/>
          <w:b w:val="0"/>
          <w:i w:val="0"/>
          <w:color w:val="000000"/>
          <w:sz w:val="24"/>
        </w:rPr>
        <w:t>7. Sexson JC, Phillips RW. Studies on the effects of abrasives on acrylic resins. J Prosthet Dent. 1951;1(4):454-471.</w:t>
      </w:r>
    </w:p>
    <w:p>
      <w:pPr>
        <w:spacing w:before="0" w:after="0" w:line="480" w:lineRule="auto"/>
        <w:ind w:firstLine="0"/>
        <w:jc w:val="both"/>
      </w:pPr>
      <w:r>
        <w:rPr>
          <w:rFonts w:ascii="Times New Roman" w:hAnsi="Times New Roman" w:eastAsia="Times New Roman"/>
          <w:b w:val="0"/>
          <w:i w:val="0"/>
          <w:color w:val="000000"/>
          <w:sz w:val="24"/>
        </w:rPr>
        <w:t>8. Monteiro B, Spohr AM. Surface roughness of composite resins after simulated toothbrushing with different dentifrices. J Int Oral Health. 2015;7(7):1-5.</w:t>
      </w:r>
    </w:p>
    <w:p>
      <w:pPr>
        <w:spacing w:before="0" w:after="0" w:line="480" w:lineRule="auto"/>
        <w:ind w:firstLine="0"/>
        <w:jc w:val="both"/>
      </w:pPr>
      <w:r>
        <w:rPr>
          <w:rFonts w:ascii="Times New Roman" w:hAnsi="Times New Roman" w:eastAsia="Times New Roman"/>
          <w:b w:val="0"/>
          <w:i w:val="0"/>
          <w:color w:val="000000"/>
          <w:sz w:val="24"/>
        </w:rPr>
        <w:t>9. Mair LH, Stolarski TA, Vowles RW, Lloyd CH. Wear: mechanisms, manifestations and measurement. Report of a workshop. J Dent. 1996;24(1-2):141-148.</w:t>
      </w:r>
    </w:p>
    <w:p>
      <w:pPr>
        <w:spacing w:before="0" w:after="0" w:line="480" w:lineRule="auto"/>
        <w:ind w:firstLine="0"/>
        <w:jc w:val="both"/>
      </w:pPr>
      <w:r>
        <w:rPr>
          <w:rFonts w:ascii="Times New Roman" w:hAnsi="Times New Roman" w:eastAsia="Times New Roman"/>
          <w:b w:val="0"/>
          <w:i w:val="0"/>
          <w:color w:val="000000"/>
          <w:sz w:val="24"/>
        </w:rPr>
        <w:t>10. Lambrechts P, Debels E, Van Landuyt K, Peumans M, Van Meerbeek B. How to simulate wear? Overview of existing methods. Dent Mater. 2006;22(8):693-701.</w:t>
      </w:r>
    </w:p>
    <w:p>
      <w:pPr>
        <w:spacing w:before="0" w:after="0" w:line="480" w:lineRule="auto"/>
        <w:ind w:firstLine="0"/>
        <w:jc w:val="both"/>
      </w:pPr>
      <w:r>
        <w:rPr>
          <w:rFonts w:ascii="Times New Roman" w:hAnsi="Times New Roman" w:eastAsia="Times New Roman"/>
          <w:b w:val="0"/>
          <w:i w:val="0"/>
          <w:color w:val="000000"/>
          <w:sz w:val="24"/>
        </w:rPr>
        <w:t>11. Ferracane JL. Resin composite—state of the art. Dent Mater. 2011;27(1):29-38.</w:t>
      </w:r>
    </w:p>
    <w:p>
      <w:pPr>
        <w:spacing w:before="0" w:after="0" w:line="480" w:lineRule="auto"/>
        <w:ind w:firstLine="0"/>
        <w:jc w:val="both"/>
      </w:pPr>
      <w:r>
        <w:rPr>
          <w:rFonts w:ascii="Times New Roman" w:hAnsi="Times New Roman" w:eastAsia="Times New Roman"/>
          <w:b w:val="0"/>
          <w:i w:val="0"/>
          <w:color w:val="000000"/>
          <w:sz w:val="24"/>
        </w:rPr>
        <w:t>12. Condon JR, Ferracane JL. In vitro wear of composite with varied cure, filler level, and filler treatment. J Dent Res. 1997;76(7):1405-1411.</w:t>
      </w:r>
    </w:p>
    <w:p>
      <w:pPr>
        <w:spacing w:before="0" w:after="0" w:line="480" w:lineRule="auto"/>
        <w:ind w:firstLine="0"/>
        <w:jc w:val="both"/>
      </w:pPr>
      <w:r>
        <w:rPr>
          <w:rFonts w:ascii="Times New Roman" w:hAnsi="Times New Roman" w:eastAsia="Times New Roman"/>
          <w:b w:val="0"/>
          <w:i w:val="0"/>
          <w:color w:val="000000"/>
          <w:sz w:val="24"/>
        </w:rPr>
        <w:t>13. Baroudi K, Rodrigues JC. Flowable resin composites: a systematic review and clinical considerations. J Clin Diagn Res. 2015;9(6):ZE18-ZE24.</w:t>
      </w:r>
    </w:p>
    <w:p>
      <w:pPr>
        <w:spacing w:before="0" w:after="0" w:line="480" w:lineRule="auto"/>
        <w:ind w:firstLine="0"/>
        <w:jc w:val="both"/>
      </w:pPr>
      <w:r>
        <w:rPr>
          <w:rFonts w:ascii="Times New Roman" w:hAnsi="Times New Roman" w:eastAsia="Times New Roman"/>
          <w:b w:val="0"/>
          <w:i w:val="0"/>
          <w:color w:val="000000"/>
          <w:sz w:val="24"/>
        </w:rPr>
        <w:t>14. International Organization for Standardization. ISO 11609:2017. Dentistry — Dentifrices — Requirements, test methods and marking. Geneva: ISO; 2017.</w:t>
      </w:r>
    </w:p>
    <w:p>
      <w:pPr>
        <w:spacing w:before="0" w:after="0" w:line="480" w:lineRule="auto"/>
        <w:ind w:firstLine="0"/>
        <w:jc w:val="both"/>
      </w:pPr>
      <w:r>
        <w:rPr>
          <w:rFonts w:ascii="Times New Roman" w:hAnsi="Times New Roman" w:eastAsia="Times New Roman"/>
          <w:b w:val="0"/>
          <w:i w:val="0"/>
          <w:color w:val="000000"/>
          <w:sz w:val="24"/>
        </w:rPr>
        <w:t>15. Heintze SD, Cavalleri A, Forjanic M, Zellweger G, Rousson V. A comparison of three different methods for the quantification of the in vitro wear of dental materials. Dent Mater. 2006;22(11):1051-1062.</w:t>
      </w:r>
    </w:p>
    <w:p>
      <w:pPr>
        <w:spacing w:before="0" w:after="0" w:line="480" w:lineRule="auto"/>
        <w:ind w:firstLine="0"/>
        <w:jc w:val="both"/>
      </w:pPr>
      <w:r>
        <w:rPr>
          <w:rFonts w:ascii="Times New Roman" w:hAnsi="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spacing w:before="0" w:after="0" w:line="480" w:lineRule="auto"/>
        <w:ind w:firstLine="0"/>
        <w:jc w:val="both"/>
      </w:pPr>
      <w:r>
        <w:rPr>
          <w:rFonts w:ascii="Times New Roman" w:hAnsi="Times New Roman" w:eastAsia="Times New Roman"/>
          <w:b w:val="0"/>
          <w:i w:val="0"/>
          <w:color w:val="000000"/>
          <w:sz w:val="24"/>
        </w:rPr>
        <w:t>17. Quirynen M, Bollen CML. The influence of surface roughness and surface-free energy on supra- and subgingival plaque formation in man. A review of the literature. J Clin Periodontol. 1995;22(1):1-14.</w:t>
      </w:r>
    </w:p>
    <w:p>
      <w:pPr>
        <w:spacing w:before="0" w:after="0" w:line="480" w:lineRule="auto"/>
        <w:ind w:firstLine="0"/>
        <w:jc w:val="both"/>
      </w:pPr>
      <w:r>
        <w:rPr>
          <w:rFonts w:ascii="Times New Roman" w:hAnsi="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spacing w:before="0" w:after="0" w:line="480" w:lineRule="auto"/>
        <w:ind w:firstLine="0"/>
        <w:jc w:val="both"/>
      </w:pPr>
      <w:r>
        <w:rPr>
          <w:rFonts w:ascii="Times New Roman" w:hAnsi="Times New Roman" w:eastAsia="Times New Roman"/>
          <w:b w:val="0"/>
          <w:i w:val="0"/>
          <w:color w:val="000000"/>
          <w:sz w:val="24"/>
        </w:rPr>
        <w:t>19. Shofu Inc. Beautifil II LS product information; Beautifil Flow Plus X product information. Kyoto: Shofu; [accessed 2026].</w:t>
      </w:r>
    </w:p>
    <w:p>
      <w:pPr>
        <w:spacing w:before="0" w:after="0" w:line="480" w:lineRule="auto"/>
        <w:ind w:firstLine="0"/>
        <w:jc w:val="both"/>
      </w:pPr>
      <w:r>
        <w:rPr>
          <w:rFonts w:ascii="Times New Roman" w:hAnsi="Times New Roman" w:eastAsia="Times New Roman"/>
          <w:b w:val="0"/>
          <w:i w:val="0"/>
          <w:color w:val="000000"/>
          <w:sz w:val="24"/>
        </w:rPr>
        <w:t>20. Tzimas K, Pappa E, Fostiropoulou M, Papazoglou E, Rahiotis C. Highly filled flowable composite resins as sole restorative materials: a systematic review. Materials (Basel). 2025;18(14):3370.</w:t>
      </w:r>
    </w:p>
    <w:p>
      <w:pPr>
        <w:spacing w:before="0" w:after="0" w:line="480" w:lineRule="auto"/>
        <w:ind w:firstLine="0"/>
        <w:jc w:val="both"/>
      </w:pPr>
      <w:r>
        <w:rPr>
          <w:rFonts w:ascii="Times New Roman" w:hAnsi="Times New Roman" w:eastAsia="Times New Roman"/>
          <w:b w:val="0"/>
          <w:i w:val="0"/>
          <w:color w:val="000000"/>
          <w:sz w:val="24"/>
        </w:rPr>
        <w:t>21. Yap AU, Tan SH, Wee SS, Lee CW, Lim EL, Zeng KY. Chemical degradation of composite restoratives. J Oral Rehabil. 2001;28(11):1015-1021.</w:t>
      </w:r>
    </w:p>
    <w:p>
      <w:pPr>
        <w:spacing w:before="0" w:after="0" w:line="480" w:lineRule="auto"/>
        <w:ind w:firstLine="0"/>
        <w:jc w:val="both"/>
      </w:pPr>
      <w:r>
        <w:rPr>
          <w:rFonts w:ascii="Times New Roman" w:hAnsi="Times New Roman" w:eastAsia="Times New Roman"/>
          <w:b w:val="0"/>
          <w:i w:val="0"/>
          <w:color w:val="000000"/>
          <w:sz w:val="24"/>
        </w:rPr>
        <w:t>22. Gordan VV, Mondragon E, Watson RE, Garvan C, Mjör IA. A clinical evaluation of a self-etching primer and a giomer restorative material: results at eight years. J Am Dent Assoc. 2007;138(5):621-627.</w:t>
      </w:r>
    </w:p>
    <w:p>
      <w:pPr>
        <w:spacing w:before="0" w:after="0" w:line="480" w:lineRule="auto"/>
        <w:ind w:firstLine="0"/>
        <w:jc w:val="both"/>
      </w:pPr>
      <w:r>
        <w:rPr>
          <w:rFonts w:ascii="Times New Roman" w:hAnsi="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2023;14(4):236.</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000000"/>
        <w:sz w:val="22"/>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